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11390E" w14:textId="77777777" w:rsidR="00707B52" w:rsidRDefault="00707B52" w:rsidP="001811CC">
      <w:pPr>
        <w:pStyle w:val="Heading1"/>
        <w:rPr>
          <w:rFonts w:ascii="Arial" w:hAnsi="Arial" w:cs="Arial"/>
          <w:b/>
          <w:color w:val="000000" w:themeColor="text1"/>
          <w:sz w:val="44"/>
          <w:szCs w:val="44"/>
        </w:rPr>
      </w:pPr>
      <w:bookmarkStart w:id="0" w:name="_Toc11926779"/>
      <w:bookmarkStart w:id="1" w:name="_Toc11930007"/>
    </w:p>
    <w:p w14:paraId="0BC68C6E" w14:textId="77777777" w:rsidR="00CC7DCB" w:rsidRPr="00CC7DCB" w:rsidRDefault="00CC7DCB" w:rsidP="00CC7DCB"/>
    <w:p w14:paraId="5B06103B" w14:textId="77777777" w:rsidR="00707B52" w:rsidRDefault="00707B52" w:rsidP="00707B52"/>
    <w:p w14:paraId="12A99116" w14:textId="77777777" w:rsidR="00707B52" w:rsidRDefault="00707B52" w:rsidP="00707B52"/>
    <w:p w14:paraId="0E2FB0D1" w14:textId="77777777" w:rsidR="00707B52" w:rsidRPr="00707B52" w:rsidRDefault="00707B52" w:rsidP="00707B52"/>
    <w:p w14:paraId="569F01C3" w14:textId="77777777" w:rsidR="00707B52" w:rsidRDefault="00707B52" w:rsidP="00CC7DCB">
      <w:pPr>
        <w:pStyle w:val="Heading1"/>
        <w:jc w:val="center"/>
        <w:rPr>
          <w:rFonts w:ascii="Arial" w:hAnsi="Arial" w:cs="Arial"/>
          <w:b/>
          <w:color w:val="000000" w:themeColor="text1"/>
          <w:sz w:val="44"/>
          <w:szCs w:val="44"/>
        </w:rPr>
      </w:pPr>
    </w:p>
    <w:p w14:paraId="2D138CC1" w14:textId="77777777" w:rsidR="00707B52" w:rsidRDefault="00707B52" w:rsidP="00CC7DCB">
      <w:pPr>
        <w:pStyle w:val="Heading1"/>
        <w:jc w:val="center"/>
        <w:rPr>
          <w:rFonts w:ascii="Arial" w:hAnsi="Arial" w:cs="Arial"/>
          <w:b/>
          <w:color w:val="000000" w:themeColor="text1"/>
          <w:sz w:val="44"/>
          <w:szCs w:val="44"/>
        </w:rPr>
      </w:pPr>
      <w:bookmarkStart w:id="2" w:name="_Toc16075322"/>
      <w:bookmarkStart w:id="3" w:name="_Toc16075725"/>
      <w:bookmarkStart w:id="4" w:name="_Toc16236768"/>
      <w:bookmarkStart w:id="5" w:name="_Toc16236951"/>
      <w:r>
        <w:rPr>
          <w:rFonts w:ascii="Arial" w:hAnsi="Arial" w:cs="Arial"/>
          <w:b/>
          <w:color w:val="000000" w:themeColor="text1"/>
          <w:sz w:val="44"/>
          <w:szCs w:val="44"/>
        </w:rPr>
        <w:t>Feature-Specific Patterns of Attention and Functional Connectivity in Human Visual Cortex</w:t>
      </w:r>
      <w:bookmarkEnd w:id="2"/>
      <w:bookmarkEnd w:id="3"/>
      <w:bookmarkEnd w:id="4"/>
      <w:bookmarkEnd w:id="5"/>
    </w:p>
    <w:p w14:paraId="620B85B4" w14:textId="77777777" w:rsidR="00707B52" w:rsidRDefault="00707B52" w:rsidP="00CC7DCB">
      <w:pPr>
        <w:jc w:val="center"/>
      </w:pPr>
    </w:p>
    <w:p w14:paraId="6F153011" w14:textId="77777777" w:rsidR="00707B52" w:rsidRPr="005552F8" w:rsidRDefault="00707B52" w:rsidP="00CC7DCB">
      <w:pPr>
        <w:jc w:val="center"/>
        <w:rPr>
          <w:sz w:val="22"/>
        </w:rPr>
      </w:pPr>
    </w:p>
    <w:p w14:paraId="1AE1E8AD" w14:textId="77777777" w:rsidR="00707B52" w:rsidRPr="005552F8" w:rsidRDefault="00707B52" w:rsidP="00CC7DCB">
      <w:pPr>
        <w:jc w:val="center"/>
        <w:rPr>
          <w:sz w:val="22"/>
        </w:rPr>
      </w:pPr>
    </w:p>
    <w:p w14:paraId="67A7E8EC" w14:textId="77777777" w:rsidR="00707B52" w:rsidRPr="005552F8" w:rsidRDefault="00707B52" w:rsidP="00CC7DCB">
      <w:pPr>
        <w:jc w:val="center"/>
        <w:rPr>
          <w:sz w:val="22"/>
        </w:rPr>
      </w:pPr>
    </w:p>
    <w:p w14:paraId="2F9F88CA" w14:textId="77777777" w:rsidR="00707B52" w:rsidRPr="005552F8" w:rsidRDefault="00707B52" w:rsidP="00CC7DCB">
      <w:pPr>
        <w:jc w:val="center"/>
        <w:rPr>
          <w:rFonts w:ascii="Arial" w:hAnsi="Arial" w:cs="Arial"/>
          <w:sz w:val="32"/>
          <w:szCs w:val="36"/>
        </w:rPr>
      </w:pPr>
      <w:r w:rsidRPr="005552F8">
        <w:rPr>
          <w:rFonts w:ascii="Arial" w:hAnsi="Arial" w:cs="Arial"/>
          <w:sz w:val="32"/>
          <w:szCs w:val="36"/>
        </w:rPr>
        <w:t>Kirstie Holly Wailes-Newson</w:t>
      </w:r>
    </w:p>
    <w:p w14:paraId="164F8C2C" w14:textId="77777777" w:rsidR="00707B52" w:rsidRPr="005552F8" w:rsidRDefault="00707B52" w:rsidP="00CC7DCB">
      <w:pPr>
        <w:jc w:val="center"/>
        <w:rPr>
          <w:rFonts w:ascii="Arial" w:hAnsi="Arial" w:cs="Arial"/>
          <w:sz w:val="32"/>
          <w:szCs w:val="36"/>
        </w:rPr>
      </w:pPr>
    </w:p>
    <w:p w14:paraId="04C11ED9" w14:textId="77777777" w:rsidR="00707B52" w:rsidRDefault="00707B52" w:rsidP="00CC7DCB">
      <w:pPr>
        <w:jc w:val="center"/>
        <w:rPr>
          <w:rFonts w:ascii="Arial" w:hAnsi="Arial" w:cs="Arial"/>
          <w:sz w:val="32"/>
          <w:szCs w:val="36"/>
        </w:rPr>
      </w:pPr>
    </w:p>
    <w:p w14:paraId="7FC91A68" w14:textId="77777777" w:rsidR="00CC7DCB" w:rsidRPr="005552F8" w:rsidRDefault="00CC7DCB" w:rsidP="00CC7DCB">
      <w:pPr>
        <w:jc w:val="center"/>
        <w:rPr>
          <w:rFonts w:ascii="Arial" w:hAnsi="Arial" w:cs="Arial"/>
          <w:sz w:val="32"/>
          <w:szCs w:val="36"/>
        </w:rPr>
      </w:pPr>
    </w:p>
    <w:p w14:paraId="61071518" w14:textId="06DB3943" w:rsidR="00707B52" w:rsidRPr="005552F8" w:rsidRDefault="00D405E6" w:rsidP="00CC7DCB">
      <w:pPr>
        <w:spacing w:line="360" w:lineRule="auto"/>
        <w:jc w:val="center"/>
        <w:rPr>
          <w:rFonts w:ascii="Arial" w:hAnsi="Arial" w:cs="Arial"/>
          <w:sz w:val="32"/>
          <w:szCs w:val="36"/>
        </w:rPr>
      </w:pPr>
      <w:r>
        <w:rPr>
          <w:rFonts w:ascii="Arial" w:hAnsi="Arial" w:cs="Arial"/>
          <w:sz w:val="32"/>
          <w:szCs w:val="36"/>
        </w:rPr>
        <w:t xml:space="preserve">Doctor of Philosophy </w:t>
      </w:r>
    </w:p>
    <w:p w14:paraId="67C129BC" w14:textId="77777777" w:rsidR="00707B52" w:rsidRPr="005552F8" w:rsidRDefault="00707B52" w:rsidP="00CC7DCB">
      <w:pPr>
        <w:spacing w:line="360" w:lineRule="auto"/>
        <w:jc w:val="center"/>
        <w:rPr>
          <w:rFonts w:ascii="Arial" w:hAnsi="Arial" w:cs="Arial"/>
          <w:sz w:val="32"/>
          <w:szCs w:val="36"/>
        </w:rPr>
      </w:pPr>
      <w:r w:rsidRPr="005552F8">
        <w:rPr>
          <w:rFonts w:ascii="Arial" w:hAnsi="Arial" w:cs="Arial"/>
          <w:sz w:val="32"/>
          <w:szCs w:val="36"/>
        </w:rPr>
        <w:t>University of York</w:t>
      </w:r>
    </w:p>
    <w:p w14:paraId="786B0056" w14:textId="7DE987BE" w:rsidR="00707B52" w:rsidRPr="005552F8" w:rsidRDefault="00D405E6" w:rsidP="00CC7DCB">
      <w:pPr>
        <w:spacing w:line="360" w:lineRule="auto"/>
        <w:jc w:val="center"/>
        <w:rPr>
          <w:rFonts w:ascii="Arial" w:hAnsi="Arial" w:cs="Arial"/>
          <w:sz w:val="32"/>
          <w:szCs w:val="36"/>
        </w:rPr>
      </w:pPr>
      <w:r>
        <w:rPr>
          <w:rFonts w:ascii="Arial" w:hAnsi="Arial" w:cs="Arial"/>
          <w:sz w:val="32"/>
          <w:szCs w:val="36"/>
        </w:rPr>
        <w:t>Psychology</w:t>
      </w:r>
    </w:p>
    <w:p w14:paraId="3BF8EACA" w14:textId="77777777" w:rsidR="00707B52" w:rsidRPr="005552F8" w:rsidRDefault="00707B52" w:rsidP="00CC7DCB">
      <w:pPr>
        <w:spacing w:line="360" w:lineRule="auto"/>
        <w:jc w:val="center"/>
        <w:rPr>
          <w:rFonts w:ascii="Arial" w:hAnsi="Arial" w:cs="Arial"/>
          <w:sz w:val="32"/>
          <w:szCs w:val="36"/>
        </w:rPr>
      </w:pPr>
    </w:p>
    <w:p w14:paraId="5754117C" w14:textId="77777777" w:rsidR="00707B52" w:rsidRPr="005552F8" w:rsidRDefault="00707B52" w:rsidP="00CC7DCB">
      <w:pPr>
        <w:spacing w:line="360" w:lineRule="auto"/>
        <w:jc w:val="center"/>
        <w:rPr>
          <w:rFonts w:ascii="Arial" w:hAnsi="Arial" w:cs="Arial"/>
          <w:sz w:val="32"/>
          <w:szCs w:val="36"/>
        </w:rPr>
      </w:pPr>
    </w:p>
    <w:p w14:paraId="4F2FB489" w14:textId="284026F3" w:rsidR="00707B52" w:rsidRPr="005552F8" w:rsidRDefault="004D4B70" w:rsidP="00CC7DCB">
      <w:pPr>
        <w:spacing w:line="360" w:lineRule="auto"/>
        <w:jc w:val="center"/>
        <w:rPr>
          <w:rFonts w:ascii="Arial" w:hAnsi="Arial" w:cs="Arial"/>
          <w:sz w:val="32"/>
          <w:szCs w:val="36"/>
        </w:rPr>
      </w:pPr>
      <w:r>
        <w:rPr>
          <w:rFonts w:ascii="Arial" w:hAnsi="Arial" w:cs="Arial"/>
          <w:sz w:val="32"/>
          <w:szCs w:val="36"/>
        </w:rPr>
        <w:t>August</w:t>
      </w:r>
      <w:r w:rsidR="00707B52" w:rsidRPr="005552F8">
        <w:rPr>
          <w:rFonts w:ascii="Arial" w:hAnsi="Arial" w:cs="Arial"/>
          <w:sz w:val="32"/>
          <w:szCs w:val="36"/>
        </w:rPr>
        <w:t xml:space="preserve"> 2019</w:t>
      </w:r>
    </w:p>
    <w:p w14:paraId="742DDA96" w14:textId="77777777" w:rsidR="00707B52" w:rsidRDefault="00707B52" w:rsidP="00CC7DCB">
      <w:pPr>
        <w:pStyle w:val="Heading1"/>
        <w:jc w:val="center"/>
        <w:rPr>
          <w:rFonts w:ascii="Arial" w:hAnsi="Arial" w:cs="Arial"/>
          <w:b/>
          <w:color w:val="000000" w:themeColor="text1"/>
          <w:sz w:val="44"/>
          <w:szCs w:val="44"/>
        </w:rPr>
      </w:pPr>
    </w:p>
    <w:p w14:paraId="1E279F23" w14:textId="77777777" w:rsidR="00707B52" w:rsidRDefault="00707B52" w:rsidP="00CC7DCB">
      <w:pPr>
        <w:pStyle w:val="Heading1"/>
        <w:jc w:val="center"/>
        <w:rPr>
          <w:rFonts w:ascii="Arial" w:hAnsi="Arial" w:cs="Arial"/>
          <w:b/>
          <w:color w:val="000000" w:themeColor="text1"/>
          <w:sz w:val="44"/>
          <w:szCs w:val="44"/>
        </w:rPr>
      </w:pPr>
    </w:p>
    <w:p w14:paraId="7110B1E4" w14:textId="77777777" w:rsidR="00707B52" w:rsidRDefault="00707B52" w:rsidP="00707B52"/>
    <w:p w14:paraId="2885702A" w14:textId="77777777" w:rsidR="00707B52" w:rsidRDefault="00707B52" w:rsidP="001811CC">
      <w:pPr>
        <w:pStyle w:val="Heading1"/>
        <w:rPr>
          <w:rFonts w:ascii="Arial" w:hAnsi="Arial" w:cs="Arial"/>
          <w:b/>
          <w:color w:val="000000" w:themeColor="text1"/>
          <w:sz w:val="44"/>
          <w:szCs w:val="44"/>
        </w:rPr>
      </w:pPr>
    </w:p>
    <w:bookmarkEnd w:id="0"/>
    <w:bookmarkEnd w:id="1"/>
    <w:p w14:paraId="222CCA4F" w14:textId="77777777" w:rsidR="001811CC" w:rsidRPr="00707B52" w:rsidRDefault="001811CC" w:rsidP="001811CC">
      <w:pPr>
        <w:rPr>
          <w:sz w:val="44"/>
          <w:szCs w:val="44"/>
        </w:rPr>
      </w:pPr>
    </w:p>
    <w:p w14:paraId="3766C240" w14:textId="77777777" w:rsidR="00707B52" w:rsidRDefault="00707B52" w:rsidP="00CC7DCB">
      <w:pPr>
        <w:pStyle w:val="Heading1"/>
        <w:spacing w:line="360" w:lineRule="auto"/>
        <w:rPr>
          <w:rFonts w:ascii="Arial" w:hAnsi="Arial" w:cs="Arial"/>
          <w:b/>
          <w:color w:val="000000" w:themeColor="text1"/>
          <w:sz w:val="44"/>
          <w:szCs w:val="44"/>
        </w:rPr>
      </w:pPr>
      <w:bookmarkStart w:id="6" w:name="_Toc16075323"/>
      <w:bookmarkStart w:id="7" w:name="_Toc16236952"/>
      <w:r w:rsidRPr="00707B52">
        <w:rPr>
          <w:rFonts w:ascii="Arial" w:hAnsi="Arial" w:cs="Arial"/>
          <w:b/>
          <w:color w:val="000000" w:themeColor="text1"/>
          <w:sz w:val="44"/>
          <w:szCs w:val="44"/>
        </w:rPr>
        <w:lastRenderedPageBreak/>
        <w:t>Abstract</w:t>
      </w:r>
      <w:bookmarkEnd w:id="6"/>
      <w:bookmarkEnd w:id="7"/>
      <w:r w:rsidRPr="00707B52">
        <w:rPr>
          <w:rFonts w:ascii="Arial" w:hAnsi="Arial" w:cs="Arial"/>
          <w:b/>
          <w:color w:val="000000" w:themeColor="text1"/>
          <w:sz w:val="44"/>
          <w:szCs w:val="44"/>
        </w:rPr>
        <w:t xml:space="preserve"> </w:t>
      </w:r>
    </w:p>
    <w:p w14:paraId="7C36CFE3" w14:textId="77777777" w:rsidR="00771AF2" w:rsidRDefault="00771AF2" w:rsidP="00AE6937">
      <w:pPr>
        <w:rPr>
          <w:rFonts w:ascii="Arial" w:hAnsi="Arial" w:cs="Arial"/>
        </w:rPr>
      </w:pPr>
    </w:p>
    <w:p w14:paraId="10A99F1E" w14:textId="0227EC94" w:rsidR="0058546F" w:rsidRDefault="008A678E" w:rsidP="008A678E">
      <w:pPr>
        <w:spacing w:line="480" w:lineRule="auto"/>
        <w:rPr>
          <w:rFonts w:ascii="Arial" w:hAnsi="Arial" w:cs="Arial"/>
          <w:sz w:val="22"/>
          <w:szCs w:val="22"/>
        </w:rPr>
      </w:pPr>
      <w:r w:rsidRPr="00AE6937">
        <w:rPr>
          <w:rFonts w:ascii="Arial" w:hAnsi="Arial" w:cs="Arial"/>
          <w:sz w:val="22"/>
          <w:szCs w:val="22"/>
        </w:rPr>
        <w:t xml:space="preserve">The ability to successfully allocate attention to a particular feature </w:t>
      </w:r>
      <w:r w:rsidR="00D44AC6" w:rsidRPr="00AE6937">
        <w:rPr>
          <w:rFonts w:ascii="Arial" w:hAnsi="Arial" w:cs="Arial"/>
          <w:sz w:val="22"/>
          <w:szCs w:val="22"/>
        </w:rPr>
        <w:t>in</w:t>
      </w:r>
      <w:r w:rsidRPr="00AE6937">
        <w:rPr>
          <w:rFonts w:ascii="Arial" w:hAnsi="Arial" w:cs="Arial"/>
          <w:sz w:val="22"/>
          <w:szCs w:val="22"/>
        </w:rPr>
        <w:t xml:space="preserve"> the visual world is vital for successful functioning. Attention refers to a narrowing of focus, with increased processing of an attended attribute at the expense of other non-attended </w:t>
      </w:r>
      <w:r w:rsidR="00437176" w:rsidRPr="00AE6937">
        <w:rPr>
          <w:rFonts w:ascii="Arial" w:hAnsi="Arial" w:cs="Arial"/>
          <w:sz w:val="22"/>
          <w:szCs w:val="22"/>
        </w:rPr>
        <w:t>dimensions</w:t>
      </w:r>
      <w:r w:rsidRPr="00AE6937">
        <w:rPr>
          <w:rFonts w:ascii="Arial" w:hAnsi="Arial" w:cs="Arial"/>
          <w:sz w:val="22"/>
          <w:szCs w:val="22"/>
        </w:rPr>
        <w:t xml:space="preserve">. This attentional mechanism can modulate activity </w:t>
      </w:r>
      <w:r w:rsidR="00D44AC6" w:rsidRPr="00AE6937">
        <w:rPr>
          <w:rFonts w:ascii="Arial" w:hAnsi="Arial" w:cs="Arial"/>
          <w:sz w:val="22"/>
          <w:szCs w:val="22"/>
        </w:rPr>
        <w:t>in</w:t>
      </w:r>
      <w:r w:rsidRPr="00AE6937">
        <w:rPr>
          <w:rFonts w:ascii="Arial" w:hAnsi="Arial" w:cs="Arial"/>
          <w:sz w:val="22"/>
          <w:szCs w:val="22"/>
        </w:rPr>
        <w:t xml:space="preserve"> the visual cortex and beyond. However, the</w:t>
      </w:r>
      <w:r w:rsidR="0076709E" w:rsidRPr="00AE6937">
        <w:rPr>
          <w:rFonts w:ascii="Arial" w:hAnsi="Arial" w:cs="Arial"/>
          <w:sz w:val="22"/>
          <w:szCs w:val="22"/>
        </w:rPr>
        <w:t xml:space="preserve"> </w:t>
      </w:r>
      <w:r w:rsidR="00392F6D" w:rsidRPr="00AE6937">
        <w:rPr>
          <w:rFonts w:ascii="Arial" w:hAnsi="Arial" w:cs="Arial"/>
          <w:sz w:val="22"/>
          <w:szCs w:val="22"/>
        </w:rPr>
        <w:t>full range of spatial scales</w:t>
      </w:r>
      <w:r w:rsidRPr="00AE6937">
        <w:rPr>
          <w:rFonts w:ascii="Arial" w:hAnsi="Arial" w:cs="Arial"/>
          <w:sz w:val="22"/>
          <w:szCs w:val="22"/>
        </w:rPr>
        <w:t xml:space="preserve"> at which attentional effects are evident </w:t>
      </w:r>
      <w:r w:rsidR="00D44AC6" w:rsidRPr="00AE6937">
        <w:rPr>
          <w:rFonts w:ascii="Arial" w:hAnsi="Arial" w:cs="Arial"/>
          <w:sz w:val="22"/>
          <w:szCs w:val="22"/>
        </w:rPr>
        <w:t>in</w:t>
      </w:r>
      <w:r w:rsidRPr="00AE6937">
        <w:rPr>
          <w:rFonts w:ascii="Arial" w:hAnsi="Arial" w:cs="Arial"/>
          <w:sz w:val="22"/>
          <w:szCs w:val="22"/>
        </w:rPr>
        <w:t xml:space="preserve"> the visual cortex is still </w:t>
      </w:r>
      <w:r w:rsidR="0076709E" w:rsidRPr="00AE6937">
        <w:rPr>
          <w:rFonts w:ascii="Arial" w:hAnsi="Arial" w:cs="Arial"/>
          <w:sz w:val="22"/>
          <w:szCs w:val="22"/>
        </w:rPr>
        <w:t xml:space="preserve">relatively </w:t>
      </w:r>
      <w:r w:rsidR="00392F6D" w:rsidRPr="00AE6937">
        <w:rPr>
          <w:rFonts w:ascii="Arial" w:hAnsi="Arial" w:cs="Arial"/>
          <w:sz w:val="22"/>
          <w:szCs w:val="22"/>
        </w:rPr>
        <w:t>little understood</w:t>
      </w:r>
      <w:r w:rsidRPr="00AE6937">
        <w:rPr>
          <w:rFonts w:ascii="Arial" w:hAnsi="Arial" w:cs="Arial"/>
          <w:sz w:val="22"/>
          <w:szCs w:val="22"/>
        </w:rPr>
        <w:t xml:space="preserve">. This thesis aimed to investigate the effects of attentional modulation across the visual cortex at </w:t>
      </w:r>
      <w:r w:rsidR="0090737F" w:rsidRPr="00AE6937">
        <w:rPr>
          <w:rFonts w:ascii="Arial" w:hAnsi="Arial" w:cs="Arial"/>
          <w:sz w:val="22"/>
          <w:szCs w:val="22"/>
        </w:rPr>
        <w:t>several</w:t>
      </w:r>
      <w:r w:rsidRPr="00AE6937">
        <w:rPr>
          <w:rFonts w:ascii="Arial" w:hAnsi="Arial" w:cs="Arial"/>
          <w:sz w:val="22"/>
          <w:szCs w:val="22"/>
        </w:rPr>
        <w:t xml:space="preserve"> spatial scales, examining activation at the level of </w:t>
      </w:r>
      <w:r w:rsidR="0076709E" w:rsidRPr="00AE6937">
        <w:rPr>
          <w:rFonts w:ascii="Arial" w:hAnsi="Arial" w:cs="Arial"/>
          <w:sz w:val="22"/>
          <w:szCs w:val="22"/>
        </w:rPr>
        <w:t xml:space="preserve">mean activity </w:t>
      </w:r>
      <w:r w:rsidR="00D44AC6" w:rsidRPr="00AE6937">
        <w:rPr>
          <w:rFonts w:ascii="Arial" w:hAnsi="Arial" w:cs="Arial"/>
          <w:sz w:val="22"/>
          <w:szCs w:val="22"/>
        </w:rPr>
        <w:t>in</w:t>
      </w:r>
      <w:r w:rsidR="0076709E" w:rsidRPr="00AE6937">
        <w:rPr>
          <w:rFonts w:ascii="Arial" w:hAnsi="Arial" w:cs="Arial"/>
          <w:sz w:val="22"/>
          <w:szCs w:val="22"/>
        </w:rPr>
        <w:t xml:space="preserve"> </w:t>
      </w:r>
      <w:r w:rsidRPr="00AE6937">
        <w:rPr>
          <w:rFonts w:ascii="Arial" w:hAnsi="Arial" w:cs="Arial"/>
          <w:sz w:val="22"/>
          <w:szCs w:val="22"/>
        </w:rPr>
        <w:t>individual regions-of-interest</w:t>
      </w:r>
      <w:r w:rsidR="007F03C6" w:rsidRPr="00AE6937">
        <w:rPr>
          <w:rFonts w:ascii="Arial" w:hAnsi="Arial" w:cs="Arial"/>
          <w:sz w:val="22"/>
          <w:szCs w:val="22"/>
        </w:rPr>
        <w:t xml:space="preserve">, </w:t>
      </w:r>
      <w:r w:rsidR="0076709E" w:rsidRPr="00AE6937">
        <w:rPr>
          <w:rFonts w:ascii="Arial" w:hAnsi="Arial" w:cs="Arial"/>
          <w:sz w:val="22"/>
          <w:szCs w:val="22"/>
        </w:rPr>
        <w:t>comparing patterns of voxel-level activity</w:t>
      </w:r>
      <w:r w:rsidRPr="00AE6937">
        <w:rPr>
          <w:rFonts w:ascii="Arial" w:hAnsi="Arial" w:cs="Arial"/>
          <w:sz w:val="22"/>
          <w:szCs w:val="22"/>
        </w:rPr>
        <w:t>, and employing connectivity-style approaches to examine communication between multiple visual areas simultaneously.</w:t>
      </w:r>
      <w:r w:rsidR="00AE6937">
        <w:rPr>
          <w:rFonts w:ascii="Arial" w:hAnsi="Arial" w:cs="Arial"/>
          <w:sz w:val="22"/>
          <w:szCs w:val="22"/>
        </w:rPr>
        <w:t xml:space="preserve"> </w:t>
      </w:r>
    </w:p>
    <w:p w14:paraId="43D20AAD" w14:textId="77777777" w:rsidR="00AE6937" w:rsidRDefault="00AE6937" w:rsidP="00AE6937">
      <w:pPr>
        <w:rPr>
          <w:rFonts w:ascii="Arial" w:hAnsi="Arial" w:cs="Arial"/>
          <w:sz w:val="22"/>
          <w:szCs w:val="22"/>
        </w:rPr>
      </w:pPr>
    </w:p>
    <w:p w14:paraId="05F6136F" w14:textId="16743361" w:rsidR="00AC2195" w:rsidRPr="00AE6937" w:rsidRDefault="0058546F" w:rsidP="00AE6937">
      <w:pPr>
        <w:spacing w:line="480" w:lineRule="auto"/>
        <w:rPr>
          <w:rFonts w:ascii="Arial" w:hAnsi="Arial" w:cs="Arial"/>
          <w:sz w:val="22"/>
          <w:szCs w:val="22"/>
        </w:rPr>
      </w:pPr>
      <w:r w:rsidRPr="00AE6937">
        <w:rPr>
          <w:rFonts w:ascii="Arial" w:hAnsi="Arial" w:cs="Arial"/>
          <w:sz w:val="22"/>
          <w:szCs w:val="22"/>
        </w:rPr>
        <w:t>We identified little robust evidence of differing modulation as a function of attentional task at the univariate level</w:t>
      </w:r>
      <w:r w:rsidR="007F03C6" w:rsidRPr="00AE6937">
        <w:rPr>
          <w:rFonts w:ascii="Arial" w:hAnsi="Arial" w:cs="Arial"/>
          <w:sz w:val="22"/>
          <w:szCs w:val="22"/>
        </w:rPr>
        <w:t xml:space="preserve"> (mean activation within an ROI). </w:t>
      </w:r>
      <w:r w:rsidRPr="00AE6937">
        <w:rPr>
          <w:rFonts w:ascii="Arial" w:hAnsi="Arial" w:cs="Arial"/>
          <w:sz w:val="22"/>
          <w:szCs w:val="22"/>
        </w:rPr>
        <w:t xml:space="preserve"> </w:t>
      </w:r>
      <w:r w:rsidR="00AE6937">
        <w:rPr>
          <w:rFonts w:ascii="Arial" w:hAnsi="Arial" w:cs="Arial"/>
          <w:sz w:val="22"/>
          <w:szCs w:val="22"/>
        </w:rPr>
        <w:t>However, w</w:t>
      </w:r>
      <w:r w:rsidRPr="00AE6937">
        <w:rPr>
          <w:rFonts w:ascii="Arial" w:hAnsi="Arial" w:cs="Arial"/>
          <w:sz w:val="22"/>
          <w:szCs w:val="22"/>
        </w:rPr>
        <w:t xml:space="preserve">e note clear differences in patterns of attentional modulation as a function of task when comparing voxel-level patterns of activation </w:t>
      </w:r>
      <w:r w:rsidR="00D44AC6" w:rsidRPr="00AE6937">
        <w:rPr>
          <w:rFonts w:ascii="Arial" w:hAnsi="Arial" w:cs="Arial"/>
          <w:sz w:val="22"/>
          <w:szCs w:val="22"/>
        </w:rPr>
        <w:t>in</w:t>
      </w:r>
      <w:r w:rsidRPr="00AE6937">
        <w:rPr>
          <w:rFonts w:ascii="Arial" w:hAnsi="Arial" w:cs="Arial"/>
          <w:sz w:val="22"/>
          <w:szCs w:val="22"/>
        </w:rPr>
        <w:t xml:space="preserve"> individual visual ROIs at the multivariate level. </w:t>
      </w:r>
      <w:r w:rsidR="007F03C6" w:rsidRPr="00AE6937">
        <w:rPr>
          <w:rFonts w:ascii="Arial" w:hAnsi="Arial" w:cs="Arial"/>
          <w:sz w:val="22"/>
          <w:szCs w:val="22"/>
        </w:rPr>
        <w:t>W</w:t>
      </w:r>
      <w:r w:rsidRPr="00AE6937">
        <w:rPr>
          <w:rFonts w:ascii="Arial" w:hAnsi="Arial" w:cs="Arial"/>
          <w:sz w:val="22"/>
          <w:szCs w:val="22"/>
        </w:rPr>
        <w:t xml:space="preserve">e </w:t>
      </w:r>
      <w:r w:rsidR="00AE6937">
        <w:rPr>
          <w:rFonts w:ascii="Arial" w:hAnsi="Arial" w:cs="Arial"/>
          <w:sz w:val="22"/>
          <w:szCs w:val="22"/>
        </w:rPr>
        <w:t xml:space="preserve">also </w:t>
      </w:r>
      <w:r w:rsidRPr="00AE6937">
        <w:rPr>
          <w:rFonts w:ascii="Arial" w:hAnsi="Arial" w:cs="Arial"/>
          <w:sz w:val="22"/>
          <w:szCs w:val="22"/>
        </w:rPr>
        <w:t xml:space="preserve">assessed communication between multiple visual regions simultaneously as a function of attentional task. </w:t>
      </w:r>
      <w:r w:rsidR="007F03C6" w:rsidRPr="00AE6937">
        <w:rPr>
          <w:rFonts w:ascii="Arial" w:hAnsi="Arial" w:cs="Arial"/>
          <w:sz w:val="22"/>
          <w:szCs w:val="22"/>
        </w:rPr>
        <w:t>We</w:t>
      </w:r>
      <w:r w:rsidRPr="00AE6937">
        <w:rPr>
          <w:rFonts w:ascii="Arial" w:hAnsi="Arial" w:cs="Arial"/>
          <w:sz w:val="22"/>
          <w:szCs w:val="22"/>
        </w:rPr>
        <w:t xml:space="preserve"> identify significantly greater positive connectivity during passive viewing than during</w:t>
      </w:r>
      <w:r w:rsidR="00437176" w:rsidRPr="00AE6937">
        <w:rPr>
          <w:rFonts w:ascii="Arial" w:hAnsi="Arial" w:cs="Arial"/>
          <w:sz w:val="22"/>
          <w:szCs w:val="22"/>
        </w:rPr>
        <w:t xml:space="preserve"> </w:t>
      </w:r>
      <w:r w:rsidRPr="00AE6937">
        <w:rPr>
          <w:rFonts w:ascii="Arial" w:hAnsi="Arial" w:cs="Arial"/>
          <w:sz w:val="22"/>
          <w:szCs w:val="22"/>
        </w:rPr>
        <w:t>directed attention</w:t>
      </w:r>
      <w:r w:rsidR="00437176" w:rsidRPr="00AE6937">
        <w:rPr>
          <w:rFonts w:ascii="Arial" w:hAnsi="Arial" w:cs="Arial"/>
          <w:sz w:val="22"/>
          <w:szCs w:val="22"/>
        </w:rPr>
        <w:t xml:space="preserve"> tasks</w:t>
      </w:r>
      <w:r w:rsidRPr="00AE6937">
        <w:rPr>
          <w:rFonts w:ascii="Arial" w:hAnsi="Arial" w:cs="Arial"/>
          <w:sz w:val="22"/>
          <w:szCs w:val="22"/>
        </w:rPr>
        <w:t>. We</w:t>
      </w:r>
      <w:r w:rsidR="00437176" w:rsidRPr="00AE6937">
        <w:rPr>
          <w:rFonts w:ascii="Arial" w:hAnsi="Arial" w:cs="Arial"/>
          <w:sz w:val="22"/>
          <w:szCs w:val="22"/>
        </w:rPr>
        <w:t xml:space="preserve"> suggest this finding is representative of a visual ‘default mode’ network, at a smaller spatial scale </w:t>
      </w:r>
      <w:r w:rsidR="007F03C6" w:rsidRPr="00AE6937">
        <w:rPr>
          <w:rFonts w:ascii="Arial" w:hAnsi="Arial" w:cs="Arial"/>
          <w:sz w:val="22"/>
          <w:szCs w:val="22"/>
        </w:rPr>
        <w:t xml:space="preserve">than </w:t>
      </w:r>
      <w:r w:rsidR="00437176" w:rsidRPr="00AE6937">
        <w:rPr>
          <w:rFonts w:ascii="Arial" w:hAnsi="Arial" w:cs="Arial"/>
          <w:sz w:val="22"/>
          <w:szCs w:val="22"/>
        </w:rPr>
        <w:t>traditional connectivity research</w:t>
      </w:r>
      <w:r w:rsidR="007F03C6" w:rsidRPr="00AE6937">
        <w:rPr>
          <w:rFonts w:ascii="Arial" w:hAnsi="Arial" w:cs="Arial"/>
          <w:sz w:val="22"/>
          <w:szCs w:val="22"/>
        </w:rPr>
        <w:t xml:space="preserve">. </w:t>
      </w:r>
      <w:r w:rsidRPr="00AE6937">
        <w:rPr>
          <w:rFonts w:ascii="Arial" w:hAnsi="Arial" w:cs="Arial"/>
          <w:sz w:val="22"/>
          <w:szCs w:val="22"/>
        </w:rPr>
        <w:t xml:space="preserve"> </w:t>
      </w:r>
      <w:r w:rsidR="00437176" w:rsidRPr="00AE6937">
        <w:rPr>
          <w:rFonts w:ascii="Arial" w:hAnsi="Arial" w:cs="Arial"/>
          <w:sz w:val="22"/>
          <w:szCs w:val="22"/>
        </w:rPr>
        <w:t xml:space="preserve">Finally, we find the overall pattern </w:t>
      </w:r>
      <w:r w:rsidR="00392F6D" w:rsidRPr="00AE6937">
        <w:rPr>
          <w:rFonts w:ascii="Arial" w:hAnsi="Arial" w:cs="Arial"/>
          <w:sz w:val="22"/>
          <w:szCs w:val="22"/>
        </w:rPr>
        <w:t xml:space="preserve">of </w:t>
      </w:r>
      <w:r w:rsidR="00437176" w:rsidRPr="00AE6937">
        <w:rPr>
          <w:rFonts w:ascii="Arial" w:hAnsi="Arial" w:cs="Arial"/>
          <w:sz w:val="22"/>
          <w:szCs w:val="22"/>
        </w:rPr>
        <w:t xml:space="preserve">results collected with highly-controlled low-level visual stimuli, generalise relatively well to our experiment investigating attentional effects with an uncontrolled, dynamic and relatively naturalistic stimulus. </w:t>
      </w:r>
      <w:r w:rsidR="00D44AC6" w:rsidRPr="00AE6937">
        <w:rPr>
          <w:rFonts w:ascii="Arial" w:hAnsi="Arial" w:cs="Arial"/>
          <w:sz w:val="22"/>
          <w:szCs w:val="22"/>
        </w:rPr>
        <w:t>In</w:t>
      </w:r>
      <w:r w:rsidR="00392F6D" w:rsidRPr="00AE6937">
        <w:rPr>
          <w:rFonts w:ascii="Arial" w:hAnsi="Arial" w:cs="Arial"/>
          <w:sz w:val="22"/>
          <w:szCs w:val="22"/>
        </w:rPr>
        <w:t xml:space="preserve"> this more-naturalistic experiment, w</w:t>
      </w:r>
      <w:r w:rsidR="00437176" w:rsidRPr="00AE6937">
        <w:rPr>
          <w:rFonts w:ascii="Arial" w:hAnsi="Arial" w:cs="Arial"/>
          <w:sz w:val="22"/>
          <w:szCs w:val="22"/>
        </w:rPr>
        <w:t xml:space="preserve">e identify little robust evidence of attentional modulation at both the univariate and multivariate levels. We also, however, demonstrate significant differences in patterns of connectivity across ROIs as a function of attentional task. </w:t>
      </w:r>
    </w:p>
    <w:sdt>
      <w:sdtPr>
        <w:rPr>
          <w:rFonts w:ascii="Times New Roman" w:eastAsia="Times New Roman" w:hAnsi="Times New Roman" w:cs="Times New Roman"/>
          <w:b w:val="0"/>
          <w:bCs w:val="0"/>
          <w:color w:val="auto"/>
          <w:sz w:val="24"/>
          <w:szCs w:val="24"/>
          <w:lang w:val="en-GB"/>
        </w:rPr>
        <w:id w:val="-154913285"/>
        <w:docPartObj>
          <w:docPartGallery w:val="Table of Contents"/>
          <w:docPartUnique/>
        </w:docPartObj>
      </w:sdtPr>
      <w:sdtEndPr>
        <w:rPr>
          <w:rFonts w:ascii="Arial" w:hAnsi="Arial" w:cs="Arial"/>
          <w:noProof/>
          <w:color w:val="000000" w:themeColor="text1"/>
        </w:rPr>
      </w:sdtEndPr>
      <w:sdtContent>
        <w:p w14:paraId="3AA481E2" w14:textId="77777777" w:rsidR="00091CBA" w:rsidRDefault="00AC2195" w:rsidP="00091CBA">
          <w:pPr>
            <w:pStyle w:val="TOCHeading"/>
            <w:rPr>
              <w:noProof/>
            </w:rPr>
          </w:pPr>
          <w:r w:rsidRPr="00AC2195">
            <w:rPr>
              <w:rStyle w:val="Heading1Char"/>
              <w:rFonts w:ascii="Arial" w:hAnsi="Arial" w:cs="Arial"/>
              <w:color w:val="000000" w:themeColor="text1"/>
              <w:sz w:val="44"/>
              <w:szCs w:val="44"/>
            </w:rPr>
            <w:t>Table of Contents</w:t>
          </w:r>
          <w:r w:rsidRPr="00AC2195">
            <w:rPr>
              <w:rFonts w:ascii="Arial" w:hAnsi="Arial" w:cs="Arial"/>
              <w:b w:val="0"/>
              <w:bCs w:val="0"/>
              <w:i/>
              <w:iCs/>
              <w:color w:val="000000" w:themeColor="text1"/>
            </w:rPr>
            <w:fldChar w:fldCharType="begin"/>
          </w:r>
          <w:r w:rsidRPr="00AC2195">
            <w:rPr>
              <w:rFonts w:ascii="Arial" w:hAnsi="Arial" w:cs="Arial"/>
              <w:b w:val="0"/>
              <w:bCs w:val="0"/>
              <w:i/>
              <w:iCs/>
              <w:color w:val="000000" w:themeColor="text1"/>
            </w:rPr>
            <w:instrText xml:space="preserve"> TOC \o "1-3" \h \z \u </w:instrText>
          </w:r>
          <w:r w:rsidRPr="00AC2195">
            <w:rPr>
              <w:rFonts w:ascii="Arial" w:hAnsi="Arial" w:cs="Arial"/>
              <w:b w:val="0"/>
              <w:bCs w:val="0"/>
              <w:i/>
              <w:iCs/>
              <w:color w:val="000000" w:themeColor="text1"/>
            </w:rPr>
            <w:fldChar w:fldCharType="separate"/>
          </w:r>
        </w:p>
        <w:p w14:paraId="29604037" w14:textId="5FCA771C" w:rsidR="00091CBA" w:rsidRPr="00091CBA" w:rsidRDefault="00F77F86" w:rsidP="00091CBA">
          <w:pPr>
            <w:pStyle w:val="TOC1"/>
            <w:tabs>
              <w:tab w:val="right" w:pos="8182"/>
            </w:tabs>
            <w:spacing w:line="360" w:lineRule="auto"/>
            <w:rPr>
              <w:rFonts w:ascii="Arial" w:eastAsiaTheme="minorEastAsia" w:hAnsi="Arial" w:cs="Arial"/>
              <w:b w:val="0"/>
              <w:bCs w:val="0"/>
              <w:i w:val="0"/>
              <w:iCs w:val="0"/>
              <w:noProof/>
            </w:rPr>
          </w:pPr>
          <w:hyperlink w:anchor="_Toc16236952" w:history="1">
            <w:r w:rsidR="00091CBA" w:rsidRPr="00091CBA">
              <w:rPr>
                <w:rStyle w:val="Hyperlink"/>
                <w:rFonts w:ascii="Arial" w:hAnsi="Arial" w:cs="Arial"/>
                <w:b w:val="0"/>
                <w:bCs w:val="0"/>
                <w:i w:val="0"/>
                <w:iCs w:val="0"/>
                <w:noProof/>
              </w:rPr>
              <w:t>Abstract</w:t>
            </w:r>
            <w:r w:rsidR="00091CBA" w:rsidRPr="00091CBA">
              <w:rPr>
                <w:rFonts w:ascii="Arial" w:hAnsi="Arial" w:cs="Arial"/>
                <w:b w:val="0"/>
                <w:bCs w:val="0"/>
                <w:i w:val="0"/>
                <w:iCs w:val="0"/>
                <w:noProof/>
                <w:webHidden/>
              </w:rPr>
              <w:tab/>
            </w:r>
            <w:r w:rsidR="00091CBA" w:rsidRPr="00091CBA">
              <w:rPr>
                <w:rFonts w:ascii="Arial" w:hAnsi="Arial" w:cs="Arial"/>
                <w:b w:val="0"/>
                <w:bCs w:val="0"/>
                <w:i w:val="0"/>
                <w:iCs w:val="0"/>
                <w:noProof/>
                <w:webHidden/>
              </w:rPr>
              <w:fldChar w:fldCharType="begin"/>
            </w:r>
            <w:r w:rsidR="00091CBA" w:rsidRPr="00091CBA">
              <w:rPr>
                <w:rFonts w:ascii="Arial" w:hAnsi="Arial" w:cs="Arial"/>
                <w:b w:val="0"/>
                <w:bCs w:val="0"/>
                <w:i w:val="0"/>
                <w:iCs w:val="0"/>
                <w:noProof/>
                <w:webHidden/>
              </w:rPr>
              <w:instrText xml:space="preserve"> PAGEREF _Toc16236952 \h </w:instrText>
            </w:r>
            <w:r w:rsidR="00091CBA" w:rsidRPr="00091CBA">
              <w:rPr>
                <w:rFonts w:ascii="Arial" w:hAnsi="Arial" w:cs="Arial"/>
                <w:b w:val="0"/>
                <w:bCs w:val="0"/>
                <w:i w:val="0"/>
                <w:iCs w:val="0"/>
                <w:noProof/>
                <w:webHidden/>
              </w:rPr>
            </w:r>
            <w:r w:rsidR="00091CBA" w:rsidRPr="00091CBA">
              <w:rPr>
                <w:rFonts w:ascii="Arial" w:hAnsi="Arial" w:cs="Arial"/>
                <w:b w:val="0"/>
                <w:bCs w:val="0"/>
                <w:i w:val="0"/>
                <w:iCs w:val="0"/>
                <w:noProof/>
                <w:webHidden/>
              </w:rPr>
              <w:fldChar w:fldCharType="separate"/>
            </w:r>
            <w:r w:rsidR="008437FC">
              <w:rPr>
                <w:rFonts w:ascii="Arial" w:hAnsi="Arial" w:cs="Arial"/>
                <w:b w:val="0"/>
                <w:bCs w:val="0"/>
                <w:i w:val="0"/>
                <w:iCs w:val="0"/>
                <w:noProof/>
                <w:webHidden/>
              </w:rPr>
              <w:t>2</w:t>
            </w:r>
            <w:r w:rsidR="00091CBA" w:rsidRPr="00091CBA">
              <w:rPr>
                <w:rFonts w:ascii="Arial" w:hAnsi="Arial" w:cs="Arial"/>
                <w:b w:val="0"/>
                <w:bCs w:val="0"/>
                <w:i w:val="0"/>
                <w:iCs w:val="0"/>
                <w:noProof/>
                <w:webHidden/>
              </w:rPr>
              <w:fldChar w:fldCharType="end"/>
            </w:r>
          </w:hyperlink>
        </w:p>
        <w:p w14:paraId="6C8C3906" w14:textId="151EE3A3" w:rsidR="00091CBA" w:rsidRPr="00091CBA" w:rsidRDefault="00F77F86" w:rsidP="00091CBA">
          <w:pPr>
            <w:pStyle w:val="TOC1"/>
            <w:tabs>
              <w:tab w:val="right" w:pos="8182"/>
            </w:tabs>
            <w:spacing w:line="360" w:lineRule="auto"/>
            <w:rPr>
              <w:rFonts w:ascii="Arial" w:eastAsiaTheme="minorEastAsia" w:hAnsi="Arial" w:cs="Arial"/>
              <w:b w:val="0"/>
              <w:bCs w:val="0"/>
              <w:i w:val="0"/>
              <w:iCs w:val="0"/>
              <w:noProof/>
            </w:rPr>
          </w:pPr>
          <w:hyperlink w:anchor="_Toc16236953" w:history="1">
            <w:r w:rsidR="00091CBA" w:rsidRPr="00091CBA">
              <w:rPr>
                <w:rStyle w:val="Hyperlink"/>
                <w:rFonts w:ascii="Arial" w:hAnsi="Arial" w:cs="Arial"/>
                <w:b w:val="0"/>
                <w:bCs w:val="0"/>
                <w:i w:val="0"/>
                <w:iCs w:val="0"/>
                <w:noProof/>
              </w:rPr>
              <w:t>List of Tables</w:t>
            </w:r>
            <w:r w:rsidR="00091CBA" w:rsidRPr="00091CBA">
              <w:rPr>
                <w:rFonts w:ascii="Arial" w:hAnsi="Arial" w:cs="Arial"/>
                <w:b w:val="0"/>
                <w:bCs w:val="0"/>
                <w:i w:val="0"/>
                <w:iCs w:val="0"/>
                <w:noProof/>
                <w:webHidden/>
              </w:rPr>
              <w:tab/>
            </w:r>
            <w:r w:rsidR="00127A5F">
              <w:rPr>
                <w:rFonts w:ascii="Arial" w:hAnsi="Arial" w:cs="Arial"/>
                <w:b w:val="0"/>
                <w:bCs w:val="0"/>
                <w:i w:val="0"/>
                <w:iCs w:val="0"/>
                <w:noProof/>
                <w:webHidden/>
              </w:rPr>
              <w:t>7</w:t>
            </w:r>
          </w:hyperlink>
        </w:p>
        <w:p w14:paraId="5A747A1D" w14:textId="39B1392E" w:rsidR="00091CBA" w:rsidRPr="00091CBA" w:rsidRDefault="00F77F86" w:rsidP="00091CBA">
          <w:pPr>
            <w:pStyle w:val="TOC1"/>
            <w:tabs>
              <w:tab w:val="right" w:pos="8182"/>
            </w:tabs>
            <w:spacing w:line="360" w:lineRule="auto"/>
            <w:rPr>
              <w:rFonts w:ascii="Arial" w:eastAsiaTheme="minorEastAsia" w:hAnsi="Arial" w:cs="Arial"/>
              <w:b w:val="0"/>
              <w:bCs w:val="0"/>
              <w:i w:val="0"/>
              <w:iCs w:val="0"/>
              <w:noProof/>
            </w:rPr>
          </w:pPr>
          <w:hyperlink w:anchor="_Toc16236954" w:history="1">
            <w:r w:rsidR="00091CBA" w:rsidRPr="00091CBA">
              <w:rPr>
                <w:rStyle w:val="Hyperlink"/>
                <w:rFonts w:ascii="Arial" w:hAnsi="Arial" w:cs="Arial"/>
                <w:b w:val="0"/>
                <w:bCs w:val="0"/>
                <w:i w:val="0"/>
                <w:iCs w:val="0"/>
                <w:noProof/>
              </w:rPr>
              <w:t>List of Figures</w:t>
            </w:r>
            <w:r w:rsidR="00091CBA" w:rsidRPr="00091CBA">
              <w:rPr>
                <w:rFonts w:ascii="Arial" w:hAnsi="Arial" w:cs="Arial"/>
                <w:b w:val="0"/>
                <w:bCs w:val="0"/>
                <w:i w:val="0"/>
                <w:iCs w:val="0"/>
                <w:noProof/>
                <w:webHidden/>
              </w:rPr>
              <w:tab/>
            </w:r>
            <w:r w:rsidR="00127A5F">
              <w:rPr>
                <w:rFonts w:ascii="Arial" w:hAnsi="Arial" w:cs="Arial"/>
                <w:b w:val="0"/>
                <w:bCs w:val="0"/>
                <w:i w:val="0"/>
                <w:iCs w:val="0"/>
                <w:noProof/>
                <w:webHidden/>
              </w:rPr>
              <w:t>8</w:t>
            </w:r>
          </w:hyperlink>
        </w:p>
        <w:p w14:paraId="417D89C5" w14:textId="0A917054" w:rsidR="00091CBA" w:rsidRPr="00091CBA" w:rsidRDefault="00F77F86" w:rsidP="00091CBA">
          <w:pPr>
            <w:pStyle w:val="TOC1"/>
            <w:tabs>
              <w:tab w:val="right" w:pos="8182"/>
            </w:tabs>
            <w:spacing w:line="360" w:lineRule="auto"/>
            <w:rPr>
              <w:rFonts w:ascii="Arial" w:eastAsiaTheme="minorEastAsia" w:hAnsi="Arial" w:cs="Arial"/>
              <w:b w:val="0"/>
              <w:bCs w:val="0"/>
              <w:i w:val="0"/>
              <w:iCs w:val="0"/>
              <w:noProof/>
            </w:rPr>
          </w:pPr>
          <w:hyperlink w:anchor="_Toc16236955" w:history="1">
            <w:r w:rsidR="00091CBA" w:rsidRPr="00091CBA">
              <w:rPr>
                <w:rStyle w:val="Hyperlink"/>
                <w:rFonts w:ascii="Arial" w:hAnsi="Arial" w:cs="Arial"/>
                <w:b w:val="0"/>
                <w:bCs w:val="0"/>
                <w:i w:val="0"/>
                <w:iCs w:val="0"/>
                <w:noProof/>
              </w:rPr>
              <w:t>List of Equations</w:t>
            </w:r>
            <w:r w:rsidR="00091CBA" w:rsidRPr="00091CBA">
              <w:rPr>
                <w:rFonts w:ascii="Arial" w:hAnsi="Arial" w:cs="Arial"/>
                <w:b w:val="0"/>
                <w:bCs w:val="0"/>
                <w:i w:val="0"/>
                <w:iCs w:val="0"/>
                <w:noProof/>
                <w:webHidden/>
              </w:rPr>
              <w:tab/>
            </w:r>
            <w:r w:rsidR="00091CBA" w:rsidRPr="00091CBA">
              <w:rPr>
                <w:rFonts w:ascii="Arial" w:hAnsi="Arial" w:cs="Arial"/>
                <w:b w:val="0"/>
                <w:bCs w:val="0"/>
                <w:i w:val="0"/>
                <w:iCs w:val="0"/>
                <w:noProof/>
                <w:webHidden/>
              </w:rPr>
              <w:fldChar w:fldCharType="begin"/>
            </w:r>
            <w:r w:rsidR="00091CBA" w:rsidRPr="00091CBA">
              <w:rPr>
                <w:rFonts w:ascii="Arial" w:hAnsi="Arial" w:cs="Arial"/>
                <w:b w:val="0"/>
                <w:bCs w:val="0"/>
                <w:i w:val="0"/>
                <w:iCs w:val="0"/>
                <w:noProof/>
                <w:webHidden/>
              </w:rPr>
              <w:instrText xml:space="preserve"> PAGEREF _Toc16236955 \h </w:instrText>
            </w:r>
            <w:r w:rsidR="00091CBA" w:rsidRPr="00091CBA">
              <w:rPr>
                <w:rFonts w:ascii="Arial" w:hAnsi="Arial" w:cs="Arial"/>
                <w:b w:val="0"/>
                <w:bCs w:val="0"/>
                <w:i w:val="0"/>
                <w:iCs w:val="0"/>
                <w:noProof/>
                <w:webHidden/>
              </w:rPr>
            </w:r>
            <w:r w:rsidR="00091CBA" w:rsidRPr="00091CBA">
              <w:rPr>
                <w:rFonts w:ascii="Arial" w:hAnsi="Arial" w:cs="Arial"/>
                <w:b w:val="0"/>
                <w:bCs w:val="0"/>
                <w:i w:val="0"/>
                <w:iCs w:val="0"/>
                <w:noProof/>
                <w:webHidden/>
              </w:rPr>
              <w:fldChar w:fldCharType="separate"/>
            </w:r>
            <w:r w:rsidR="008437FC">
              <w:rPr>
                <w:rFonts w:ascii="Arial" w:hAnsi="Arial" w:cs="Arial"/>
                <w:b w:val="0"/>
                <w:bCs w:val="0"/>
                <w:i w:val="0"/>
                <w:iCs w:val="0"/>
                <w:noProof/>
                <w:webHidden/>
              </w:rPr>
              <w:t>1</w:t>
            </w:r>
            <w:r w:rsidR="00127A5F">
              <w:rPr>
                <w:rFonts w:ascii="Arial" w:hAnsi="Arial" w:cs="Arial"/>
                <w:b w:val="0"/>
                <w:bCs w:val="0"/>
                <w:i w:val="0"/>
                <w:iCs w:val="0"/>
                <w:noProof/>
                <w:webHidden/>
              </w:rPr>
              <w:t>8</w:t>
            </w:r>
            <w:r w:rsidR="00091CBA" w:rsidRPr="00091CBA">
              <w:rPr>
                <w:rFonts w:ascii="Arial" w:hAnsi="Arial" w:cs="Arial"/>
                <w:b w:val="0"/>
                <w:bCs w:val="0"/>
                <w:i w:val="0"/>
                <w:iCs w:val="0"/>
                <w:noProof/>
                <w:webHidden/>
              </w:rPr>
              <w:fldChar w:fldCharType="end"/>
            </w:r>
          </w:hyperlink>
        </w:p>
        <w:p w14:paraId="081B1F3D" w14:textId="72768F0F" w:rsidR="00091CBA" w:rsidRPr="00091CBA" w:rsidRDefault="00F77F86" w:rsidP="00091CBA">
          <w:pPr>
            <w:pStyle w:val="TOC1"/>
            <w:tabs>
              <w:tab w:val="right" w:pos="8182"/>
            </w:tabs>
            <w:spacing w:line="360" w:lineRule="auto"/>
            <w:rPr>
              <w:rFonts w:ascii="Arial" w:eastAsiaTheme="minorEastAsia" w:hAnsi="Arial" w:cs="Arial"/>
              <w:b w:val="0"/>
              <w:bCs w:val="0"/>
              <w:i w:val="0"/>
              <w:iCs w:val="0"/>
              <w:noProof/>
            </w:rPr>
          </w:pPr>
          <w:hyperlink w:anchor="_Toc16236956" w:history="1">
            <w:r w:rsidR="00091CBA" w:rsidRPr="00091CBA">
              <w:rPr>
                <w:rStyle w:val="Hyperlink"/>
                <w:rFonts w:ascii="Arial" w:hAnsi="Arial" w:cs="Arial"/>
                <w:b w:val="0"/>
                <w:bCs w:val="0"/>
                <w:i w:val="0"/>
                <w:iCs w:val="0"/>
                <w:noProof/>
              </w:rPr>
              <w:t>Acknowledgements</w:t>
            </w:r>
            <w:r w:rsidR="00091CBA" w:rsidRPr="00091CBA">
              <w:rPr>
                <w:rFonts w:ascii="Arial" w:hAnsi="Arial" w:cs="Arial"/>
                <w:b w:val="0"/>
                <w:bCs w:val="0"/>
                <w:i w:val="0"/>
                <w:iCs w:val="0"/>
                <w:noProof/>
                <w:webHidden/>
              </w:rPr>
              <w:tab/>
            </w:r>
            <w:r w:rsidR="00091CBA" w:rsidRPr="00091CBA">
              <w:rPr>
                <w:rFonts w:ascii="Arial" w:hAnsi="Arial" w:cs="Arial"/>
                <w:b w:val="0"/>
                <w:bCs w:val="0"/>
                <w:i w:val="0"/>
                <w:iCs w:val="0"/>
                <w:noProof/>
                <w:webHidden/>
              </w:rPr>
              <w:fldChar w:fldCharType="begin"/>
            </w:r>
            <w:r w:rsidR="00091CBA" w:rsidRPr="00091CBA">
              <w:rPr>
                <w:rFonts w:ascii="Arial" w:hAnsi="Arial" w:cs="Arial"/>
                <w:b w:val="0"/>
                <w:bCs w:val="0"/>
                <w:i w:val="0"/>
                <w:iCs w:val="0"/>
                <w:noProof/>
                <w:webHidden/>
              </w:rPr>
              <w:instrText xml:space="preserve"> PAGEREF _Toc16236956 \h </w:instrText>
            </w:r>
            <w:r w:rsidR="00091CBA" w:rsidRPr="00091CBA">
              <w:rPr>
                <w:rFonts w:ascii="Arial" w:hAnsi="Arial" w:cs="Arial"/>
                <w:b w:val="0"/>
                <w:bCs w:val="0"/>
                <w:i w:val="0"/>
                <w:iCs w:val="0"/>
                <w:noProof/>
                <w:webHidden/>
              </w:rPr>
            </w:r>
            <w:r w:rsidR="00091CBA" w:rsidRPr="00091CBA">
              <w:rPr>
                <w:rFonts w:ascii="Arial" w:hAnsi="Arial" w:cs="Arial"/>
                <w:b w:val="0"/>
                <w:bCs w:val="0"/>
                <w:i w:val="0"/>
                <w:iCs w:val="0"/>
                <w:noProof/>
                <w:webHidden/>
              </w:rPr>
              <w:fldChar w:fldCharType="separate"/>
            </w:r>
            <w:r w:rsidR="00127A5F">
              <w:rPr>
                <w:rFonts w:ascii="Arial" w:hAnsi="Arial" w:cs="Arial"/>
                <w:b w:val="0"/>
                <w:bCs w:val="0"/>
                <w:i w:val="0"/>
                <w:iCs w:val="0"/>
                <w:noProof/>
                <w:webHidden/>
              </w:rPr>
              <w:t>19</w:t>
            </w:r>
            <w:r w:rsidR="00091CBA" w:rsidRPr="00091CBA">
              <w:rPr>
                <w:rFonts w:ascii="Arial" w:hAnsi="Arial" w:cs="Arial"/>
                <w:b w:val="0"/>
                <w:bCs w:val="0"/>
                <w:i w:val="0"/>
                <w:iCs w:val="0"/>
                <w:noProof/>
                <w:webHidden/>
              </w:rPr>
              <w:fldChar w:fldCharType="end"/>
            </w:r>
          </w:hyperlink>
        </w:p>
        <w:p w14:paraId="138A2461" w14:textId="7FC975E4" w:rsidR="00091CBA" w:rsidRPr="00091CBA" w:rsidRDefault="00F77F86" w:rsidP="00091CBA">
          <w:pPr>
            <w:pStyle w:val="TOC1"/>
            <w:tabs>
              <w:tab w:val="right" w:pos="8182"/>
            </w:tabs>
            <w:spacing w:line="360" w:lineRule="auto"/>
            <w:rPr>
              <w:rFonts w:ascii="Arial" w:eastAsiaTheme="minorEastAsia" w:hAnsi="Arial" w:cs="Arial"/>
              <w:b w:val="0"/>
              <w:bCs w:val="0"/>
              <w:i w:val="0"/>
              <w:iCs w:val="0"/>
              <w:noProof/>
            </w:rPr>
          </w:pPr>
          <w:hyperlink w:anchor="_Toc16236957" w:history="1">
            <w:r w:rsidR="00091CBA" w:rsidRPr="00091CBA">
              <w:rPr>
                <w:rStyle w:val="Hyperlink"/>
                <w:rFonts w:ascii="Arial" w:hAnsi="Arial" w:cs="Arial"/>
                <w:b w:val="0"/>
                <w:bCs w:val="0"/>
                <w:i w:val="0"/>
                <w:iCs w:val="0"/>
                <w:noProof/>
              </w:rPr>
              <w:t>Declaration</w:t>
            </w:r>
            <w:r w:rsidR="00091CBA" w:rsidRPr="00091CBA">
              <w:rPr>
                <w:rFonts w:ascii="Arial" w:hAnsi="Arial" w:cs="Arial"/>
                <w:b w:val="0"/>
                <w:bCs w:val="0"/>
                <w:i w:val="0"/>
                <w:iCs w:val="0"/>
                <w:noProof/>
                <w:webHidden/>
              </w:rPr>
              <w:tab/>
            </w:r>
            <w:r w:rsidR="00127A5F">
              <w:rPr>
                <w:rFonts w:ascii="Arial" w:hAnsi="Arial" w:cs="Arial"/>
                <w:b w:val="0"/>
                <w:bCs w:val="0"/>
                <w:i w:val="0"/>
                <w:iCs w:val="0"/>
                <w:noProof/>
                <w:webHidden/>
              </w:rPr>
              <w:t>21</w:t>
            </w:r>
          </w:hyperlink>
        </w:p>
        <w:p w14:paraId="35A26013" w14:textId="57EF7757" w:rsidR="00091CBA" w:rsidRPr="00091CBA" w:rsidRDefault="00F77F86" w:rsidP="00091CBA">
          <w:pPr>
            <w:pStyle w:val="TOC1"/>
            <w:tabs>
              <w:tab w:val="left" w:pos="480"/>
              <w:tab w:val="right" w:pos="8182"/>
            </w:tabs>
            <w:spacing w:line="360" w:lineRule="auto"/>
            <w:rPr>
              <w:rFonts w:ascii="Arial" w:eastAsiaTheme="minorEastAsia" w:hAnsi="Arial" w:cs="Arial"/>
              <w:b w:val="0"/>
              <w:bCs w:val="0"/>
              <w:i w:val="0"/>
              <w:iCs w:val="0"/>
              <w:noProof/>
            </w:rPr>
          </w:pPr>
          <w:hyperlink w:anchor="_Toc16236958" w:history="1">
            <w:r w:rsidR="00091CBA" w:rsidRPr="00091CBA">
              <w:rPr>
                <w:rStyle w:val="Hyperlink"/>
                <w:rFonts w:ascii="Arial" w:hAnsi="Arial" w:cs="Arial"/>
                <w:b w:val="0"/>
                <w:bCs w:val="0"/>
                <w:i w:val="0"/>
                <w:iCs w:val="0"/>
                <w:noProof/>
              </w:rPr>
              <w:t>1.</w:t>
            </w:r>
            <w:r w:rsidR="00091CBA" w:rsidRPr="00091CBA">
              <w:rPr>
                <w:rFonts w:ascii="Arial" w:eastAsiaTheme="minorEastAsia" w:hAnsi="Arial" w:cs="Arial"/>
                <w:b w:val="0"/>
                <w:bCs w:val="0"/>
                <w:i w:val="0"/>
                <w:iCs w:val="0"/>
                <w:noProof/>
              </w:rPr>
              <w:tab/>
            </w:r>
            <w:r w:rsidR="00091CBA" w:rsidRPr="00091CBA">
              <w:rPr>
                <w:rStyle w:val="Hyperlink"/>
                <w:rFonts w:ascii="Arial" w:hAnsi="Arial" w:cs="Arial"/>
                <w:b w:val="0"/>
                <w:bCs w:val="0"/>
                <w:i w:val="0"/>
                <w:iCs w:val="0"/>
                <w:noProof/>
              </w:rPr>
              <w:t>Introduction</w:t>
            </w:r>
            <w:r w:rsidR="00091CBA" w:rsidRPr="00091CBA">
              <w:rPr>
                <w:rFonts w:ascii="Arial" w:hAnsi="Arial" w:cs="Arial"/>
                <w:b w:val="0"/>
                <w:bCs w:val="0"/>
                <w:i w:val="0"/>
                <w:iCs w:val="0"/>
                <w:noProof/>
                <w:webHidden/>
              </w:rPr>
              <w:tab/>
            </w:r>
            <w:r w:rsidR="00091CBA" w:rsidRPr="00091CBA">
              <w:rPr>
                <w:rFonts w:ascii="Arial" w:hAnsi="Arial" w:cs="Arial"/>
                <w:b w:val="0"/>
                <w:bCs w:val="0"/>
                <w:i w:val="0"/>
                <w:iCs w:val="0"/>
                <w:noProof/>
                <w:webHidden/>
              </w:rPr>
              <w:fldChar w:fldCharType="begin"/>
            </w:r>
            <w:r w:rsidR="00091CBA" w:rsidRPr="00091CBA">
              <w:rPr>
                <w:rFonts w:ascii="Arial" w:hAnsi="Arial" w:cs="Arial"/>
                <w:b w:val="0"/>
                <w:bCs w:val="0"/>
                <w:i w:val="0"/>
                <w:iCs w:val="0"/>
                <w:noProof/>
                <w:webHidden/>
              </w:rPr>
              <w:instrText xml:space="preserve"> PAGEREF _Toc16236958 \h </w:instrText>
            </w:r>
            <w:r w:rsidR="00091CBA" w:rsidRPr="00091CBA">
              <w:rPr>
                <w:rFonts w:ascii="Arial" w:hAnsi="Arial" w:cs="Arial"/>
                <w:b w:val="0"/>
                <w:bCs w:val="0"/>
                <w:i w:val="0"/>
                <w:iCs w:val="0"/>
                <w:noProof/>
                <w:webHidden/>
              </w:rPr>
            </w:r>
            <w:r w:rsidR="00091CBA" w:rsidRPr="00091CBA">
              <w:rPr>
                <w:rFonts w:ascii="Arial" w:hAnsi="Arial" w:cs="Arial"/>
                <w:b w:val="0"/>
                <w:bCs w:val="0"/>
                <w:i w:val="0"/>
                <w:iCs w:val="0"/>
                <w:noProof/>
                <w:webHidden/>
              </w:rPr>
              <w:fldChar w:fldCharType="separate"/>
            </w:r>
            <w:r w:rsidR="008437FC">
              <w:rPr>
                <w:rFonts w:ascii="Arial" w:hAnsi="Arial" w:cs="Arial"/>
                <w:b w:val="0"/>
                <w:bCs w:val="0"/>
                <w:i w:val="0"/>
                <w:iCs w:val="0"/>
                <w:noProof/>
                <w:webHidden/>
              </w:rPr>
              <w:t>2</w:t>
            </w:r>
            <w:r w:rsidR="00127A5F">
              <w:rPr>
                <w:rFonts w:ascii="Arial" w:hAnsi="Arial" w:cs="Arial"/>
                <w:b w:val="0"/>
                <w:bCs w:val="0"/>
                <w:i w:val="0"/>
                <w:iCs w:val="0"/>
                <w:noProof/>
                <w:webHidden/>
              </w:rPr>
              <w:t>2</w:t>
            </w:r>
            <w:r w:rsidR="00091CBA" w:rsidRPr="00091CBA">
              <w:rPr>
                <w:rFonts w:ascii="Arial" w:hAnsi="Arial" w:cs="Arial"/>
                <w:b w:val="0"/>
                <w:bCs w:val="0"/>
                <w:i w:val="0"/>
                <w:iCs w:val="0"/>
                <w:noProof/>
                <w:webHidden/>
              </w:rPr>
              <w:fldChar w:fldCharType="end"/>
            </w:r>
          </w:hyperlink>
        </w:p>
        <w:p w14:paraId="314C93A4" w14:textId="6C9AB01D"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59" w:history="1">
            <w:r w:rsidR="00091CBA" w:rsidRPr="00091CBA">
              <w:rPr>
                <w:rStyle w:val="Hyperlink"/>
                <w:rFonts w:ascii="Arial" w:hAnsi="Arial" w:cs="Arial"/>
                <w:b w:val="0"/>
                <w:bCs w:val="0"/>
                <w:noProof/>
                <w:sz w:val="24"/>
                <w:szCs w:val="24"/>
              </w:rPr>
              <w:t>1.1</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Thesis overview</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_Toc16236959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2</w:t>
            </w:r>
            <w:r w:rsidR="00127A5F">
              <w:rPr>
                <w:rFonts w:ascii="Arial" w:hAnsi="Arial" w:cs="Arial"/>
                <w:b w:val="0"/>
                <w:bCs w:val="0"/>
                <w:noProof/>
                <w:webHidden/>
                <w:sz w:val="24"/>
                <w:szCs w:val="24"/>
              </w:rPr>
              <w:t>2</w:t>
            </w:r>
            <w:r w:rsidR="00091CBA" w:rsidRPr="00091CBA">
              <w:rPr>
                <w:rFonts w:ascii="Arial" w:hAnsi="Arial" w:cs="Arial"/>
                <w:b w:val="0"/>
                <w:bCs w:val="0"/>
                <w:noProof/>
                <w:webHidden/>
                <w:sz w:val="24"/>
                <w:szCs w:val="24"/>
              </w:rPr>
              <w:fldChar w:fldCharType="end"/>
            </w:r>
          </w:hyperlink>
        </w:p>
        <w:p w14:paraId="61C8D324" w14:textId="4C7D1152"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60" w:history="1">
            <w:r w:rsidR="00091CBA" w:rsidRPr="00091CBA">
              <w:rPr>
                <w:rStyle w:val="Hyperlink"/>
                <w:rFonts w:ascii="Arial" w:hAnsi="Arial" w:cs="Arial"/>
                <w:b w:val="0"/>
                <w:bCs w:val="0"/>
                <w:noProof/>
                <w:sz w:val="24"/>
                <w:szCs w:val="24"/>
              </w:rPr>
              <w:t>1.2</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Human Visual System</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_Toc16236960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2</w:t>
            </w:r>
            <w:r w:rsidR="00127A5F">
              <w:rPr>
                <w:rFonts w:ascii="Arial" w:hAnsi="Arial" w:cs="Arial"/>
                <w:b w:val="0"/>
                <w:bCs w:val="0"/>
                <w:noProof/>
                <w:webHidden/>
                <w:sz w:val="24"/>
                <w:szCs w:val="24"/>
              </w:rPr>
              <w:t>4</w:t>
            </w:r>
            <w:r w:rsidR="00091CBA" w:rsidRPr="00091CBA">
              <w:rPr>
                <w:rFonts w:ascii="Arial" w:hAnsi="Arial" w:cs="Arial"/>
                <w:b w:val="0"/>
                <w:bCs w:val="0"/>
                <w:noProof/>
                <w:webHidden/>
                <w:sz w:val="24"/>
                <w:szCs w:val="24"/>
              </w:rPr>
              <w:fldChar w:fldCharType="end"/>
            </w:r>
          </w:hyperlink>
        </w:p>
        <w:p w14:paraId="705900BD" w14:textId="42AAD17A"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61" w:history="1">
            <w:r w:rsidR="00091CBA" w:rsidRPr="00091CBA">
              <w:rPr>
                <w:rStyle w:val="Hyperlink"/>
                <w:rFonts w:ascii="Arial" w:hAnsi="Arial" w:cs="Arial"/>
                <w:noProof/>
                <w:sz w:val="24"/>
                <w:szCs w:val="24"/>
              </w:rPr>
              <w:t>1.2.1</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Pre-cortical visual system</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_Toc16236961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2</w:t>
            </w:r>
            <w:r w:rsidR="00127A5F">
              <w:rPr>
                <w:rFonts w:ascii="Arial" w:hAnsi="Arial" w:cs="Arial"/>
                <w:noProof/>
                <w:webHidden/>
                <w:sz w:val="24"/>
                <w:szCs w:val="24"/>
              </w:rPr>
              <w:t>4</w:t>
            </w:r>
            <w:r w:rsidR="00091CBA" w:rsidRPr="00091CBA">
              <w:rPr>
                <w:rFonts w:ascii="Arial" w:hAnsi="Arial" w:cs="Arial"/>
                <w:noProof/>
                <w:webHidden/>
                <w:sz w:val="24"/>
                <w:szCs w:val="24"/>
              </w:rPr>
              <w:fldChar w:fldCharType="end"/>
            </w:r>
          </w:hyperlink>
        </w:p>
        <w:p w14:paraId="217E4BBF" w14:textId="789CE0C5"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62" w:history="1">
            <w:r w:rsidR="00091CBA" w:rsidRPr="00091CBA">
              <w:rPr>
                <w:rStyle w:val="Hyperlink"/>
                <w:rFonts w:ascii="Arial" w:hAnsi="Arial" w:cs="Arial"/>
                <w:noProof/>
                <w:sz w:val="24"/>
                <w:szCs w:val="24"/>
              </w:rPr>
              <w:t>1.2.2</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Primary visual cortex (V1)</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_Toc16236962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2</w:t>
            </w:r>
            <w:r w:rsidR="00127A5F">
              <w:rPr>
                <w:rFonts w:ascii="Arial" w:hAnsi="Arial" w:cs="Arial"/>
                <w:noProof/>
                <w:webHidden/>
                <w:sz w:val="24"/>
                <w:szCs w:val="24"/>
              </w:rPr>
              <w:t>6</w:t>
            </w:r>
            <w:r w:rsidR="00091CBA" w:rsidRPr="00091CBA">
              <w:rPr>
                <w:rFonts w:ascii="Arial" w:hAnsi="Arial" w:cs="Arial"/>
                <w:noProof/>
                <w:webHidden/>
                <w:sz w:val="24"/>
                <w:szCs w:val="24"/>
              </w:rPr>
              <w:fldChar w:fldCharType="end"/>
            </w:r>
          </w:hyperlink>
        </w:p>
        <w:p w14:paraId="052CA63F" w14:textId="6C14DD43"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63" w:history="1">
            <w:r w:rsidR="00091CBA" w:rsidRPr="00091CBA">
              <w:rPr>
                <w:rStyle w:val="Hyperlink"/>
                <w:rFonts w:ascii="Arial" w:hAnsi="Arial" w:cs="Arial"/>
                <w:noProof/>
                <w:sz w:val="24"/>
                <w:szCs w:val="24"/>
              </w:rPr>
              <w:t>1.2.3</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Extra-striate visual areas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_Toc16236963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2</w:t>
            </w:r>
            <w:r w:rsidR="00127A5F">
              <w:rPr>
                <w:rFonts w:ascii="Arial" w:hAnsi="Arial" w:cs="Arial"/>
                <w:noProof/>
                <w:webHidden/>
                <w:sz w:val="24"/>
                <w:szCs w:val="24"/>
              </w:rPr>
              <w:t>7</w:t>
            </w:r>
            <w:r w:rsidR="00091CBA" w:rsidRPr="00091CBA">
              <w:rPr>
                <w:rFonts w:ascii="Arial" w:hAnsi="Arial" w:cs="Arial"/>
                <w:noProof/>
                <w:webHidden/>
                <w:sz w:val="24"/>
                <w:szCs w:val="24"/>
              </w:rPr>
              <w:fldChar w:fldCharType="end"/>
            </w:r>
          </w:hyperlink>
        </w:p>
        <w:p w14:paraId="1CF279C8" w14:textId="0211497F"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64" w:history="1">
            <w:r w:rsidR="00091CBA" w:rsidRPr="00091CBA">
              <w:rPr>
                <w:rStyle w:val="Hyperlink"/>
                <w:rFonts w:ascii="Arial" w:hAnsi="Arial" w:cs="Arial"/>
                <w:noProof/>
                <w:sz w:val="24"/>
                <w:szCs w:val="24"/>
              </w:rPr>
              <w:t>1.2.4</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Retinotopic organisation</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_Toc16236964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2</w:t>
            </w:r>
            <w:r w:rsidR="00127A5F">
              <w:rPr>
                <w:rFonts w:ascii="Arial" w:hAnsi="Arial" w:cs="Arial"/>
                <w:noProof/>
                <w:webHidden/>
                <w:sz w:val="24"/>
                <w:szCs w:val="24"/>
              </w:rPr>
              <w:t>8</w:t>
            </w:r>
            <w:r w:rsidR="00091CBA" w:rsidRPr="00091CBA">
              <w:rPr>
                <w:rFonts w:ascii="Arial" w:hAnsi="Arial" w:cs="Arial"/>
                <w:noProof/>
                <w:webHidden/>
                <w:sz w:val="24"/>
                <w:szCs w:val="24"/>
              </w:rPr>
              <w:fldChar w:fldCharType="end"/>
            </w:r>
          </w:hyperlink>
        </w:p>
        <w:p w14:paraId="1D36BEA8" w14:textId="021BB8C9"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65" w:history="1">
            <w:r w:rsidR="00091CBA" w:rsidRPr="00091CBA">
              <w:rPr>
                <w:rStyle w:val="Hyperlink"/>
                <w:rFonts w:ascii="Arial" w:hAnsi="Arial" w:cs="Arial"/>
                <w:noProof/>
                <w:sz w:val="24"/>
                <w:szCs w:val="24"/>
              </w:rPr>
              <w:t>1.2.5</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Perception of visual features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_Toc16236965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3</w:t>
            </w:r>
            <w:r w:rsidR="00127A5F">
              <w:rPr>
                <w:rFonts w:ascii="Arial" w:hAnsi="Arial" w:cs="Arial"/>
                <w:noProof/>
                <w:webHidden/>
                <w:sz w:val="24"/>
                <w:szCs w:val="24"/>
              </w:rPr>
              <w:t>0</w:t>
            </w:r>
            <w:r w:rsidR="00091CBA" w:rsidRPr="00091CBA">
              <w:rPr>
                <w:rFonts w:ascii="Arial" w:hAnsi="Arial" w:cs="Arial"/>
                <w:noProof/>
                <w:webHidden/>
                <w:sz w:val="24"/>
                <w:szCs w:val="24"/>
              </w:rPr>
              <w:fldChar w:fldCharType="end"/>
            </w:r>
          </w:hyperlink>
        </w:p>
        <w:p w14:paraId="583CF411" w14:textId="7E5C13C3"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66" w:history="1">
            <w:r w:rsidR="00091CBA" w:rsidRPr="00091CBA">
              <w:rPr>
                <w:rStyle w:val="Hyperlink"/>
                <w:rFonts w:ascii="Arial" w:hAnsi="Arial" w:cs="Arial"/>
                <w:b w:val="0"/>
                <w:bCs w:val="0"/>
                <w:noProof/>
                <w:sz w:val="24"/>
                <w:szCs w:val="24"/>
              </w:rPr>
              <w:t>1.3</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Visual Attention</w:t>
            </w:r>
            <w:r w:rsidR="00091CBA" w:rsidRPr="00091CBA">
              <w:rPr>
                <w:rFonts w:ascii="Arial" w:hAnsi="Arial" w:cs="Arial"/>
                <w:b w:val="0"/>
                <w:bCs w:val="0"/>
                <w:noProof/>
                <w:webHidden/>
                <w:sz w:val="24"/>
                <w:szCs w:val="24"/>
              </w:rPr>
              <w:tab/>
            </w:r>
            <w:r w:rsidR="00127A5F">
              <w:rPr>
                <w:rFonts w:ascii="Arial" w:hAnsi="Arial" w:cs="Arial"/>
                <w:b w:val="0"/>
                <w:bCs w:val="0"/>
                <w:noProof/>
                <w:webHidden/>
                <w:sz w:val="24"/>
                <w:szCs w:val="24"/>
              </w:rPr>
              <w:t>39</w:t>
            </w:r>
          </w:hyperlink>
        </w:p>
        <w:p w14:paraId="356C237E" w14:textId="711625BB"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67" w:history="1">
            <w:r w:rsidR="00091CBA" w:rsidRPr="00091CBA">
              <w:rPr>
                <w:rStyle w:val="Hyperlink"/>
                <w:rFonts w:ascii="Arial" w:hAnsi="Arial" w:cs="Arial"/>
                <w:noProof/>
                <w:sz w:val="24"/>
                <w:szCs w:val="24"/>
              </w:rPr>
              <w:t>1.3.1</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What is visual attention?</w:t>
            </w:r>
            <w:r w:rsidR="00091CBA" w:rsidRPr="00091CBA">
              <w:rPr>
                <w:rFonts w:ascii="Arial" w:hAnsi="Arial" w:cs="Arial"/>
                <w:noProof/>
                <w:webHidden/>
                <w:sz w:val="24"/>
                <w:szCs w:val="24"/>
              </w:rPr>
              <w:tab/>
            </w:r>
            <w:r w:rsidR="00127A5F">
              <w:rPr>
                <w:rFonts w:ascii="Arial" w:hAnsi="Arial" w:cs="Arial"/>
                <w:noProof/>
                <w:webHidden/>
                <w:sz w:val="24"/>
                <w:szCs w:val="24"/>
              </w:rPr>
              <w:t>39</w:t>
            </w:r>
          </w:hyperlink>
        </w:p>
        <w:p w14:paraId="109A6128" w14:textId="4B722F6A"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68" w:history="1">
            <w:r w:rsidR="00091CBA" w:rsidRPr="00091CBA">
              <w:rPr>
                <w:rStyle w:val="Hyperlink"/>
                <w:rFonts w:ascii="Arial" w:hAnsi="Arial" w:cs="Arial"/>
                <w:noProof/>
                <w:sz w:val="24"/>
                <w:szCs w:val="24"/>
              </w:rPr>
              <w:t>1.3.2</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Spatial attention</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_Toc16236968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4</w:t>
            </w:r>
            <w:r w:rsidR="00127A5F">
              <w:rPr>
                <w:rFonts w:ascii="Arial" w:hAnsi="Arial" w:cs="Arial"/>
                <w:noProof/>
                <w:webHidden/>
                <w:sz w:val="24"/>
                <w:szCs w:val="24"/>
              </w:rPr>
              <w:t>1</w:t>
            </w:r>
            <w:r w:rsidR="00091CBA" w:rsidRPr="00091CBA">
              <w:rPr>
                <w:rFonts w:ascii="Arial" w:hAnsi="Arial" w:cs="Arial"/>
                <w:noProof/>
                <w:webHidden/>
                <w:sz w:val="24"/>
                <w:szCs w:val="24"/>
              </w:rPr>
              <w:fldChar w:fldCharType="end"/>
            </w:r>
          </w:hyperlink>
        </w:p>
        <w:p w14:paraId="0D8E00D8" w14:textId="530018AD"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69" w:history="1">
            <w:r w:rsidR="00091CBA" w:rsidRPr="00091CBA">
              <w:rPr>
                <w:rStyle w:val="Hyperlink"/>
                <w:rFonts w:ascii="Arial" w:hAnsi="Arial" w:cs="Arial"/>
                <w:noProof/>
                <w:sz w:val="24"/>
                <w:szCs w:val="24"/>
              </w:rPr>
              <w:t>1.3.3</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Featural Attention</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_Toc16236969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4</w:t>
            </w:r>
            <w:r w:rsidR="00127A5F">
              <w:rPr>
                <w:rFonts w:ascii="Arial" w:hAnsi="Arial" w:cs="Arial"/>
                <w:noProof/>
                <w:webHidden/>
                <w:sz w:val="24"/>
                <w:szCs w:val="24"/>
              </w:rPr>
              <w:t>2</w:t>
            </w:r>
            <w:r w:rsidR="00091CBA" w:rsidRPr="00091CBA">
              <w:rPr>
                <w:rFonts w:ascii="Arial" w:hAnsi="Arial" w:cs="Arial"/>
                <w:noProof/>
                <w:webHidden/>
                <w:sz w:val="24"/>
                <w:szCs w:val="24"/>
              </w:rPr>
              <w:fldChar w:fldCharType="end"/>
            </w:r>
          </w:hyperlink>
        </w:p>
        <w:p w14:paraId="1BC3129F" w14:textId="5EBC73FD"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70" w:history="1">
            <w:r w:rsidR="00091CBA" w:rsidRPr="00091CBA">
              <w:rPr>
                <w:rStyle w:val="Hyperlink"/>
                <w:rFonts w:ascii="Arial" w:hAnsi="Arial" w:cs="Arial"/>
                <w:noProof/>
                <w:sz w:val="24"/>
                <w:szCs w:val="24"/>
              </w:rPr>
              <w:t>1.3.4</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Classification of attentional state</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_Toc16236970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4</w:t>
            </w:r>
            <w:r w:rsidR="00127A5F">
              <w:rPr>
                <w:rFonts w:ascii="Arial" w:hAnsi="Arial" w:cs="Arial"/>
                <w:noProof/>
                <w:webHidden/>
                <w:sz w:val="24"/>
                <w:szCs w:val="24"/>
              </w:rPr>
              <w:t>4</w:t>
            </w:r>
            <w:r w:rsidR="00091CBA" w:rsidRPr="00091CBA">
              <w:rPr>
                <w:rFonts w:ascii="Arial" w:hAnsi="Arial" w:cs="Arial"/>
                <w:noProof/>
                <w:webHidden/>
                <w:sz w:val="24"/>
                <w:szCs w:val="24"/>
              </w:rPr>
              <w:fldChar w:fldCharType="end"/>
            </w:r>
          </w:hyperlink>
        </w:p>
        <w:p w14:paraId="25AE216D" w14:textId="2E49B8E3"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71" w:history="1">
            <w:r w:rsidR="00091CBA" w:rsidRPr="00091CBA">
              <w:rPr>
                <w:rStyle w:val="Hyperlink"/>
                <w:rFonts w:ascii="Arial" w:hAnsi="Arial" w:cs="Arial"/>
                <w:b w:val="0"/>
                <w:bCs w:val="0"/>
                <w:noProof/>
                <w:sz w:val="24"/>
                <w:szCs w:val="24"/>
              </w:rPr>
              <w:t>1.4</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Connectivity</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_Toc16236971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4</w:t>
            </w:r>
            <w:r w:rsidR="00127A5F">
              <w:rPr>
                <w:rFonts w:ascii="Arial" w:hAnsi="Arial" w:cs="Arial"/>
                <w:b w:val="0"/>
                <w:bCs w:val="0"/>
                <w:noProof/>
                <w:webHidden/>
                <w:sz w:val="24"/>
                <w:szCs w:val="24"/>
              </w:rPr>
              <w:t>7</w:t>
            </w:r>
            <w:r w:rsidR="00091CBA" w:rsidRPr="00091CBA">
              <w:rPr>
                <w:rFonts w:ascii="Arial" w:hAnsi="Arial" w:cs="Arial"/>
                <w:b w:val="0"/>
                <w:bCs w:val="0"/>
                <w:noProof/>
                <w:webHidden/>
                <w:sz w:val="24"/>
                <w:szCs w:val="24"/>
              </w:rPr>
              <w:fldChar w:fldCharType="end"/>
            </w:r>
          </w:hyperlink>
        </w:p>
        <w:p w14:paraId="244506E6" w14:textId="7A45DD1A"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72" w:history="1">
            <w:r w:rsidR="00091CBA" w:rsidRPr="00091CBA">
              <w:rPr>
                <w:rStyle w:val="Hyperlink"/>
                <w:rFonts w:ascii="Arial" w:hAnsi="Arial" w:cs="Arial"/>
                <w:noProof/>
                <w:sz w:val="24"/>
                <w:szCs w:val="24"/>
              </w:rPr>
              <w:t>1.4.1</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Default mode network</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_Toc16236972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4</w:t>
            </w:r>
            <w:r w:rsidR="00127A5F">
              <w:rPr>
                <w:rFonts w:ascii="Arial" w:hAnsi="Arial" w:cs="Arial"/>
                <w:noProof/>
                <w:webHidden/>
                <w:sz w:val="24"/>
                <w:szCs w:val="24"/>
              </w:rPr>
              <w:t>7</w:t>
            </w:r>
            <w:r w:rsidR="00091CBA" w:rsidRPr="00091CBA">
              <w:rPr>
                <w:rFonts w:ascii="Arial" w:hAnsi="Arial" w:cs="Arial"/>
                <w:noProof/>
                <w:webHidden/>
                <w:sz w:val="24"/>
                <w:szCs w:val="24"/>
              </w:rPr>
              <w:fldChar w:fldCharType="end"/>
            </w:r>
          </w:hyperlink>
        </w:p>
        <w:p w14:paraId="07267728" w14:textId="6B333D80"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73" w:history="1">
            <w:r w:rsidR="00091CBA" w:rsidRPr="00091CBA">
              <w:rPr>
                <w:rStyle w:val="Hyperlink"/>
                <w:rFonts w:ascii="Arial" w:hAnsi="Arial" w:cs="Arial"/>
                <w:noProof/>
                <w:sz w:val="24"/>
                <w:szCs w:val="24"/>
              </w:rPr>
              <w:t>1.4.2</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Task-based networks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_Toc16236973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4</w:t>
            </w:r>
            <w:r w:rsidR="00127A5F">
              <w:rPr>
                <w:rFonts w:ascii="Arial" w:hAnsi="Arial" w:cs="Arial"/>
                <w:noProof/>
                <w:webHidden/>
                <w:sz w:val="24"/>
                <w:szCs w:val="24"/>
              </w:rPr>
              <w:t>8</w:t>
            </w:r>
            <w:r w:rsidR="00091CBA" w:rsidRPr="00091CBA">
              <w:rPr>
                <w:rFonts w:ascii="Arial" w:hAnsi="Arial" w:cs="Arial"/>
                <w:noProof/>
                <w:webHidden/>
                <w:sz w:val="24"/>
                <w:szCs w:val="24"/>
              </w:rPr>
              <w:fldChar w:fldCharType="end"/>
            </w:r>
          </w:hyperlink>
        </w:p>
        <w:p w14:paraId="69B5E596" w14:textId="6D2912D9"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74" w:history="1">
            <w:r w:rsidR="00091CBA" w:rsidRPr="00091CBA">
              <w:rPr>
                <w:rStyle w:val="Hyperlink"/>
                <w:rFonts w:ascii="Arial" w:hAnsi="Arial" w:cs="Arial"/>
                <w:noProof/>
                <w:sz w:val="24"/>
                <w:szCs w:val="24"/>
              </w:rPr>
              <w:t>1.4.3</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Attentional modulation of network connectivity</w:t>
            </w:r>
            <w:r w:rsidR="00091CBA" w:rsidRPr="00091CBA">
              <w:rPr>
                <w:rFonts w:ascii="Arial" w:hAnsi="Arial" w:cs="Arial"/>
                <w:noProof/>
                <w:webHidden/>
                <w:sz w:val="24"/>
                <w:szCs w:val="24"/>
              </w:rPr>
              <w:tab/>
            </w:r>
            <w:r w:rsidR="00127A5F">
              <w:rPr>
                <w:rFonts w:ascii="Arial" w:hAnsi="Arial" w:cs="Arial"/>
                <w:noProof/>
                <w:webHidden/>
                <w:sz w:val="24"/>
                <w:szCs w:val="24"/>
              </w:rPr>
              <w:t>49</w:t>
            </w:r>
          </w:hyperlink>
        </w:p>
        <w:p w14:paraId="0235A435" w14:textId="3165E373"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75" w:history="1">
            <w:r w:rsidR="00091CBA" w:rsidRPr="00091CBA">
              <w:rPr>
                <w:rStyle w:val="Hyperlink"/>
                <w:rFonts w:ascii="Arial" w:hAnsi="Arial" w:cs="Arial"/>
                <w:b w:val="0"/>
                <w:bCs w:val="0"/>
                <w:noProof/>
                <w:sz w:val="24"/>
                <w:szCs w:val="24"/>
              </w:rPr>
              <w:t>1.5</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Naturalistic stimuli</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_Toc16236975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5</w:t>
            </w:r>
            <w:r w:rsidR="00127A5F">
              <w:rPr>
                <w:rFonts w:ascii="Arial" w:hAnsi="Arial" w:cs="Arial"/>
                <w:b w:val="0"/>
                <w:bCs w:val="0"/>
                <w:noProof/>
                <w:webHidden/>
                <w:sz w:val="24"/>
                <w:szCs w:val="24"/>
              </w:rPr>
              <w:t>1</w:t>
            </w:r>
            <w:r w:rsidR="00091CBA" w:rsidRPr="00091CBA">
              <w:rPr>
                <w:rFonts w:ascii="Arial" w:hAnsi="Arial" w:cs="Arial"/>
                <w:b w:val="0"/>
                <w:bCs w:val="0"/>
                <w:noProof/>
                <w:webHidden/>
                <w:sz w:val="24"/>
                <w:szCs w:val="24"/>
              </w:rPr>
              <w:fldChar w:fldCharType="end"/>
            </w:r>
          </w:hyperlink>
        </w:p>
        <w:p w14:paraId="5EE92A44" w14:textId="48F1D026" w:rsidR="00091CBA" w:rsidRPr="00091CBA" w:rsidRDefault="00E12500"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76" w:history="1">
            <w:r w:rsidR="00091CBA" w:rsidRPr="00091CBA">
              <w:rPr>
                <w:rStyle w:val="Hyperlink"/>
                <w:rFonts w:ascii="Arial" w:hAnsi="Arial" w:cs="Arial"/>
                <w:b w:val="0"/>
                <w:bCs w:val="0"/>
                <w:noProof/>
                <w:sz w:val="24"/>
                <w:szCs w:val="24"/>
              </w:rPr>
              <w:t>1.6</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Outline of thesis</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_Toc16236976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5</w:t>
            </w:r>
            <w:r w:rsidR="00127A5F">
              <w:rPr>
                <w:rFonts w:ascii="Arial" w:hAnsi="Arial" w:cs="Arial"/>
                <w:b w:val="0"/>
                <w:bCs w:val="0"/>
                <w:noProof/>
                <w:webHidden/>
                <w:sz w:val="24"/>
                <w:szCs w:val="24"/>
              </w:rPr>
              <w:t>2</w:t>
            </w:r>
            <w:r w:rsidR="00091CBA" w:rsidRPr="00091CBA">
              <w:rPr>
                <w:rFonts w:ascii="Arial" w:hAnsi="Arial" w:cs="Arial"/>
                <w:b w:val="0"/>
                <w:bCs w:val="0"/>
                <w:noProof/>
                <w:webHidden/>
                <w:sz w:val="24"/>
                <w:szCs w:val="24"/>
              </w:rPr>
              <w:fldChar w:fldCharType="end"/>
            </w:r>
          </w:hyperlink>
        </w:p>
        <w:p w14:paraId="32076892" w14:textId="521EFCC9" w:rsidR="00091CBA" w:rsidRPr="00091CBA" w:rsidRDefault="00E12500" w:rsidP="00091CBA">
          <w:pPr>
            <w:pStyle w:val="TOC1"/>
            <w:tabs>
              <w:tab w:val="left" w:pos="480"/>
              <w:tab w:val="right" w:pos="8182"/>
            </w:tabs>
            <w:spacing w:line="360" w:lineRule="auto"/>
            <w:rPr>
              <w:rFonts w:ascii="Arial" w:eastAsiaTheme="minorEastAsia" w:hAnsi="Arial" w:cs="Arial"/>
              <w:b w:val="0"/>
              <w:bCs w:val="0"/>
              <w:i w:val="0"/>
              <w:iCs w:val="0"/>
              <w:noProof/>
            </w:rPr>
          </w:pPr>
          <w:hyperlink w:anchor="_Toc16236977" w:history="1">
            <w:r w:rsidR="00091CBA" w:rsidRPr="00091CBA">
              <w:rPr>
                <w:rStyle w:val="Hyperlink"/>
                <w:rFonts w:ascii="Arial" w:hAnsi="Arial" w:cs="Arial"/>
                <w:b w:val="0"/>
                <w:bCs w:val="0"/>
                <w:i w:val="0"/>
                <w:iCs w:val="0"/>
                <w:noProof/>
              </w:rPr>
              <w:t>2.</w:t>
            </w:r>
            <w:r w:rsidR="00091CBA" w:rsidRPr="00091CBA">
              <w:rPr>
                <w:rFonts w:ascii="Arial" w:eastAsiaTheme="minorEastAsia" w:hAnsi="Arial" w:cs="Arial"/>
                <w:b w:val="0"/>
                <w:bCs w:val="0"/>
                <w:i w:val="0"/>
                <w:iCs w:val="0"/>
                <w:noProof/>
              </w:rPr>
              <w:tab/>
            </w:r>
            <w:r w:rsidR="00091CBA" w:rsidRPr="00091CBA">
              <w:rPr>
                <w:rStyle w:val="Hyperlink"/>
                <w:rFonts w:ascii="Arial" w:hAnsi="Arial" w:cs="Arial"/>
                <w:b w:val="0"/>
                <w:bCs w:val="0"/>
                <w:i w:val="0"/>
                <w:iCs w:val="0"/>
                <w:noProof/>
              </w:rPr>
              <w:t>Methodologies</w:t>
            </w:r>
            <w:r w:rsidR="00091CBA" w:rsidRPr="00091CBA">
              <w:rPr>
                <w:rFonts w:ascii="Arial" w:hAnsi="Arial" w:cs="Arial"/>
                <w:b w:val="0"/>
                <w:bCs w:val="0"/>
                <w:i w:val="0"/>
                <w:iCs w:val="0"/>
                <w:noProof/>
                <w:webHidden/>
              </w:rPr>
              <w:tab/>
            </w:r>
            <w:r w:rsidR="00091CBA" w:rsidRPr="00091CBA">
              <w:rPr>
                <w:rFonts w:ascii="Arial" w:hAnsi="Arial" w:cs="Arial"/>
                <w:b w:val="0"/>
                <w:bCs w:val="0"/>
                <w:i w:val="0"/>
                <w:iCs w:val="0"/>
                <w:noProof/>
                <w:webHidden/>
              </w:rPr>
              <w:fldChar w:fldCharType="begin"/>
            </w:r>
            <w:r w:rsidR="00091CBA" w:rsidRPr="00091CBA">
              <w:rPr>
                <w:rFonts w:ascii="Arial" w:hAnsi="Arial" w:cs="Arial"/>
                <w:b w:val="0"/>
                <w:bCs w:val="0"/>
                <w:i w:val="0"/>
                <w:iCs w:val="0"/>
                <w:noProof/>
                <w:webHidden/>
              </w:rPr>
              <w:instrText xml:space="preserve"> PAGEREF _Toc16236977 \h </w:instrText>
            </w:r>
            <w:r w:rsidR="00091CBA" w:rsidRPr="00091CBA">
              <w:rPr>
                <w:rFonts w:ascii="Arial" w:hAnsi="Arial" w:cs="Arial"/>
                <w:b w:val="0"/>
                <w:bCs w:val="0"/>
                <w:i w:val="0"/>
                <w:iCs w:val="0"/>
                <w:noProof/>
                <w:webHidden/>
              </w:rPr>
            </w:r>
            <w:r w:rsidR="00091CBA" w:rsidRPr="00091CBA">
              <w:rPr>
                <w:rFonts w:ascii="Arial" w:hAnsi="Arial" w:cs="Arial"/>
                <w:b w:val="0"/>
                <w:bCs w:val="0"/>
                <w:i w:val="0"/>
                <w:iCs w:val="0"/>
                <w:noProof/>
                <w:webHidden/>
              </w:rPr>
              <w:fldChar w:fldCharType="separate"/>
            </w:r>
            <w:r w:rsidR="008437FC">
              <w:rPr>
                <w:rFonts w:ascii="Arial" w:hAnsi="Arial" w:cs="Arial"/>
                <w:b w:val="0"/>
                <w:bCs w:val="0"/>
                <w:i w:val="0"/>
                <w:iCs w:val="0"/>
                <w:noProof/>
                <w:webHidden/>
              </w:rPr>
              <w:t>5</w:t>
            </w:r>
            <w:r w:rsidR="007B3A25">
              <w:rPr>
                <w:rFonts w:ascii="Arial" w:hAnsi="Arial" w:cs="Arial"/>
                <w:b w:val="0"/>
                <w:bCs w:val="0"/>
                <w:i w:val="0"/>
                <w:iCs w:val="0"/>
                <w:noProof/>
                <w:webHidden/>
              </w:rPr>
              <w:t>3</w:t>
            </w:r>
            <w:r w:rsidR="00091CBA" w:rsidRPr="00091CBA">
              <w:rPr>
                <w:rFonts w:ascii="Arial" w:hAnsi="Arial" w:cs="Arial"/>
                <w:b w:val="0"/>
                <w:bCs w:val="0"/>
                <w:i w:val="0"/>
                <w:iCs w:val="0"/>
                <w:noProof/>
                <w:webHidden/>
              </w:rPr>
              <w:fldChar w:fldCharType="end"/>
            </w:r>
          </w:hyperlink>
        </w:p>
        <w:p w14:paraId="614368CD" w14:textId="3A3BAF1C"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78" w:history="1">
            <w:r w:rsidR="00091CBA" w:rsidRPr="00091CBA">
              <w:rPr>
                <w:rStyle w:val="Hyperlink"/>
                <w:rFonts w:ascii="Arial" w:hAnsi="Arial" w:cs="Arial"/>
                <w:b w:val="0"/>
                <w:bCs w:val="0"/>
                <w:noProof/>
                <w:sz w:val="24"/>
                <w:szCs w:val="24"/>
              </w:rPr>
              <w:t>2.1</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Radial frequency patterns</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_Toc16236978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5</w:t>
            </w:r>
            <w:r w:rsidR="007B3A25">
              <w:rPr>
                <w:rFonts w:ascii="Arial" w:hAnsi="Arial" w:cs="Arial"/>
                <w:b w:val="0"/>
                <w:bCs w:val="0"/>
                <w:noProof/>
                <w:webHidden/>
                <w:sz w:val="24"/>
                <w:szCs w:val="24"/>
              </w:rPr>
              <w:t>3</w:t>
            </w:r>
            <w:r w:rsidR="00091CBA" w:rsidRPr="00091CBA">
              <w:rPr>
                <w:rFonts w:ascii="Arial" w:hAnsi="Arial" w:cs="Arial"/>
                <w:b w:val="0"/>
                <w:bCs w:val="0"/>
                <w:noProof/>
                <w:webHidden/>
                <w:sz w:val="24"/>
                <w:szCs w:val="24"/>
              </w:rPr>
              <w:fldChar w:fldCharType="end"/>
            </w:r>
          </w:hyperlink>
        </w:p>
        <w:p w14:paraId="7218706A" w14:textId="51D6CA9B"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79" w:history="1">
            <w:r w:rsidR="00091CBA" w:rsidRPr="00091CBA">
              <w:rPr>
                <w:rStyle w:val="Hyperlink"/>
                <w:rFonts w:ascii="Arial" w:hAnsi="Arial" w:cs="Arial"/>
                <w:b w:val="0"/>
                <w:bCs w:val="0"/>
                <w:noProof/>
                <w:sz w:val="24"/>
                <w:szCs w:val="24"/>
              </w:rPr>
              <w:t>2.2</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Isoluminance testing</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_Toc16236979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5</w:t>
            </w:r>
            <w:r w:rsidR="007B3A25">
              <w:rPr>
                <w:rFonts w:ascii="Arial" w:hAnsi="Arial" w:cs="Arial"/>
                <w:b w:val="0"/>
                <w:bCs w:val="0"/>
                <w:noProof/>
                <w:webHidden/>
                <w:sz w:val="24"/>
                <w:szCs w:val="24"/>
              </w:rPr>
              <w:t>7</w:t>
            </w:r>
            <w:r w:rsidR="00091CBA" w:rsidRPr="00091CBA">
              <w:rPr>
                <w:rFonts w:ascii="Arial" w:hAnsi="Arial" w:cs="Arial"/>
                <w:b w:val="0"/>
                <w:bCs w:val="0"/>
                <w:noProof/>
                <w:webHidden/>
                <w:sz w:val="24"/>
                <w:szCs w:val="24"/>
              </w:rPr>
              <w:fldChar w:fldCharType="end"/>
            </w:r>
          </w:hyperlink>
        </w:p>
        <w:p w14:paraId="2E9D7A96" w14:textId="5EF1CA32"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80" w:history="1">
            <w:r w:rsidR="00091CBA" w:rsidRPr="00091CBA">
              <w:rPr>
                <w:rStyle w:val="Hyperlink"/>
                <w:rFonts w:ascii="Arial" w:hAnsi="Arial" w:cs="Arial"/>
                <w:b w:val="0"/>
                <w:bCs w:val="0"/>
                <w:noProof/>
                <w:sz w:val="24"/>
                <w:szCs w:val="24"/>
              </w:rPr>
              <w:t>2.3</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Neuroimaging</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_Toc16236980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6</w:t>
            </w:r>
            <w:r w:rsidR="007B3A25">
              <w:rPr>
                <w:rFonts w:ascii="Arial" w:hAnsi="Arial" w:cs="Arial"/>
                <w:b w:val="0"/>
                <w:bCs w:val="0"/>
                <w:noProof/>
                <w:webHidden/>
                <w:sz w:val="24"/>
                <w:szCs w:val="24"/>
              </w:rPr>
              <w:t>1</w:t>
            </w:r>
            <w:r w:rsidR="00091CBA" w:rsidRPr="00091CBA">
              <w:rPr>
                <w:rFonts w:ascii="Arial" w:hAnsi="Arial" w:cs="Arial"/>
                <w:b w:val="0"/>
                <w:bCs w:val="0"/>
                <w:noProof/>
                <w:webHidden/>
                <w:sz w:val="24"/>
                <w:szCs w:val="24"/>
              </w:rPr>
              <w:fldChar w:fldCharType="end"/>
            </w:r>
          </w:hyperlink>
        </w:p>
        <w:p w14:paraId="6A748B81" w14:textId="3E3A9ED7"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81" w:history="1">
            <w:r w:rsidR="00091CBA" w:rsidRPr="00091CBA">
              <w:rPr>
                <w:rStyle w:val="Hyperlink"/>
                <w:rFonts w:ascii="Arial" w:hAnsi="Arial" w:cs="Arial"/>
                <w:noProof/>
                <w:sz w:val="24"/>
                <w:szCs w:val="24"/>
              </w:rPr>
              <w:t>2.3.1</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The BOLD response</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_Toc16236981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6</w:t>
            </w:r>
            <w:r w:rsidR="007B3A25">
              <w:rPr>
                <w:rFonts w:ascii="Arial" w:hAnsi="Arial" w:cs="Arial"/>
                <w:noProof/>
                <w:webHidden/>
                <w:sz w:val="24"/>
                <w:szCs w:val="24"/>
              </w:rPr>
              <w:t>1</w:t>
            </w:r>
            <w:r w:rsidR="00091CBA" w:rsidRPr="00091CBA">
              <w:rPr>
                <w:rFonts w:ascii="Arial" w:hAnsi="Arial" w:cs="Arial"/>
                <w:noProof/>
                <w:webHidden/>
                <w:sz w:val="24"/>
                <w:szCs w:val="24"/>
              </w:rPr>
              <w:fldChar w:fldCharType="end"/>
            </w:r>
          </w:hyperlink>
        </w:p>
        <w:p w14:paraId="1418CADA" w14:textId="30634958"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82" w:history="1">
            <w:r w:rsidR="00091CBA" w:rsidRPr="00091CBA">
              <w:rPr>
                <w:rStyle w:val="Hyperlink"/>
                <w:rFonts w:ascii="Arial" w:hAnsi="Arial" w:cs="Arial"/>
                <w:noProof/>
                <w:sz w:val="24"/>
                <w:szCs w:val="24"/>
              </w:rPr>
              <w:t>2.3.2</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The haemodynamic response function (HRF)</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_Toc16236982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6</w:t>
            </w:r>
            <w:r w:rsidR="007B3A25">
              <w:rPr>
                <w:rFonts w:ascii="Arial" w:hAnsi="Arial" w:cs="Arial"/>
                <w:noProof/>
                <w:webHidden/>
                <w:sz w:val="24"/>
                <w:szCs w:val="24"/>
              </w:rPr>
              <w:t>2</w:t>
            </w:r>
            <w:r w:rsidR="00091CBA" w:rsidRPr="00091CBA">
              <w:rPr>
                <w:rFonts w:ascii="Arial" w:hAnsi="Arial" w:cs="Arial"/>
                <w:noProof/>
                <w:webHidden/>
                <w:sz w:val="24"/>
                <w:szCs w:val="24"/>
              </w:rPr>
              <w:fldChar w:fldCharType="end"/>
            </w:r>
          </w:hyperlink>
        </w:p>
        <w:p w14:paraId="162AD1C2" w14:textId="12A82EAF"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83" w:history="1">
            <w:r w:rsidR="00091CBA" w:rsidRPr="00091CBA">
              <w:rPr>
                <w:rStyle w:val="Hyperlink"/>
                <w:rFonts w:ascii="Arial" w:hAnsi="Arial" w:cs="Arial"/>
                <w:noProof/>
                <w:sz w:val="24"/>
                <w:szCs w:val="24"/>
              </w:rPr>
              <w:t>2.3.3</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Magnetic resonance imaging</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_Toc16236983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6</w:t>
            </w:r>
            <w:r w:rsidR="007B3A25">
              <w:rPr>
                <w:rFonts w:ascii="Arial" w:hAnsi="Arial" w:cs="Arial"/>
                <w:noProof/>
                <w:webHidden/>
                <w:sz w:val="24"/>
                <w:szCs w:val="24"/>
              </w:rPr>
              <w:t>4</w:t>
            </w:r>
            <w:r w:rsidR="00091CBA" w:rsidRPr="00091CBA">
              <w:rPr>
                <w:rFonts w:ascii="Arial" w:hAnsi="Arial" w:cs="Arial"/>
                <w:noProof/>
                <w:webHidden/>
                <w:sz w:val="24"/>
                <w:szCs w:val="24"/>
              </w:rPr>
              <w:fldChar w:fldCharType="end"/>
            </w:r>
          </w:hyperlink>
        </w:p>
        <w:p w14:paraId="03BDBAAD" w14:textId="64375ACD"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84" w:history="1">
            <w:r w:rsidR="00091CBA" w:rsidRPr="00091CBA">
              <w:rPr>
                <w:rStyle w:val="Hyperlink"/>
                <w:rFonts w:ascii="Arial" w:hAnsi="Arial" w:cs="Arial"/>
                <w:noProof/>
                <w:sz w:val="24"/>
                <w:szCs w:val="24"/>
              </w:rPr>
              <w:t>2.3.4</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Retinotopy and population receptive field (pRF) mapping using fMRI</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_Toc16236984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6</w:t>
            </w:r>
            <w:r w:rsidR="007B3A25">
              <w:rPr>
                <w:rFonts w:ascii="Arial" w:hAnsi="Arial" w:cs="Arial"/>
                <w:noProof/>
                <w:webHidden/>
                <w:sz w:val="24"/>
                <w:szCs w:val="24"/>
              </w:rPr>
              <w:t>6</w:t>
            </w:r>
            <w:r w:rsidR="00091CBA" w:rsidRPr="00091CBA">
              <w:rPr>
                <w:rFonts w:ascii="Arial" w:hAnsi="Arial" w:cs="Arial"/>
                <w:noProof/>
                <w:webHidden/>
                <w:sz w:val="24"/>
                <w:szCs w:val="24"/>
              </w:rPr>
              <w:fldChar w:fldCharType="end"/>
            </w:r>
          </w:hyperlink>
        </w:p>
        <w:p w14:paraId="20AF1EFE" w14:textId="29C785F4"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85" w:history="1">
            <w:r w:rsidR="00091CBA" w:rsidRPr="00091CBA">
              <w:rPr>
                <w:rStyle w:val="Hyperlink"/>
                <w:rFonts w:ascii="Arial" w:hAnsi="Arial" w:cs="Arial"/>
                <w:noProof/>
                <w:sz w:val="24"/>
                <w:szCs w:val="24"/>
              </w:rPr>
              <w:t>2.3.5</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shd w:val="clear" w:color="auto" w:fill="FFFFFF"/>
              </w:rPr>
              <w:t>MT+ motion localiser</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_Toc16236985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7</w:t>
            </w:r>
            <w:r w:rsidR="007B3A25">
              <w:rPr>
                <w:rFonts w:ascii="Arial" w:hAnsi="Arial" w:cs="Arial"/>
                <w:noProof/>
                <w:webHidden/>
                <w:sz w:val="24"/>
                <w:szCs w:val="24"/>
              </w:rPr>
              <w:t>0</w:t>
            </w:r>
            <w:r w:rsidR="00091CBA" w:rsidRPr="00091CBA">
              <w:rPr>
                <w:rFonts w:ascii="Arial" w:hAnsi="Arial" w:cs="Arial"/>
                <w:noProof/>
                <w:webHidden/>
                <w:sz w:val="24"/>
                <w:szCs w:val="24"/>
              </w:rPr>
              <w:fldChar w:fldCharType="end"/>
            </w:r>
          </w:hyperlink>
        </w:p>
        <w:p w14:paraId="7944CD30" w14:textId="24C75077"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86" w:history="1">
            <w:r w:rsidR="00091CBA" w:rsidRPr="00091CBA">
              <w:rPr>
                <w:rStyle w:val="Hyperlink"/>
                <w:rFonts w:ascii="Arial" w:hAnsi="Arial" w:cs="Arial"/>
                <w:b w:val="0"/>
                <w:bCs w:val="0"/>
                <w:noProof/>
                <w:sz w:val="24"/>
                <w:szCs w:val="24"/>
              </w:rPr>
              <w:t>2.4</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Machine learning classification</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_Toc16236986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7</w:t>
            </w:r>
            <w:r w:rsidR="007B3A25">
              <w:rPr>
                <w:rFonts w:ascii="Arial" w:hAnsi="Arial" w:cs="Arial"/>
                <w:b w:val="0"/>
                <w:bCs w:val="0"/>
                <w:noProof/>
                <w:webHidden/>
                <w:sz w:val="24"/>
                <w:szCs w:val="24"/>
              </w:rPr>
              <w:t>1</w:t>
            </w:r>
            <w:r w:rsidR="00091CBA" w:rsidRPr="00091CBA">
              <w:rPr>
                <w:rFonts w:ascii="Arial" w:hAnsi="Arial" w:cs="Arial"/>
                <w:b w:val="0"/>
                <w:bCs w:val="0"/>
                <w:noProof/>
                <w:webHidden/>
                <w:sz w:val="24"/>
                <w:szCs w:val="24"/>
              </w:rPr>
              <w:fldChar w:fldCharType="end"/>
            </w:r>
          </w:hyperlink>
        </w:p>
        <w:p w14:paraId="5F809F40" w14:textId="36CBC918"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87" w:history="1">
            <w:r w:rsidR="00091CBA" w:rsidRPr="00091CBA">
              <w:rPr>
                <w:rStyle w:val="Hyperlink"/>
                <w:rFonts w:ascii="Arial" w:hAnsi="Arial" w:cs="Arial"/>
                <w:noProof/>
                <w:sz w:val="24"/>
                <w:szCs w:val="24"/>
              </w:rPr>
              <w:t>2.4.1</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Overview</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_Toc16236987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7</w:t>
            </w:r>
            <w:r w:rsidR="007B3A25">
              <w:rPr>
                <w:rFonts w:ascii="Arial" w:hAnsi="Arial" w:cs="Arial"/>
                <w:noProof/>
                <w:webHidden/>
                <w:sz w:val="24"/>
                <w:szCs w:val="24"/>
              </w:rPr>
              <w:t>1</w:t>
            </w:r>
            <w:r w:rsidR="00091CBA" w:rsidRPr="00091CBA">
              <w:rPr>
                <w:rFonts w:ascii="Arial" w:hAnsi="Arial" w:cs="Arial"/>
                <w:noProof/>
                <w:webHidden/>
                <w:sz w:val="24"/>
                <w:szCs w:val="24"/>
              </w:rPr>
              <w:fldChar w:fldCharType="end"/>
            </w:r>
          </w:hyperlink>
        </w:p>
        <w:p w14:paraId="646A3AFB" w14:textId="5230F1D3"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88" w:history="1">
            <w:r w:rsidR="00091CBA" w:rsidRPr="00091CBA">
              <w:rPr>
                <w:rStyle w:val="Hyperlink"/>
                <w:rFonts w:ascii="Arial" w:hAnsi="Arial" w:cs="Arial"/>
                <w:noProof/>
                <w:sz w:val="24"/>
                <w:szCs w:val="24"/>
              </w:rPr>
              <w:t>2.4.2</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Support vector machines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_Toc16236988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7</w:t>
            </w:r>
            <w:r w:rsidR="007B3A25">
              <w:rPr>
                <w:rFonts w:ascii="Arial" w:hAnsi="Arial" w:cs="Arial"/>
                <w:noProof/>
                <w:webHidden/>
                <w:sz w:val="24"/>
                <w:szCs w:val="24"/>
              </w:rPr>
              <w:t>3</w:t>
            </w:r>
            <w:r w:rsidR="00091CBA" w:rsidRPr="00091CBA">
              <w:rPr>
                <w:rFonts w:ascii="Arial" w:hAnsi="Arial" w:cs="Arial"/>
                <w:noProof/>
                <w:webHidden/>
                <w:sz w:val="24"/>
                <w:szCs w:val="24"/>
              </w:rPr>
              <w:fldChar w:fldCharType="end"/>
            </w:r>
          </w:hyperlink>
        </w:p>
        <w:p w14:paraId="5A659C21" w14:textId="115F972F"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89" w:history="1">
            <w:r w:rsidR="00091CBA" w:rsidRPr="00091CBA">
              <w:rPr>
                <w:rStyle w:val="Hyperlink"/>
                <w:rFonts w:ascii="Arial" w:hAnsi="Arial" w:cs="Arial"/>
                <w:noProof/>
                <w:sz w:val="24"/>
                <w:szCs w:val="24"/>
              </w:rPr>
              <w:t>2.4.3</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Radial Basis Function Kernel</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_Toc16236989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7</w:t>
            </w:r>
            <w:r w:rsidR="007B3A25">
              <w:rPr>
                <w:rFonts w:ascii="Arial" w:hAnsi="Arial" w:cs="Arial"/>
                <w:noProof/>
                <w:webHidden/>
                <w:sz w:val="24"/>
                <w:szCs w:val="24"/>
              </w:rPr>
              <w:t>6</w:t>
            </w:r>
            <w:r w:rsidR="00091CBA" w:rsidRPr="00091CBA">
              <w:rPr>
                <w:rFonts w:ascii="Arial" w:hAnsi="Arial" w:cs="Arial"/>
                <w:noProof/>
                <w:webHidden/>
                <w:sz w:val="24"/>
                <w:szCs w:val="24"/>
              </w:rPr>
              <w:fldChar w:fldCharType="end"/>
            </w:r>
          </w:hyperlink>
        </w:p>
        <w:p w14:paraId="07237BE1" w14:textId="41496E08"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90" w:history="1">
            <w:r w:rsidR="00091CBA" w:rsidRPr="00091CBA">
              <w:rPr>
                <w:rStyle w:val="Hyperlink"/>
                <w:rFonts w:ascii="Arial" w:hAnsi="Arial" w:cs="Arial"/>
                <w:noProof/>
                <w:sz w:val="24"/>
                <w:szCs w:val="24"/>
              </w:rPr>
              <w:t>2.4.4</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Overfitting</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_Toc16236990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7</w:t>
            </w:r>
            <w:r w:rsidR="007B3A25">
              <w:rPr>
                <w:rFonts w:ascii="Arial" w:hAnsi="Arial" w:cs="Arial"/>
                <w:noProof/>
                <w:webHidden/>
                <w:sz w:val="24"/>
                <w:szCs w:val="24"/>
              </w:rPr>
              <w:t>6</w:t>
            </w:r>
            <w:r w:rsidR="00091CBA" w:rsidRPr="00091CBA">
              <w:rPr>
                <w:rFonts w:ascii="Arial" w:hAnsi="Arial" w:cs="Arial"/>
                <w:noProof/>
                <w:webHidden/>
                <w:sz w:val="24"/>
                <w:szCs w:val="24"/>
              </w:rPr>
              <w:fldChar w:fldCharType="end"/>
            </w:r>
          </w:hyperlink>
        </w:p>
        <w:p w14:paraId="77540AB3" w14:textId="0D0F0BE9"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91" w:history="1">
            <w:r w:rsidR="00091CBA" w:rsidRPr="00091CBA">
              <w:rPr>
                <w:rStyle w:val="Hyperlink"/>
                <w:rFonts w:ascii="Arial" w:hAnsi="Arial" w:cs="Arial"/>
                <w:b w:val="0"/>
                <w:bCs w:val="0"/>
                <w:noProof/>
                <w:sz w:val="24"/>
                <w:szCs w:val="24"/>
              </w:rPr>
              <w:t>2.5</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Multiple comparisons correction</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_Toc16236991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7</w:t>
            </w:r>
            <w:r w:rsidR="007B3A25">
              <w:rPr>
                <w:rFonts w:ascii="Arial" w:hAnsi="Arial" w:cs="Arial"/>
                <w:b w:val="0"/>
                <w:bCs w:val="0"/>
                <w:noProof/>
                <w:webHidden/>
                <w:sz w:val="24"/>
                <w:szCs w:val="24"/>
              </w:rPr>
              <w:t>7</w:t>
            </w:r>
            <w:r w:rsidR="00091CBA" w:rsidRPr="00091CBA">
              <w:rPr>
                <w:rFonts w:ascii="Arial" w:hAnsi="Arial" w:cs="Arial"/>
                <w:b w:val="0"/>
                <w:bCs w:val="0"/>
                <w:noProof/>
                <w:webHidden/>
                <w:sz w:val="24"/>
                <w:szCs w:val="24"/>
              </w:rPr>
              <w:fldChar w:fldCharType="end"/>
            </w:r>
          </w:hyperlink>
        </w:p>
        <w:p w14:paraId="6E2B7C6C" w14:textId="4B7AB5E8" w:rsidR="00091CBA" w:rsidRPr="00091CBA" w:rsidRDefault="00F77F86" w:rsidP="00091CBA">
          <w:pPr>
            <w:pStyle w:val="TOC1"/>
            <w:tabs>
              <w:tab w:val="left" w:pos="480"/>
              <w:tab w:val="right" w:pos="8182"/>
            </w:tabs>
            <w:spacing w:line="360" w:lineRule="auto"/>
            <w:rPr>
              <w:rFonts w:ascii="Arial" w:eastAsiaTheme="minorEastAsia" w:hAnsi="Arial" w:cs="Arial"/>
              <w:b w:val="0"/>
              <w:bCs w:val="0"/>
              <w:i w:val="0"/>
              <w:iCs w:val="0"/>
              <w:noProof/>
            </w:rPr>
          </w:pPr>
          <w:hyperlink w:anchor="_Toc16236992" w:history="1">
            <w:r w:rsidR="00091CBA" w:rsidRPr="00091CBA">
              <w:rPr>
                <w:rStyle w:val="Hyperlink"/>
                <w:rFonts w:ascii="Arial" w:hAnsi="Arial" w:cs="Arial"/>
                <w:b w:val="0"/>
                <w:bCs w:val="0"/>
                <w:i w:val="0"/>
                <w:iCs w:val="0"/>
                <w:noProof/>
              </w:rPr>
              <w:t>3.</w:t>
            </w:r>
            <w:r w:rsidR="00091CBA" w:rsidRPr="00091CBA">
              <w:rPr>
                <w:rFonts w:ascii="Arial" w:eastAsiaTheme="minorEastAsia" w:hAnsi="Arial" w:cs="Arial"/>
                <w:b w:val="0"/>
                <w:bCs w:val="0"/>
                <w:i w:val="0"/>
                <w:iCs w:val="0"/>
                <w:noProof/>
              </w:rPr>
              <w:tab/>
            </w:r>
            <w:r w:rsidR="00091CBA" w:rsidRPr="00091CBA">
              <w:rPr>
                <w:rStyle w:val="Hyperlink"/>
                <w:rFonts w:ascii="Arial" w:hAnsi="Arial" w:cs="Arial"/>
                <w:b w:val="0"/>
                <w:bCs w:val="0"/>
                <w:i w:val="0"/>
                <w:iCs w:val="0"/>
                <w:noProof/>
              </w:rPr>
              <w:t>Investigating Selective Versus Distributed Attentional Effects</w:t>
            </w:r>
            <w:r w:rsidR="00091CBA" w:rsidRPr="00091CBA">
              <w:rPr>
                <w:rFonts w:ascii="Arial" w:hAnsi="Arial" w:cs="Arial"/>
                <w:b w:val="0"/>
                <w:bCs w:val="0"/>
                <w:i w:val="0"/>
                <w:iCs w:val="0"/>
                <w:noProof/>
                <w:webHidden/>
              </w:rPr>
              <w:tab/>
            </w:r>
            <w:r w:rsidR="007B3A25">
              <w:rPr>
                <w:rFonts w:ascii="Arial" w:hAnsi="Arial" w:cs="Arial"/>
                <w:b w:val="0"/>
                <w:bCs w:val="0"/>
                <w:i w:val="0"/>
                <w:iCs w:val="0"/>
                <w:noProof/>
                <w:webHidden/>
              </w:rPr>
              <w:t>79</w:t>
            </w:r>
          </w:hyperlink>
        </w:p>
        <w:p w14:paraId="15511DC5" w14:textId="1479F2ED"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93" w:history="1">
            <w:r w:rsidR="00091CBA" w:rsidRPr="00091CBA">
              <w:rPr>
                <w:rStyle w:val="Hyperlink"/>
                <w:rFonts w:ascii="Arial" w:hAnsi="Arial" w:cs="Arial"/>
                <w:b w:val="0"/>
                <w:bCs w:val="0"/>
                <w:noProof/>
                <w:sz w:val="24"/>
                <w:szCs w:val="24"/>
              </w:rPr>
              <w:t>3.1</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Abstract</w:t>
            </w:r>
            <w:r w:rsidR="00091CBA" w:rsidRPr="00091CBA">
              <w:rPr>
                <w:rFonts w:ascii="Arial" w:hAnsi="Arial" w:cs="Arial"/>
                <w:b w:val="0"/>
                <w:bCs w:val="0"/>
                <w:noProof/>
                <w:webHidden/>
                <w:sz w:val="24"/>
                <w:szCs w:val="24"/>
              </w:rPr>
              <w:tab/>
            </w:r>
            <w:r w:rsidR="007B3A25">
              <w:rPr>
                <w:rFonts w:ascii="Arial" w:hAnsi="Arial" w:cs="Arial"/>
                <w:b w:val="0"/>
                <w:bCs w:val="0"/>
                <w:noProof/>
                <w:webHidden/>
                <w:sz w:val="24"/>
                <w:szCs w:val="24"/>
              </w:rPr>
              <w:t>79</w:t>
            </w:r>
          </w:hyperlink>
        </w:p>
        <w:p w14:paraId="63EFBCA5" w14:textId="754E8525"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94" w:history="1">
            <w:r w:rsidR="00091CBA" w:rsidRPr="00091CBA">
              <w:rPr>
                <w:rStyle w:val="Hyperlink"/>
                <w:rFonts w:ascii="Arial" w:hAnsi="Arial" w:cs="Arial"/>
                <w:b w:val="0"/>
                <w:bCs w:val="0"/>
                <w:noProof/>
                <w:sz w:val="24"/>
                <w:szCs w:val="24"/>
              </w:rPr>
              <w:t>3.2</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Introduction</w:t>
            </w:r>
            <w:r w:rsidR="00091CBA" w:rsidRPr="00091CBA">
              <w:rPr>
                <w:rFonts w:ascii="Arial" w:hAnsi="Arial" w:cs="Arial"/>
                <w:b w:val="0"/>
                <w:bCs w:val="0"/>
                <w:noProof/>
                <w:webHidden/>
                <w:sz w:val="24"/>
                <w:szCs w:val="24"/>
              </w:rPr>
              <w:tab/>
            </w:r>
            <w:r w:rsidR="007B3A25">
              <w:rPr>
                <w:rFonts w:ascii="Arial" w:hAnsi="Arial" w:cs="Arial"/>
                <w:b w:val="0"/>
                <w:bCs w:val="0"/>
                <w:noProof/>
                <w:webHidden/>
                <w:sz w:val="24"/>
                <w:szCs w:val="24"/>
              </w:rPr>
              <w:t>79</w:t>
            </w:r>
          </w:hyperlink>
        </w:p>
        <w:p w14:paraId="7F24FAFA" w14:textId="00780AF7"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95" w:history="1">
            <w:r w:rsidR="00091CBA" w:rsidRPr="00091CBA">
              <w:rPr>
                <w:rStyle w:val="Hyperlink"/>
                <w:rFonts w:ascii="Arial" w:hAnsi="Arial" w:cs="Arial"/>
                <w:b w:val="0"/>
                <w:bCs w:val="0"/>
                <w:noProof/>
                <w:sz w:val="24"/>
                <w:szCs w:val="24"/>
              </w:rPr>
              <w:t>3.3</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Methods</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_Toc16236995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8</w:t>
            </w:r>
            <w:r w:rsidR="007B3A25">
              <w:rPr>
                <w:rFonts w:ascii="Arial" w:hAnsi="Arial" w:cs="Arial"/>
                <w:b w:val="0"/>
                <w:bCs w:val="0"/>
                <w:noProof/>
                <w:webHidden/>
                <w:sz w:val="24"/>
                <w:szCs w:val="24"/>
              </w:rPr>
              <w:t>3</w:t>
            </w:r>
            <w:r w:rsidR="00091CBA" w:rsidRPr="00091CBA">
              <w:rPr>
                <w:rFonts w:ascii="Arial" w:hAnsi="Arial" w:cs="Arial"/>
                <w:b w:val="0"/>
                <w:bCs w:val="0"/>
                <w:noProof/>
                <w:webHidden/>
                <w:sz w:val="24"/>
                <w:szCs w:val="24"/>
              </w:rPr>
              <w:fldChar w:fldCharType="end"/>
            </w:r>
          </w:hyperlink>
        </w:p>
        <w:p w14:paraId="48BD3E62" w14:textId="4F4F4AAE"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96" w:history="1">
            <w:r w:rsidR="00091CBA" w:rsidRPr="00091CBA">
              <w:rPr>
                <w:rStyle w:val="Hyperlink"/>
                <w:rFonts w:ascii="Arial" w:hAnsi="Arial" w:cs="Arial"/>
                <w:noProof/>
                <w:sz w:val="24"/>
                <w:szCs w:val="24"/>
              </w:rPr>
              <w:t>3.3.1</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Participants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_Toc16236996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8</w:t>
            </w:r>
            <w:r w:rsidR="007B3A25">
              <w:rPr>
                <w:rFonts w:ascii="Arial" w:hAnsi="Arial" w:cs="Arial"/>
                <w:noProof/>
                <w:webHidden/>
                <w:sz w:val="24"/>
                <w:szCs w:val="24"/>
              </w:rPr>
              <w:t>3</w:t>
            </w:r>
            <w:r w:rsidR="00091CBA" w:rsidRPr="00091CBA">
              <w:rPr>
                <w:rFonts w:ascii="Arial" w:hAnsi="Arial" w:cs="Arial"/>
                <w:noProof/>
                <w:webHidden/>
                <w:sz w:val="24"/>
                <w:szCs w:val="24"/>
              </w:rPr>
              <w:fldChar w:fldCharType="end"/>
            </w:r>
          </w:hyperlink>
        </w:p>
        <w:p w14:paraId="1F0F0F4B" w14:textId="437C3058"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6997" w:history="1">
            <w:r w:rsidR="00091CBA" w:rsidRPr="00091CBA">
              <w:rPr>
                <w:rStyle w:val="Hyperlink"/>
                <w:rFonts w:ascii="Arial" w:hAnsi="Arial" w:cs="Arial"/>
                <w:noProof/>
                <w:sz w:val="24"/>
                <w:szCs w:val="24"/>
              </w:rPr>
              <w:t>3.3.2</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Design &amp; Procedure</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_Toc16236997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8</w:t>
            </w:r>
            <w:r w:rsidR="007B3A25">
              <w:rPr>
                <w:rFonts w:ascii="Arial" w:hAnsi="Arial" w:cs="Arial"/>
                <w:noProof/>
                <w:webHidden/>
                <w:sz w:val="24"/>
                <w:szCs w:val="24"/>
              </w:rPr>
              <w:t>3</w:t>
            </w:r>
            <w:r w:rsidR="00091CBA" w:rsidRPr="00091CBA">
              <w:rPr>
                <w:rFonts w:ascii="Arial" w:hAnsi="Arial" w:cs="Arial"/>
                <w:noProof/>
                <w:webHidden/>
                <w:sz w:val="24"/>
                <w:szCs w:val="24"/>
              </w:rPr>
              <w:fldChar w:fldCharType="end"/>
            </w:r>
          </w:hyperlink>
        </w:p>
        <w:p w14:paraId="1FCA73FC" w14:textId="4EFF73D1"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98" w:history="1">
            <w:r w:rsidR="00091CBA" w:rsidRPr="00091CBA">
              <w:rPr>
                <w:rStyle w:val="Hyperlink"/>
                <w:rFonts w:ascii="Arial" w:hAnsi="Arial" w:cs="Arial"/>
                <w:b w:val="0"/>
                <w:bCs w:val="0"/>
                <w:noProof/>
                <w:sz w:val="24"/>
                <w:szCs w:val="24"/>
              </w:rPr>
              <w:t>3.4</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Results</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_Toc16236998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9</w:t>
            </w:r>
            <w:r w:rsidR="007B3A25">
              <w:rPr>
                <w:rFonts w:ascii="Arial" w:hAnsi="Arial" w:cs="Arial"/>
                <w:b w:val="0"/>
                <w:bCs w:val="0"/>
                <w:noProof/>
                <w:webHidden/>
                <w:sz w:val="24"/>
                <w:szCs w:val="24"/>
              </w:rPr>
              <w:t>0</w:t>
            </w:r>
            <w:r w:rsidR="00091CBA" w:rsidRPr="00091CBA">
              <w:rPr>
                <w:rFonts w:ascii="Arial" w:hAnsi="Arial" w:cs="Arial"/>
                <w:b w:val="0"/>
                <w:bCs w:val="0"/>
                <w:noProof/>
                <w:webHidden/>
                <w:sz w:val="24"/>
                <w:szCs w:val="24"/>
              </w:rPr>
              <w:fldChar w:fldCharType="end"/>
            </w:r>
          </w:hyperlink>
        </w:p>
        <w:p w14:paraId="34D045D1" w14:textId="741B9A5B"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6999" w:history="1">
            <w:r w:rsidR="00091CBA" w:rsidRPr="00091CBA">
              <w:rPr>
                <w:rStyle w:val="Hyperlink"/>
                <w:rFonts w:ascii="Arial" w:hAnsi="Arial" w:cs="Arial"/>
                <w:b w:val="0"/>
                <w:bCs w:val="0"/>
                <w:noProof/>
                <w:sz w:val="24"/>
                <w:szCs w:val="24"/>
              </w:rPr>
              <w:t>3.5</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Discussion</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_Toc16236999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9</w:t>
            </w:r>
            <w:r w:rsidR="007B3A25">
              <w:rPr>
                <w:rFonts w:ascii="Arial" w:hAnsi="Arial" w:cs="Arial"/>
                <w:b w:val="0"/>
                <w:bCs w:val="0"/>
                <w:noProof/>
                <w:webHidden/>
                <w:sz w:val="24"/>
                <w:szCs w:val="24"/>
              </w:rPr>
              <w:t>6</w:t>
            </w:r>
            <w:r w:rsidR="00091CBA" w:rsidRPr="00091CBA">
              <w:rPr>
                <w:rFonts w:ascii="Arial" w:hAnsi="Arial" w:cs="Arial"/>
                <w:b w:val="0"/>
                <w:bCs w:val="0"/>
                <w:noProof/>
                <w:webHidden/>
                <w:sz w:val="24"/>
                <w:szCs w:val="24"/>
              </w:rPr>
              <w:fldChar w:fldCharType="end"/>
            </w:r>
          </w:hyperlink>
        </w:p>
        <w:p w14:paraId="35133067" w14:textId="4EF79A0F" w:rsidR="00091CBA" w:rsidRPr="00091CBA" w:rsidRDefault="00F77F86" w:rsidP="00091CBA">
          <w:pPr>
            <w:pStyle w:val="TOC1"/>
            <w:tabs>
              <w:tab w:val="left" w:pos="480"/>
              <w:tab w:val="right" w:pos="8182"/>
            </w:tabs>
            <w:spacing w:line="360" w:lineRule="auto"/>
            <w:rPr>
              <w:rFonts w:ascii="Arial" w:eastAsiaTheme="minorEastAsia" w:hAnsi="Arial" w:cs="Arial"/>
              <w:b w:val="0"/>
              <w:bCs w:val="0"/>
              <w:i w:val="0"/>
              <w:iCs w:val="0"/>
              <w:noProof/>
            </w:rPr>
          </w:pPr>
          <w:hyperlink w:anchor="_Toc16237000" w:history="1">
            <w:r w:rsidR="00091CBA" w:rsidRPr="00091CBA">
              <w:rPr>
                <w:rStyle w:val="Hyperlink"/>
                <w:rFonts w:ascii="Arial" w:hAnsi="Arial" w:cs="Arial"/>
                <w:b w:val="0"/>
                <w:bCs w:val="0"/>
                <w:i w:val="0"/>
                <w:iCs w:val="0"/>
                <w:noProof/>
              </w:rPr>
              <w:t>4.</w:t>
            </w:r>
            <w:r w:rsidR="00091CBA" w:rsidRPr="00091CBA">
              <w:rPr>
                <w:rFonts w:ascii="Arial" w:eastAsiaTheme="minorEastAsia" w:hAnsi="Arial" w:cs="Arial"/>
                <w:b w:val="0"/>
                <w:bCs w:val="0"/>
                <w:i w:val="0"/>
                <w:iCs w:val="0"/>
                <w:noProof/>
              </w:rPr>
              <w:tab/>
            </w:r>
            <w:r w:rsidR="00091CBA" w:rsidRPr="00091CBA">
              <w:rPr>
                <w:rStyle w:val="Hyperlink"/>
                <w:rFonts w:ascii="Arial" w:hAnsi="Arial" w:cs="Arial"/>
                <w:b w:val="0"/>
                <w:bCs w:val="0"/>
                <w:i w:val="0"/>
                <w:iCs w:val="0"/>
                <w:noProof/>
              </w:rPr>
              <w:t>Feature-Specific Patterns of Attention and Functional Connectivity in Human Visual Cortex</w:t>
            </w:r>
            <w:r w:rsidR="00091CBA" w:rsidRPr="00091CBA">
              <w:rPr>
                <w:rFonts w:ascii="Arial" w:hAnsi="Arial" w:cs="Arial"/>
                <w:b w:val="0"/>
                <w:bCs w:val="0"/>
                <w:i w:val="0"/>
                <w:iCs w:val="0"/>
                <w:noProof/>
                <w:webHidden/>
              </w:rPr>
              <w:tab/>
            </w:r>
            <w:r w:rsidR="007B3A25">
              <w:rPr>
                <w:rFonts w:ascii="Arial" w:hAnsi="Arial" w:cs="Arial"/>
                <w:b w:val="0"/>
                <w:bCs w:val="0"/>
                <w:i w:val="0"/>
                <w:iCs w:val="0"/>
                <w:noProof/>
                <w:webHidden/>
              </w:rPr>
              <w:t>99</w:t>
            </w:r>
          </w:hyperlink>
        </w:p>
        <w:p w14:paraId="3C34B237" w14:textId="61A01E8B"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01" w:history="1">
            <w:r w:rsidR="00091CBA" w:rsidRPr="00091CBA">
              <w:rPr>
                <w:rStyle w:val="Hyperlink"/>
                <w:rFonts w:ascii="Arial" w:hAnsi="Arial" w:cs="Arial"/>
                <w:b w:val="0"/>
                <w:bCs w:val="0"/>
                <w:noProof/>
                <w:sz w:val="24"/>
                <w:szCs w:val="24"/>
              </w:rPr>
              <w:t>4.1</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Abstract</w:t>
            </w:r>
            <w:r w:rsidR="00091CBA" w:rsidRPr="00091CBA">
              <w:rPr>
                <w:rFonts w:ascii="Arial" w:hAnsi="Arial" w:cs="Arial"/>
                <w:b w:val="0"/>
                <w:bCs w:val="0"/>
                <w:noProof/>
                <w:webHidden/>
                <w:sz w:val="24"/>
                <w:szCs w:val="24"/>
              </w:rPr>
              <w:tab/>
            </w:r>
            <w:r w:rsidR="007B3A25">
              <w:rPr>
                <w:rFonts w:ascii="Arial" w:hAnsi="Arial" w:cs="Arial"/>
                <w:b w:val="0"/>
                <w:bCs w:val="0"/>
                <w:noProof/>
                <w:webHidden/>
                <w:sz w:val="24"/>
                <w:szCs w:val="24"/>
              </w:rPr>
              <w:t>99</w:t>
            </w:r>
          </w:hyperlink>
        </w:p>
        <w:p w14:paraId="4CA5B6CE" w14:textId="388B3070"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02" w:history="1">
            <w:r w:rsidR="00091CBA" w:rsidRPr="00091CBA">
              <w:rPr>
                <w:rStyle w:val="Hyperlink"/>
                <w:rFonts w:ascii="Arial" w:hAnsi="Arial" w:cs="Arial"/>
                <w:b w:val="0"/>
                <w:bCs w:val="0"/>
                <w:noProof/>
                <w:sz w:val="24"/>
                <w:szCs w:val="24"/>
              </w:rPr>
              <w:t>4.2</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Introduction</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_Toc16237002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10</w:t>
            </w:r>
            <w:r w:rsidR="007B3A25">
              <w:rPr>
                <w:rFonts w:ascii="Arial" w:hAnsi="Arial" w:cs="Arial"/>
                <w:b w:val="0"/>
                <w:bCs w:val="0"/>
                <w:noProof/>
                <w:webHidden/>
                <w:sz w:val="24"/>
                <w:szCs w:val="24"/>
              </w:rPr>
              <w:t>0</w:t>
            </w:r>
            <w:r w:rsidR="00091CBA" w:rsidRPr="00091CBA">
              <w:rPr>
                <w:rFonts w:ascii="Arial" w:hAnsi="Arial" w:cs="Arial"/>
                <w:b w:val="0"/>
                <w:bCs w:val="0"/>
                <w:noProof/>
                <w:webHidden/>
                <w:sz w:val="24"/>
                <w:szCs w:val="24"/>
              </w:rPr>
              <w:fldChar w:fldCharType="end"/>
            </w:r>
          </w:hyperlink>
        </w:p>
        <w:p w14:paraId="0C62D9FA" w14:textId="4F0360BF"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03" w:history="1">
            <w:r w:rsidR="00091CBA" w:rsidRPr="00091CBA">
              <w:rPr>
                <w:rStyle w:val="Hyperlink"/>
                <w:rFonts w:ascii="Arial" w:hAnsi="Arial" w:cs="Arial"/>
                <w:b w:val="0"/>
                <w:bCs w:val="0"/>
                <w:noProof/>
                <w:sz w:val="24"/>
                <w:szCs w:val="24"/>
              </w:rPr>
              <w:t>4.3</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Methods</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_Toc16237003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10</w:t>
            </w:r>
            <w:r w:rsidR="007B3A25">
              <w:rPr>
                <w:rFonts w:ascii="Arial" w:hAnsi="Arial" w:cs="Arial"/>
                <w:b w:val="0"/>
                <w:bCs w:val="0"/>
                <w:noProof/>
                <w:webHidden/>
                <w:sz w:val="24"/>
                <w:szCs w:val="24"/>
              </w:rPr>
              <w:t>3</w:t>
            </w:r>
            <w:r w:rsidR="00091CBA" w:rsidRPr="00091CBA">
              <w:rPr>
                <w:rFonts w:ascii="Arial" w:hAnsi="Arial" w:cs="Arial"/>
                <w:b w:val="0"/>
                <w:bCs w:val="0"/>
                <w:noProof/>
                <w:webHidden/>
                <w:sz w:val="24"/>
                <w:szCs w:val="24"/>
              </w:rPr>
              <w:fldChar w:fldCharType="end"/>
            </w:r>
          </w:hyperlink>
        </w:p>
        <w:p w14:paraId="4750F6D4" w14:textId="48103E56"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04" w:history="1">
            <w:r w:rsidR="00091CBA" w:rsidRPr="00091CBA">
              <w:rPr>
                <w:rStyle w:val="Hyperlink"/>
                <w:rFonts w:ascii="Arial" w:hAnsi="Arial" w:cs="Arial"/>
                <w:noProof/>
                <w:sz w:val="24"/>
                <w:szCs w:val="24"/>
              </w:rPr>
              <w:t>4.3.1</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Participants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_Toc16237004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10</w:t>
            </w:r>
            <w:r w:rsidR="007B3A25">
              <w:rPr>
                <w:rFonts w:ascii="Arial" w:hAnsi="Arial" w:cs="Arial"/>
                <w:noProof/>
                <w:webHidden/>
                <w:sz w:val="24"/>
                <w:szCs w:val="24"/>
              </w:rPr>
              <w:t>3</w:t>
            </w:r>
            <w:r w:rsidR="00091CBA" w:rsidRPr="00091CBA">
              <w:rPr>
                <w:rFonts w:ascii="Arial" w:hAnsi="Arial" w:cs="Arial"/>
                <w:noProof/>
                <w:webHidden/>
                <w:sz w:val="24"/>
                <w:szCs w:val="24"/>
              </w:rPr>
              <w:fldChar w:fldCharType="end"/>
            </w:r>
          </w:hyperlink>
        </w:p>
        <w:p w14:paraId="081A06E6" w14:textId="1CAD4F65"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05" w:history="1">
            <w:r w:rsidR="00091CBA" w:rsidRPr="00091CBA">
              <w:rPr>
                <w:rStyle w:val="Hyperlink"/>
                <w:rFonts w:ascii="Arial" w:hAnsi="Arial" w:cs="Arial"/>
                <w:noProof/>
                <w:sz w:val="24"/>
                <w:szCs w:val="24"/>
              </w:rPr>
              <w:t>4.3.2</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Experimental Design</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_Toc16237005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10</w:t>
            </w:r>
            <w:r w:rsidR="007B3A25">
              <w:rPr>
                <w:rFonts w:ascii="Arial" w:hAnsi="Arial" w:cs="Arial"/>
                <w:noProof/>
                <w:webHidden/>
                <w:sz w:val="24"/>
                <w:szCs w:val="24"/>
              </w:rPr>
              <w:t>3</w:t>
            </w:r>
            <w:r w:rsidR="00091CBA" w:rsidRPr="00091CBA">
              <w:rPr>
                <w:rFonts w:ascii="Arial" w:hAnsi="Arial" w:cs="Arial"/>
                <w:noProof/>
                <w:webHidden/>
                <w:sz w:val="24"/>
                <w:szCs w:val="24"/>
              </w:rPr>
              <w:fldChar w:fldCharType="end"/>
            </w:r>
          </w:hyperlink>
        </w:p>
        <w:p w14:paraId="69875DE6" w14:textId="0028D37A"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06" w:history="1">
            <w:r w:rsidR="00091CBA" w:rsidRPr="00091CBA">
              <w:rPr>
                <w:rStyle w:val="Hyperlink"/>
                <w:rFonts w:ascii="Arial" w:hAnsi="Arial" w:cs="Arial"/>
                <w:noProof/>
                <w:sz w:val="24"/>
                <w:szCs w:val="24"/>
              </w:rPr>
              <w:t>4.3.3</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Functional Neuroimaging</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_Toc16237006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10</w:t>
            </w:r>
            <w:r w:rsidR="007B3A25">
              <w:rPr>
                <w:rFonts w:ascii="Arial" w:hAnsi="Arial" w:cs="Arial"/>
                <w:noProof/>
                <w:webHidden/>
                <w:sz w:val="24"/>
                <w:szCs w:val="24"/>
              </w:rPr>
              <w:t>7</w:t>
            </w:r>
            <w:r w:rsidR="00091CBA" w:rsidRPr="00091CBA">
              <w:rPr>
                <w:rFonts w:ascii="Arial" w:hAnsi="Arial" w:cs="Arial"/>
                <w:noProof/>
                <w:webHidden/>
                <w:sz w:val="24"/>
                <w:szCs w:val="24"/>
              </w:rPr>
              <w:fldChar w:fldCharType="end"/>
            </w:r>
          </w:hyperlink>
        </w:p>
        <w:p w14:paraId="092A312D" w14:textId="3DBFF216"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07" w:history="1">
            <w:r w:rsidR="00091CBA" w:rsidRPr="00091CBA">
              <w:rPr>
                <w:rStyle w:val="Hyperlink"/>
                <w:rFonts w:ascii="Arial" w:hAnsi="Arial" w:cs="Arial"/>
                <w:noProof/>
                <w:sz w:val="24"/>
                <w:szCs w:val="24"/>
              </w:rPr>
              <w:t>4.3.4</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Statistical analysis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_Toc16237007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11</w:t>
            </w:r>
            <w:r w:rsidR="007B3A25">
              <w:rPr>
                <w:rFonts w:ascii="Arial" w:hAnsi="Arial" w:cs="Arial"/>
                <w:noProof/>
                <w:webHidden/>
                <w:sz w:val="24"/>
                <w:szCs w:val="24"/>
              </w:rPr>
              <w:t>4</w:t>
            </w:r>
            <w:r w:rsidR="00091CBA" w:rsidRPr="00091CBA">
              <w:rPr>
                <w:rFonts w:ascii="Arial" w:hAnsi="Arial" w:cs="Arial"/>
                <w:noProof/>
                <w:webHidden/>
                <w:sz w:val="24"/>
                <w:szCs w:val="24"/>
              </w:rPr>
              <w:fldChar w:fldCharType="end"/>
            </w:r>
          </w:hyperlink>
        </w:p>
        <w:p w14:paraId="32AD3F0D" w14:textId="0B8E9A7D"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08" w:history="1">
            <w:r w:rsidR="00091CBA" w:rsidRPr="00091CBA">
              <w:rPr>
                <w:rStyle w:val="Hyperlink"/>
                <w:rFonts w:ascii="Arial" w:hAnsi="Arial" w:cs="Arial"/>
                <w:b w:val="0"/>
                <w:bCs w:val="0"/>
                <w:noProof/>
                <w:sz w:val="24"/>
                <w:szCs w:val="24"/>
              </w:rPr>
              <w:t>4.4</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Results</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_Toc16237008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1</w:t>
            </w:r>
            <w:r w:rsidR="007B3A25">
              <w:rPr>
                <w:rFonts w:ascii="Arial" w:hAnsi="Arial" w:cs="Arial"/>
                <w:b w:val="0"/>
                <w:bCs w:val="0"/>
                <w:noProof/>
                <w:webHidden/>
                <w:sz w:val="24"/>
                <w:szCs w:val="24"/>
              </w:rPr>
              <w:t>18</w:t>
            </w:r>
            <w:r w:rsidR="00091CBA" w:rsidRPr="00091CBA">
              <w:rPr>
                <w:rFonts w:ascii="Arial" w:hAnsi="Arial" w:cs="Arial"/>
                <w:b w:val="0"/>
                <w:bCs w:val="0"/>
                <w:noProof/>
                <w:webHidden/>
                <w:sz w:val="24"/>
                <w:szCs w:val="24"/>
              </w:rPr>
              <w:fldChar w:fldCharType="end"/>
            </w:r>
          </w:hyperlink>
        </w:p>
        <w:p w14:paraId="3B5895F0" w14:textId="65507D49" w:rsidR="00091CBA" w:rsidRPr="00091CBA" w:rsidRDefault="00F77F86" w:rsidP="00091CBA">
          <w:pPr>
            <w:pStyle w:val="TOC2"/>
            <w:tabs>
              <w:tab w:val="left" w:pos="1200"/>
              <w:tab w:val="right" w:pos="8182"/>
            </w:tabs>
            <w:spacing w:line="360" w:lineRule="auto"/>
            <w:rPr>
              <w:rFonts w:ascii="Arial" w:eastAsiaTheme="minorEastAsia" w:hAnsi="Arial" w:cs="Arial"/>
              <w:b w:val="0"/>
              <w:bCs w:val="0"/>
              <w:noProof/>
              <w:sz w:val="24"/>
              <w:szCs w:val="24"/>
            </w:rPr>
          </w:pPr>
          <w:hyperlink w:anchor="_Toc16237009" w:history="1">
            <w:r w:rsidR="00091CBA" w:rsidRPr="00091CBA">
              <w:rPr>
                <w:rStyle w:val="Hyperlink"/>
                <w:rFonts w:ascii="Arial" w:hAnsi="Arial" w:cs="Arial"/>
                <w:b w:val="0"/>
                <w:bCs w:val="0"/>
                <w:noProof/>
                <w:sz w:val="24"/>
                <w:szCs w:val="24"/>
              </w:rPr>
              <w:t>4.4.1</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Univariate analysis: stimulus-driven events</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_Toc16237009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1</w:t>
            </w:r>
            <w:r w:rsidR="007B3A25">
              <w:rPr>
                <w:rFonts w:ascii="Arial" w:hAnsi="Arial" w:cs="Arial"/>
                <w:b w:val="0"/>
                <w:bCs w:val="0"/>
                <w:noProof/>
                <w:webHidden/>
                <w:sz w:val="24"/>
                <w:szCs w:val="24"/>
              </w:rPr>
              <w:t>18</w:t>
            </w:r>
            <w:r w:rsidR="00091CBA" w:rsidRPr="00091CBA">
              <w:rPr>
                <w:rFonts w:ascii="Arial" w:hAnsi="Arial" w:cs="Arial"/>
                <w:b w:val="0"/>
                <w:bCs w:val="0"/>
                <w:noProof/>
                <w:webHidden/>
                <w:sz w:val="24"/>
                <w:szCs w:val="24"/>
              </w:rPr>
              <w:fldChar w:fldCharType="end"/>
            </w:r>
          </w:hyperlink>
        </w:p>
        <w:p w14:paraId="507CE537" w14:textId="2FD12A4B"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10" w:history="1">
            <w:r w:rsidR="00091CBA" w:rsidRPr="00091CBA">
              <w:rPr>
                <w:rStyle w:val="Hyperlink"/>
                <w:rFonts w:ascii="Arial" w:hAnsi="Arial" w:cs="Arial"/>
                <w:noProof/>
                <w:sz w:val="24"/>
                <w:szCs w:val="24"/>
              </w:rPr>
              <w:t>4.4.2</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Univariate analysis: attentional modulation</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_Toc16237010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w:t>
            </w:r>
            <w:r w:rsidR="007B3A25">
              <w:rPr>
                <w:rFonts w:ascii="Arial" w:hAnsi="Arial" w:cs="Arial"/>
                <w:noProof/>
                <w:webHidden/>
                <w:sz w:val="24"/>
                <w:szCs w:val="24"/>
              </w:rPr>
              <w:t>19</w:t>
            </w:r>
            <w:r w:rsidR="00091CBA" w:rsidRPr="00091CBA">
              <w:rPr>
                <w:rFonts w:ascii="Arial" w:hAnsi="Arial" w:cs="Arial"/>
                <w:noProof/>
                <w:webHidden/>
                <w:sz w:val="24"/>
                <w:szCs w:val="24"/>
              </w:rPr>
              <w:fldChar w:fldCharType="end"/>
            </w:r>
          </w:hyperlink>
        </w:p>
        <w:p w14:paraId="62723E54" w14:textId="50D0112F"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11" w:history="1">
            <w:r w:rsidR="00091CBA" w:rsidRPr="00091CBA">
              <w:rPr>
                <w:rStyle w:val="Hyperlink"/>
                <w:rFonts w:ascii="Arial" w:hAnsi="Arial" w:cs="Arial"/>
                <w:noProof/>
                <w:sz w:val="24"/>
                <w:szCs w:val="24"/>
              </w:rPr>
              <w:t>4.4.3</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Multivariate Analysis: pattern classification</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_Toc16237011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12</w:t>
            </w:r>
            <w:r w:rsidR="007B3A25">
              <w:rPr>
                <w:rFonts w:ascii="Arial" w:hAnsi="Arial" w:cs="Arial"/>
                <w:noProof/>
                <w:webHidden/>
                <w:sz w:val="24"/>
                <w:szCs w:val="24"/>
              </w:rPr>
              <w:t>2</w:t>
            </w:r>
            <w:r w:rsidR="00091CBA" w:rsidRPr="00091CBA">
              <w:rPr>
                <w:rFonts w:ascii="Arial" w:hAnsi="Arial" w:cs="Arial"/>
                <w:noProof/>
                <w:webHidden/>
                <w:sz w:val="24"/>
                <w:szCs w:val="24"/>
              </w:rPr>
              <w:fldChar w:fldCharType="end"/>
            </w:r>
          </w:hyperlink>
        </w:p>
        <w:p w14:paraId="53CE0411" w14:textId="2620392E"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12" w:history="1">
            <w:r w:rsidR="00091CBA" w:rsidRPr="00091CBA">
              <w:rPr>
                <w:rStyle w:val="Hyperlink"/>
                <w:rFonts w:ascii="Arial" w:hAnsi="Arial" w:cs="Arial"/>
                <w:noProof/>
                <w:sz w:val="24"/>
                <w:szCs w:val="24"/>
              </w:rPr>
              <w:t>4.4.4</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Multivariate Analysis: spatial pattern analysis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_Toc16237012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12</w:t>
            </w:r>
            <w:r w:rsidR="007B3A25">
              <w:rPr>
                <w:rFonts w:ascii="Arial" w:hAnsi="Arial" w:cs="Arial"/>
                <w:noProof/>
                <w:webHidden/>
                <w:sz w:val="24"/>
                <w:szCs w:val="24"/>
              </w:rPr>
              <w:t>4</w:t>
            </w:r>
            <w:r w:rsidR="00091CBA" w:rsidRPr="00091CBA">
              <w:rPr>
                <w:rFonts w:ascii="Arial" w:hAnsi="Arial" w:cs="Arial"/>
                <w:noProof/>
                <w:webHidden/>
                <w:sz w:val="24"/>
                <w:szCs w:val="24"/>
              </w:rPr>
              <w:fldChar w:fldCharType="end"/>
            </w:r>
          </w:hyperlink>
        </w:p>
        <w:p w14:paraId="217EDB11" w14:textId="1BD8E874"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13" w:history="1">
            <w:r w:rsidR="00091CBA" w:rsidRPr="00091CBA">
              <w:rPr>
                <w:rStyle w:val="Hyperlink"/>
                <w:rFonts w:ascii="Arial" w:hAnsi="Arial" w:cs="Arial"/>
                <w:noProof/>
                <w:sz w:val="24"/>
                <w:szCs w:val="24"/>
              </w:rPr>
              <w:t>4.4.5</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Timeseries Connectivity Analysis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_Toc16237013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12</w:t>
            </w:r>
            <w:r w:rsidR="007B3A25">
              <w:rPr>
                <w:rFonts w:ascii="Arial" w:hAnsi="Arial" w:cs="Arial"/>
                <w:noProof/>
                <w:webHidden/>
                <w:sz w:val="24"/>
                <w:szCs w:val="24"/>
              </w:rPr>
              <w:t>6</w:t>
            </w:r>
            <w:r w:rsidR="00091CBA" w:rsidRPr="00091CBA">
              <w:rPr>
                <w:rFonts w:ascii="Arial" w:hAnsi="Arial" w:cs="Arial"/>
                <w:noProof/>
                <w:webHidden/>
                <w:sz w:val="24"/>
                <w:szCs w:val="24"/>
              </w:rPr>
              <w:fldChar w:fldCharType="end"/>
            </w:r>
          </w:hyperlink>
        </w:p>
        <w:p w14:paraId="1AA6DB51" w14:textId="0891DC5D"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14" w:history="1">
            <w:r w:rsidR="00091CBA" w:rsidRPr="00091CBA">
              <w:rPr>
                <w:rStyle w:val="Hyperlink"/>
                <w:rFonts w:ascii="Arial" w:hAnsi="Arial" w:cs="Arial"/>
                <w:b w:val="0"/>
                <w:bCs w:val="0"/>
                <w:noProof/>
                <w:sz w:val="24"/>
                <w:szCs w:val="24"/>
              </w:rPr>
              <w:t>4.5</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Discussion</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_Toc16237014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13</w:t>
            </w:r>
            <w:r w:rsidR="007B3A25">
              <w:rPr>
                <w:rFonts w:ascii="Arial" w:hAnsi="Arial" w:cs="Arial"/>
                <w:b w:val="0"/>
                <w:bCs w:val="0"/>
                <w:noProof/>
                <w:webHidden/>
                <w:sz w:val="24"/>
                <w:szCs w:val="24"/>
              </w:rPr>
              <w:t>0</w:t>
            </w:r>
            <w:r w:rsidR="00091CBA" w:rsidRPr="00091CBA">
              <w:rPr>
                <w:rFonts w:ascii="Arial" w:hAnsi="Arial" w:cs="Arial"/>
                <w:b w:val="0"/>
                <w:bCs w:val="0"/>
                <w:noProof/>
                <w:webHidden/>
                <w:sz w:val="24"/>
                <w:szCs w:val="24"/>
              </w:rPr>
              <w:fldChar w:fldCharType="end"/>
            </w:r>
          </w:hyperlink>
        </w:p>
        <w:p w14:paraId="0E38787D" w14:textId="33E1A969" w:rsidR="00091CBA" w:rsidRPr="00091CBA" w:rsidRDefault="00F77F86" w:rsidP="00091CBA">
          <w:pPr>
            <w:pStyle w:val="TOC1"/>
            <w:tabs>
              <w:tab w:val="left" w:pos="480"/>
              <w:tab w:val="right" w:pos="8182"/>
            </w:tabs>
            <w:spacing w:line="360" w:lineRule="auto"/>
            <w:rPr>
              <w:rFonts w:ascii="Arial" w:eastAsiaTheme="minorEastAsia" w:hAnsi="Arial" w:cs="Arial"/>
              <w:b w:val="0"/>
              <w:bCs w:val="0"/>
              <w:i w:val="0"/>
              <w:iCs w:val="0"/>
              <w:noProof/>
            </w:rPr>
          </w:pPr>
          <w:hyperlink w:anchor="_Toc16237015" w:history="1">
            <w:r w:rsidR="00091CBA" w:rsidRPr="00091CBA">
              <w:rPr>
                <w:rStyle w:val="Hyperlink"/>
                <w:rFonts w:ascii="Arial" w:hAnsi="Arial" w:cs="Arial"/>
                <w:b w:val="0"/>
                <w:bCs w:val="0"/>
                <w:i w:val="0"/>
                <w:iCs w:val="0"/>
                <w:noProof/>
              </w:rPr>
              <w:t>5.</w:t>
            </w:r>
            <w:r w:rsidR="00091CBA" w:rsidRPr="00091CBA">
              <w:rPr>
                <w:rFonts w:ascii="Arial" w:eastAsiaTheme="minorEastAsia" w:hAnsi="Arial" w:cs="Arial"/>
                <w:b w:val="0"/>
                <w:bCs w:val="0"/>
                <w:i w:val="0"/>
                <w:iCs w:val="0"/>
                <w:noProof/>
              </w:rPr>
              <w:tab/>
            </w:r>
            <w:r w:rsidR="00091CBA" w:rsidRPr="00091CBA">
              <w:rPr>
                <w:rStyle w:val="Hyperlink"/>
                <w:rFonts w:ascii="Arial" w:hAnsi="Arial" w:cs="Arial"/>
                <w:b w:val="0"/>
                <w:bCs w:val="0"/>
                <w:i w:val="0"/>
                <w:iCs w:val="0"/>
                <w:noProof/>
              </w:rPr>
              <w:t>Feature and Colour-Specific Patterns of Attention and Functional Connectivity in Human Visual Cortex</w:t>
            </w:r>
            <w:r w:rsidR="00091CBA" w:rsidRPr="00091CBA">
              <w:rPr>
                <w:rFonts w:ascii="Arial" w:hAnsi="Arial" w:cs="Arial"/>
                <w:b w:val="0"/>
                <w:bCs w:val="0"/>
                <w:i w:val="0"/>
                <w:iCs w:val="0"/>
                <w:noProof/>
                <w:webHidden/>
              </w:rPr>
              <w:tab/>
            </w:r>
            <w:r w:rsidR="00091CBA" w:rsidRPr="00091CBA">
              <w:rPr>
                <w:rFonts w:ascii="Arial" w:hAnsi="Arial" w:cs="Arial"/>
                <w:b w:val="0"/>
                <w:bCs w:val="0"/>
                <w:i w:val="0"/>
                <w:iCs w:val="0"/>
                <w:noProof/>
                <w:webHidden/>
              </w:rPr>
              <w:fldChar w:fldCharType="begin"/>
            </w:r>
            <w:r w:rsidR="00091CBA" w:rsidRPr="00091CBA">
              <w:rPr>
                <w:rFonts w:ascii="Arial" w:hAnsi="Arial" w:cs="Arial"/>
                <w:b w:val="0"/>
                <w:bCs w:val="0"/>
                <w:i w:val="0"/>
                <w:iCs w:val="0"/>
                <w:noProof/>
                <w:webHidden/>
              </w:rPr>
              <w:instrText xml:space="preserve"> PAGEREF _Toc16237015 \h </w:instrText>
            </w:r>
            <w:r w:rsidR="00091CBA" w:rsidRPr="00091CBA">
              <w:rPr>
                <w:rFonts w:ascii="Arial" w:hAnsi="Arial" w:cs="Arial"/>
                <w:b w:val="0"/>
                <w:bCs w:val="0"/>
                <w:i w:val="0"/>
                <w:iCs w:val="0"/>
                <w:noProof/>
                <w:webHidden/>
              </w:rPr>
            </w:r>
            <w:r w:rsidR="00091CBA" w:rsidRPr="00091CBA">
              <w:rPr>
                <w:rFonts w:ascii="Arial" w:hAnsi="Arial" w:cs="Arial"/>
                <w:b w:val="0"/>
                <w:bCs w:val="0"/>
                <w:i w:val="0"/>
                <w:iCs w:val="0"/>
                <w:noProof/>
                <w:webHidden/>
              </w:rPr>
              <w:fldChar w:fldCharType="separate"/>
            </w:r>
            <w:r w:rsidR="008437FC">
              <w:rPr>
                <w:rFonts w:ascii="Arial" w:hAnsi="Arial" w:cs="Arial"/>
                <w:b w:val="0"/>
                <w:bCs w:val="0"/>
                <w:i w:val="0"/>
                <w:iCs w:val="0"/>
                <w:noProof/>
                <w:webHidden/>
              </w:rPr>
              <w:t>1</w:t>
            </w:r>
            <w:r w:rsidR="007B3A25">
              <w:rPr>
                <w:rFonts w:ascii="Arial" w:hAnsi="Arial" w:cs="Arial"/>
                <w:b w:val="0"/>
                <w:bCs w:val="0"/>
                <w:i w:val="0"/>
                <w:iCs w:val="0"/>
                <w:noProof/>
                <w:webHidden/>
              </w:rPr>
              <w:t>39</w:t>
            </w:r>
            <w:r w:rsidR="00091CBA" w:rsidRPr="00091CBA">
              <w:rPr>
                <w:rFonts w:ascii="Arial" w:hAnsi="Arial" w:cs="Arial"/>
                <w:b w:val="0"/>
                <w:bCs w:val="0"/>
                <w:i w:val="0"/>
                <w:iCs w:val="0"/>
                <w:noProof/>
                <w:webHidden/>
              </w:rPr>
              <w:fldChar w:fldCharType="end"/>
            </w:r>
          </w:hyperlink>
        </w:p>
        <w:p w14:paraId="27730085" w14:textId="31365745"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16" w:history="1">
            <w:r w:rsidR="00091CBA" w:rsidRPr="00091CBA">
              <w:rPr>
                <w:rStyle w:val="Hyperlink"/>
                <w:rFonts w:ascii="Arial" w:hAnsi="Arial" w:cs="Arial"/>
                <w:b w:val="0"/>
                <w:bCs w:val="0"/>
                <w:noProof/>
                <w:sz w:val="24"/>
                <w:szCs w:val="24"/>
              </w:rPr>
              <w:t>5.1</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Abstract</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_Toc16237016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1</w:t>
            </w:r>
            <w:r w:rsidR="007B3A25">
              <w:rPr>
                <w:rFonts w:ascii="Arial" w:hAnsi="Arial" w:cs="Arial"/>
                <w:b w:val="0"/>
                <w:bCs w:val="0"/>
                <w:noProof/>
                <w:webHidden/>
                <w:sz w:val="24"/>
                <w:szCs w:val="24"/>
              </w:rPr>
              <w:t>39</w:t>
            </w:r>
            <w:r w:rsidR="00091CBA" w:rsidRPr="00091CBA">
              <w:rPr>
                <w:rFonts w:ascii="Arial" w:hAnsi="Arial" w:cs="Arial"/>
                <w:b w:val="0"/>
                <w:bCs w:val="0"/>
                <w:noProof/>
                <w:webHidden/>
                <w:sz w:val="24"/>
                <w:szCs w:val="24"/>
              </w:rPr>
              <w:fldChar w:fldCharType="end"/>
            </w:r>
          </w:hyperlink>
        </w:p>
        <w:p w14:paraId="01E7AF22" w14:textId="09F2AAE3"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17" w:history="1">
            <w:r w:rsidR="00091CBA" w:rsidRPr="00091CBA">
              <w:rPr>
                <w:rStyle w:val="Hyperlink"/>
                <w:rFonts w:ascii="Arial" w:hAnsi="Arial" w:cs="Arial"/>
                <w:b w:val="0"/>
                <w:bCs w:val="0"/>
                <w:noProof/>
                <w:sz w:val="24"/>
                <w:szCs w:val="24"/>
              </w:rPr>
              <w:t>5.2</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Introduction</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_Toc16237017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14</w:t>
            </w:r>
            <w:r w:rsidR="007B3A25">
              <w:rPr>
                <w:rFonts w:ascii="Arial" w:hAnsi="Arial" w:cs="Arial"/>
                <w:b w:val="0"/>
                <w:bCs w:val="0"/>
                <w:noProof/>
                <w:webHidden/>
                <w:sz w:val="24"/>
                <w:szCs w:val="24"/>
              </w:rPr>
              <w:t>0</w:t>
            </w:r>
            <w:r w:rsidR="00091CBA" w:rsidRPr="00091CBA">
              <w:rPr>
                <w:rFonts w:ascii="Arial" w:hAnsi="Arial" w:cs="Arial"/>
                <w:b w:val="0"/>
                <w:bCs w:val="0"/>
                <w:noProof/>
                <w:webHidden/>
                <w:sz w:val="24"/>
                <w:szCs w:val="24"/>
              </w:rPr>
              <w:fldChar w:fldCharType="end"/>
            </w:r>
          </w:hyperlink>
        </w:p>
        <w:p w14:paraId="30366366" w14:textId="361DD294"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18" w:history="1">
            <w:r w:rsidR="00091CBA" w:rsidRPr="00091CBA">
              <w:rPr>
                <w:rStyle w:val="Hyperlink"/>
                <w:rFonts w:ascii="Arial" w:hAnsi="Arial" w:cs="Arial"/>
                <w:b w:val="0"/>
                <w:bCs w:val="0"/>
                <w:noProof/>
                <w:sz w:val="24"/>
                <w:szCs w:val="24"/>
              </w:rPr>
              <w:t>5.3</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Methods</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_Toc16237018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14</w:t>
            </w:r>
            <w:r w:rsidR="007B3A25">
              <w:rPr>
                <w:rFonts w:ascii="Arial" w:hAnsi="Arial" w:cs="Arial"/>
                <w:b w:val="0"/>
                <w:bCs w:val="0"/>
                <w:noProof/>
                <w:webHidden/>
                <w:sz w:val="24"/>
                <w:szCs w:val="24"/>
              </w:rPr>
              <w:t>4</w:t>
            </w:r>
            <w:r w:rsidR="00091CBA" w:rsidRPr="00091CBA">
              <w:rPr>
                <w:rFonts w:ascii="Arial" w:hAnsi="Arial" w:cs="Arial"/>
                <w:b w:val="0"/>
                <w:bCs w:val="0"/>
                <w:noProof/>
                <w:webHidden/>
                <w:sz w:val="24"/>
                <w:szCs w:val="24"/>
              </w:rPr>
              <w:fldChar w:fldCharType="end"/>
            </w:r>
          </w:hyperlink>
        </w:p>
        <w:p w14:paraId="319014CD" w14:textId="58DA1ECD"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19" w:history="1">
            <w:r w:rsidR="00091CBA" w:rsidRPr="00091CBA">
              <w:rPr>
                <w:rStyle w:val="Hyperlink"/>
                <w:rFonts w:ascii="Arial" w:hAnsi="Arial" w:cs="Arial"/>
                <w:noProof/>
                <w:sz w:val="24"/>
                <w:szCs w:val="24"/>
              </w:rPr>
              <w:t>5.3.1</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Participants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_Toc16237019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14</w:t>
            </w:r>
            <w:r w:rsidR="007B3A25">
              <w:rPr>
                <w:rFonts w:ascii="Arial" w:hAnsi="Arial" w:cs="Arial"/>
                <w:noProof/>
                <w:webHidden/>
                <w:sz w:val="24"/>
                <w:szCs w:val="24"/>
              </w:rPr>
              <w:t>4</w:t>
            </w:r>
            <w:r w:rsidR="00091CBA" w:rsidRPr="00091CBA">
              <w:rPr>
                <w:rFonts w:ascii="Arial" w:hAnsi="Arial" w:cs="Arial"/>
                <w:noProof/>
                <w:webHidden/>
                <w:sz w:val="24"/>
                <w:szCs w:val="24"/>
              </w:rPr>
              <w:fldChar w:fldCharType="end"/>
            </w:r>
          </w:hyperlink>
        </w:p>
        <w:p w14:paraId="7F7AD7A8" w14:textId="1DFAD281"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20" w:history="1">
            <w:r w:rsidR="00091CBA" w:rsidRPr="00091CBA">
              <w:rPr>
                <w:rStyle w:val="Hyperlink"/>
                <w:rFonts w:ascii="Arial" w:hAnsi="Arial" w:cs="Arial"/>
                <w:noProof/>
                <w:sz w:val="24"/>
                <w:szCs w:val="24"/>
              </w:rPr>
              <w:t>5.3.2</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Behavioural Psychophysics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_Toc16237020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14</w:t>
            </w:r>
            <w:r w:rsidR="007B3A25">
              <w:rPr>
                <w:rFonts w:ascii="Arial" w:hAnsi="Arial" w:cs="Arial"/>
                <w:noProof/>
                <w:webHidden/>
                <w:sz w:val="24"/>
                <w:szCs w:val="24"/>
              </w:rPr>
              <w:t>5</w:t>
            </w:r>
            <w:r w:rsidR="00091CBA" w:rsidRPr="00091CBA">
              <w:rPr>
                <w:rFonts w:ascii="Arial" w:hAnsi="Arial" w:cs="Arial"/>
                <w:noProof/>
                <w:webHidden/>
                <w:sz w:val="24"/>
                <w:szCs w:val="24"/>
              </w:rPr>
              <w:fldChar w:fldCharType="end"/>
            </w:r>
          </w:hyperlink>
        </w:p>
        <w:p w14:paraId="26B04A69" w14:textId="05D84E96"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21" w:history="1">
            <w:r w:rsidR="00091CBA" w:rsidRPr="00091CBA">
              <w:rPr>
                <w:rStyle w:val="Hyperlink"/>
                <w:rFonts w:ascii="Arial" w:hAnsi="Arial" w:cs="Arial"/>
                <w:noProof/>
                <w:sz w:val="24"/>
                <w:szCs w:val="24"/>
              </w:rPr>
              <w:t>5.3.3</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Functional Neuroimaging</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_Toc16237021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w:t>
            </w:r>
            <w:r w:rsidR="007B3A25">
              <w:rPr>
                <w:rFonts w:ascii="Arial" w:hAnsi="Arial" w:cs="Arial"/>
                <w:noProof/>
                <w:webHidden/>
                <w:sz w:val="24"/>
                <w:szCs w:val="24"/>
              </w:rPr>
              <w:t>49</w:t>
            </w:r>
            <w:r w:rsidR="00091CBA" w:rsidRPr="00091CBA">
              <w:rPr>
                <w:rFonts w:ascii="Arial" w:hAnsi="Arial" w:cs="Arial"/>
                <w:noProof/>
                <w:webHidden/>
                <w:sz w:val="24"/>
                <w:szCs w:val="24"/>
              </w:rPr>
              <w:fldChar w:fldCharType="end"/>
            </w:r>
          </w:hyperlink>
        </w:p>
        <w:p w14:paraId="542353B8" w14:textId="289443F8"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22" w:history="1">
            <w:r w:rsidR="00091CBA" w:rsidRPr="00091CBA">
              <w:rPr>
                <w:rStyle w:val="Hyperlink"/>
                <w:rFonts w:ascii="Arial" w:hAnsi="Arial" w:cs="Arial"/>
                <w:noProof/>
                <w:sz w:val="24"/>
                <w:szCs w:val="24"/>
              </w:rPr>
              <w:t>5.3.4</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Attentional Modulation Scans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_Toc16237022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15</w:t>
            </w:r>
            <w:r w:rsidR="007B3A25">
              <w:rPr>
                <w:rFonts w:ascii="Arial" w:hAnsi="Arial" w:cs="Arial"/>
                <w:noProof/>
                <w:webHidden/>
                <w:sz w:val="24"/>
                <w:szCs w:val="24"/>
              </w:rPr>
              <w:t>1</w:t>
            </w:r>
            <w:r w:rsidR="00091CBA" w:rsidRPr="00091CBA">
              <w:rPr>
                <w:rFonts w:ascii="Arial" w:hAnsi="Arial" w:cs="Arial"/>
                <w:noProof/>
                <w:webHidden/>
                <w:sz w:val="24"/>
                <w:szCs w:val="24"/>
              </w:rPr>
              <w:fldChar w:fldCharType="end"/>
            </w:r>
          </w:hyperlink>
        </w:p>
        <w:p w14:paraId="6A4F8ECF" w14:textId="3F83F017"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23" w:history="1">
            <w:r w:rsidR="00091CBA" w:rsidRPr="00091CBA">
              <w:rPr>
                <w:rStyle w:val="Hyperlink"/>
                <w:rFonts w:ascii="Arial" w:hAnsi="Arial" w:cs="Arial"/>
                <w:noProof/>
                <w:sz w:val="24"/>
                <w:szCs w:val="24"/>
              </w:rPr>
              <w:t>5.3.5</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Statistical analysis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_Toc16237023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w:t>
            </w:r>
            <w:r w:rsidR="007B3A25">
              <w:rPr>
                <w:rFonts w:ascii="Arial" w:hAnsi="Arial" w:cs="Arial"/>
                <w:noProof/>
                <w:webHidden/>
                <w:sz w:val="24"/>
                <w:szCs w:val="24"/>
              </w:rPr>
              <w:t>56</w:t>
            </w:r>
            <w:r w:rsidR="00091CBA" w:rsidRPr="00091CBA">
              <w:rPr>
                <w:rFonts w:ascii="Arial" w:hAnsi="Arial" w:cs="Arial"/>
                <w:noProof/>
                <w:webHidden/>
                <w:sz w:val="24"/>
                <w:szCs w:val="24"/>
              </w:rPr>
              <w:fldChar w:fldCharType="end"/>
            </w:r>
          </w:hyperlink>
        </w:p>
        <w:p w14:paraId="09269AA8" w14:textId="327C96EC"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24" w:history="1">
            <w:r w:rsidR="00091CBA" w:rsidRPr="00091CBA">
              <w:rPr>
                <w:rStyle w:val="Hyperlink"/>
                <w:rFonts w:ascii="Arial" w:hAnsi="Arial" w:cs="Arial"/>
                <w:b w:val="0"/>
                <w:bCs w:val="0"/>
                <w:noProof/>
                <w:sz w:val="24"/>
                <w:szCs w:val="24"/>
              </w:rPr>
              <w:t>5.4</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Results</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_Toc16237024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16</w:t>
            </w:r>
            <w:r w:rsidR="007B3A25">
              <w:rPr>
                <w:rFonts w:ascii="Arial" w:hAnsi="Arial" w:cs="Arial"/>
                <w:b w:val="0"/>
                <w:bCs w:val="0"/>
                <w:noProof/>
                <w:webHidden/>
                <w:sz w:val="24"/>
                <w:szCs w:val="24"/>
              </w:rPr>
              <w:t>2</w:t>
            </w:r>
            <w:r w:rsidR="00091CBA" w:rsidRPr="00091CBA">
              <w:rPr>
                <w:rFonts w:ascii="Arial" w:hAnsi="Arial" w:cs="Arial"/>
                <w:b w:val="0"/>
                <w:bCs w:val="0"/>
                <w:noProof/>
                <w:webHidden/>
                <w:sz w:val="24"/>
                <w:szCs w:val="24"/>
              </w:rPr>
              <w:fldChar w:fldCharType="end"/>
            </w:r>
          </w:hyperlink>
        </w:p>
        <w:p w14:paraId="2907D163" w14:textId="2BD6A049"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25" w:history="1">
            <w:r w:rsidR="00091CBA" w:rsidRPr="00091CBA">
              <w:rPr>
                <w:rStyle w:val="Hyperlink"/>
                <w:rFonts w:ascii="Arial" w:hAnsi="Arial" w:cs="Arial"/>
                <w:noProof/>
                <w:sz w:val="24"/>
                <w:szCs w:val="24"/>
              </w:rPr>
              <w:t>5.4.1</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Univariate: Stimulus-Driven and Attentional Modulation Analyses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_Toc16237025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16</w:t>
            </w:r>
            <w:r w:rsidR="007B3A25">
              <w:rPr>
                <w:rFonts w:ascii="Arial" w:hAnsi="Arial" w:cs="Arial"/>
                <w:noProof/>
                <w:webHidden/>
                <w:sz w:val="24"/>
                <w:szCs w:val="24"/>
              </w:rPr>
              <w:t>2</w:t>
            </w:r>
            <w:r w:rsidR="00091CBA" w:rsidRPr="00091CBA">
              <w:rPr>
                <w:rFonts w:ascii="Arial" w:hAnsi="Arial" w:cs="Arial"/>
                <w:noProof/>
                <w:webHidden/>
                <w:sz w:val="24"/>
                <w:szCs w:val="24"/>
              </w:rPr>
              <w:fldChar w:fldCharType="end"/>
            </w:r>
          </w:hyperlink>
        </w:p>
        <w:p w14:paraId="2BF878D7" w14:textId="0AD122C8"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26" w:history="1">
            <w:r w:rsidR="00091CBA" w:rsidRPr="00091CBA">
              <w:rPr>
                <w:rStyle w:val="Hyperlink"/>
                <w:rFonts w:ascii="Arial" w:hAnsi="Arial" w:cs="Arial"/>
                <w:noProof/>
                <w:sz w:val="24"/>
                <w:szCs w:val="24"/>
              </w:rPr>
              <w:t>5.4.2</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Multivariate Analysis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_Toc16237026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w:t>
            </w:r>
            <w:r w:rsidR="007B3A25">
              <w:rPr>
                <w:rFonts w:ascii="Arial" w:hAnsi="Arial" w:cs="Arial"/>
                <w:noProof/>
                <w:webHidden/>
                <w:sz w:val="24"/>
                <w:szCs w:val="24"/>
              </w:rPr>
              <w:t>69</w:t>
            </w:r>
            <w:r w:rsidR="00091CBA" w:rsidRPr="00091CBA">
              <w:rPr>
                <w:rFonts w:ascii="Arial" w:hAnsi="Arial" w:cs="Arial"/>
                <w:noProof/>
                <w:webHidden/>
                <w:sz w:val="24"/>
                <w:szCs w:val="24"/>
              </w:rPr>
              <w:fldChar w:fldCharType="end"/>
            </w:r>
          </w:hyperlink>
        </w:p>
        <w:p w14:paraId="76409A95" w14:textId="13EEDAEE"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27" w:history="1">
            <w:r w:rsidR="00091CBA" w:rsidRPr="00091CBA">
              <w:rPr>
                <w:rStyle w:val="Hyperlink"/>
                <w:rFonts w:ascii="Arial" w:hAnsi="Arial" w:cs="Arial"/>
                <w:noProof/>
                <w:sz w:val="24"/>
                <w:szCs w:val="24"/>
              </w:rPr>
              <w:t>5.4.3</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Timeseries Connectivity Analysis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_Toc16237027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17</w:t>
            </w:r>
            <w:r w:rsidR="007B3A25">
              <w:rPr>
                <w:rFonts w:ascii="Arial" w:hAnsi="Arial" w:cs="Arial"/>
                <w:noProof/>
                <w:webHidden/>
                <w:sz w:val="24"/>
                <w:szCs w:val="24"/>
              </w:rPr>
              <w:t>6</w:t>
            </w:r>
            <w:r w:rsidR="00091CBA" w:rsidRPr="00091CBA">
              <w:rPr>
                <w:rFonts w:ascii="Arial" w:hAnsi="Arial" w:cs="Arial"/>
                <w:noProof/>
                <w:webHidden/>
                <w:sz w:val="24"/>
                <w:szCs w:val="24"/>
              </w:rPr>
              <w:fldChar w:fldCharType="end"/>
            </w:r>
          </w:hyperlink>
        </w:p>
        <w:p w14:paraId="27773519" w14:textId="4C0067E3"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28" w:history="1">
            <w:r w:rsidR="00091CBA" w:rsidRPr="00091CBA">
              <w:rPr>
                <w:rStyle w:val="Hyperlink"/>
                <w:rFonts w:ascii="Arial" w:hAnsi="Arial" w:cs="Arial"/>
                <w:b w:val="0"/>
                <w:bCs w:val="0"/>
                <w:noProof/>
                <w:sz w:val="24"/>
                <w:szCs w:val="24"/>
              </w:rPr>
              <w:t>5.5</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Discussion</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_Toc16237028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18</w:t>
            </w:r>
            <w:r w:rsidR="007B3A25">
              <w:rPr>
                <w:rFonts w:ascii="Arial" w:hAnsi="Arial" w:cs="Arial"/>
                <w:b w:val="0"/>
                <w:bCs w:val="0"/>
                <w:noProof/>
                <w:webHidden/>
                <w:sz w:val="24"/>
                <w:szCs w:val="24"/>
              </w:rPr>
              <w:t>1</w:t>
            </w:r>
            <w:r w:rsidR="00091CBA" w:rsidRPr="00091CBA">
              <w:rPr>
                <w:rFonts w:ascii="Arial" w:hAnsi="Arial" w:cs="Arial"/>
                <w:b w:val="0"/>
                <w:bCs w:val="0"/>
                <w:noProof/>
                <w:webHidden/>
                <w:sz w:val="24"/>
                <w:szCs w:val="24"/>
              </w:rPr>
              <w:fldChar w:fldCharType="end"/>
            </w:r>
          </w:hyperlink>
        </w:p>
        <w:p w14:paraId="233CDA5F" w14:textId="1E662452" w:rsidR="00091CBA" w:rsidRPr="00091CBA" w:rsidRDefault="00F77F86" w:rsidP="00091CBA">
          <w:pPr>
            <w:pStyle w:val="TOC1"/>
            <w:tabs>
              <w:tab w:val="left" w:pos="480"/>
              <w:tab w:val="right" w:pos="8182"/>
            </w:tabs>
            <w:spacing w:line="360" w:lineRule="auto"/>
            <w:rPr>
              <w:rFonts w:ascii="Arial" w:eastAsiaTheme="minorEastAsia" w:hAnsi="Arial" w:cs="Arial"/>
              <w:b w:val="0"/>
              <w:bCs w:val="0"/>
              <w:i w:val="0"/>
              <w:iCs w:val="0"/>
              <w:noProof/>
            </w:rPr>
          </w:pPr>
          <w:hyperlink w:anchor="_Toc16237029" w:history="1">
            <w:r w:rsidR="00091CBA" w:rsidRPr="00091CBA">
              <w:rPr>
                <w:rStyle w:val="Hyperlink"/>
                <w:rFonts w:ascii="Arial" w:hAnsi="Arial" w:cs="Arial"/>
                <w:b w:val="0"/>
                <w:bCs w:val="0"/>
                <w:i w:val="0"/>
                <w:iCs w:val="0"/>
                <w:noProof/>
              </w:rPr>
              <w:t>6.</w:t>
            </w:r>
            <w:r w:rsidR="00091CBA" w:rsidRPr="00091CBA">
              <w:rPr>
                <w:rFonts w:ascii="Arial" w:eastAsiaTheme="minorEastAsia" w:hAnsi="Arial" w:cs="Arial"/>
                <w:b w:val="0"/>
                <w:bCs w:val="0"/>
                <w:i w:val="0"/>
                <w:iCs w:val="0"/>
                <w:noProof/>
              </w:rPr>
              <w:tab/>
            </w:r>
            <w:r w:rsidR="00091CBA" w:rsidRPr="00091CBA">
              <w:rPr>
                <w:rStyle w:val="Hyperlink"/>
                <w:rFonts w:ascii="Arial" w:hAnsi="Arial" w:cs="Arial"/>
                <w:b w:val="0"/>
                <w:bCs w:val="0"/>
                <w:i w:val="0"/>
                <w:iCs w:val="0"/>
                <w:noProof/>
              </w:rPr>
              <w:t>Investigating patterns of attentional modulation within the visual cortex with a naturalistic visual stimulus</w:t>
            </w:r>
            <w:r w:rsidR="00091CBA" w:rsidRPr="00091CBA">
              <w:rPr>
                <w:rFonts w:ascii="Arial" w:hAnsi="Arial" w:cs="Arial"/>
                <w:b w:val="0"/>
                <w:bCs w:val="0"/>
                <w:i w:val="0"/>
                <w:iCs w:val="0"/>
                <w:noProof/>
                <w:webHidden/>
              </w:rPr>
              <w:tab/>
            </w:r>
            <w:r w:rsidR="00091CBA" w:rsidRPr="00091CBA">
              <w:rPr>
                <w:rFonts w:ascii="Arial" w:hAnsi="Arial" w:cs="Arial"/>
                <w:b w:val="0"/>
                <w:bCs w:val="0"/>
                <w:i w:val="0"/>
                <w:iCs w:val="0"/>
                <w:noProof/>
                <w:webHidden/>
              </w:rPr>
              <w:fldChar w:fldCharType="begin"/>
            </w:r>
            <w:r w:rsidR="00091CBA" w:rsidRPr="00091CBA">
              <w:rPr>
                <w:rFonts w:ascii="Arial" w:hAnsi="Arial" w:cs="Arial"/>
                <w:b w:val="0"/>
                <w:bCs w:val="0"/>
                <w:i w:val="0"/>
                <w:iCs w:val="0"/>
                <w:noProof/>
                <w:webHidden/>
              </w:rPr>
              <w:instrText xml:space="preserve"> PAGEREF _Toc16237029 \h </w:instrText>
            </w:r>
            <w:r w:rsidR="00091CBA" w:rsidRPr="00091CBA">
              <w:rPr>
                <w:rFonts w:ascii="Arial" w:hAnsi="Arial" w:cs="Arial"/>
                <w:b w:val="0"/>
                <w:bCs w:val="0"/>
                <w:i w:val="0"/>
                <w:iCs w:val="0"/>
                <w:noProof/>
                <w:webHidden/>
              </w:rPr>
            </w:r>
            <w:r w:rsidR="00091CBA" w:rsidRPr="00091CBA">
              <w:rPr>
                <w:rFonts w:ascii="Arial" w:hAnsi="Arial" w:cs="Arial"/>
                <w:b w:val="0"/>
                <w:bCs w:val="0"/>
                <w:i w:val="0"/>
                <w:iCs w:val="0"/>
                <w:noProof/>
                <w:webHidden/>
              </w:rPr>
              <w:fldChar w:fldCharType="separate"/>
            </w:r>
            <w:r w:rsidR="008437FC">
              <w:rPr>
                <w:rFonts w:ascii="Arial" w:hAnsi="Arial" w:cs="Arial"/>
                <w:b w:val="0"/>
                <w:bCs w:val="0"/>
                <w:i w:val="0"/>
                <w:iCs w:val="0"/>
                <w:noProof/>
                <w:webHidden/>
              </w:rPr>
              <w:t>1</w:t>
            </w:r>
            <w:r w:rsidR="007B3A25">
              <w:rPr>
                <w:rFonts w:ascii="Arial" w:hAnsi="Arial" w:cs="Arial"/>
                <w:b w:val="0"/>
                <w:bCs w:val="0"/>
                <w:i w:val="0"/>
                <w:iCs w:val="0"/>
                <w:noProof/>
                <w:webHidden/>
              </w:rPr>
              <w:t>87</w:t>
            </w:r>
            <w:r w:rsidR="00091CBA" w:rsidRPr="00091CBA">
              <w:rPr>
                <w:rFonts w:ascii="Arial" w:hAnsi="Arial" w:cs="Arial"/>
                <w:b w:val="0"/>
                <w:bCs w:val="0"/>
                <w:i w:val="0"/>
                <w:iCs w:val="0"/>
                <w:noProof/>
                <w:webHidden/>
              </w:rPr>
              <w:fldChar w:fldCharType="end"/>
            </w:r>
          </w:hyperlink>
        </w:p>
        <w:p w14:paraId="709243A1" w14:textId="20794F2A"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30" w:history="1">
            <w:r w:rsidR="00091CBA" w:rsidRPr="00091CBA">
              <w:rPr>
                <w:rStyle w:val="Hyperlink"/>
                <w:rFonts w:ascii="Arial" w:hAnsi="Arial" w:cs="Arial"/>
                <w:b w:val="0"/>
                <w:bCs w:val="0"/>
                <w:noProof/>
                <w:sz w:val="24"/>
                <w:szCs w:val="24"/>
              </w:rPr>
              <w:t>6.1</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Abstract</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_Toc16237030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1</w:t>
            </w:r>
            <w:r w:rsidR="007B3A25">
              <w:rPr>
                <w:rFonts w:ascii="Arial" w:hAnsi="Arial" w:cs="Arial"/>
                <w:b w:val="0"/>
                <w:bCs w:val="0"/>
                <w:noProof/>
                <w:webHidden/>
                <w:sz w:val="24"/>
                <w:szCs w:val="24"/>
              </w:rPr>
              <w:t>87</w:t>
            </w:r>
            <w:r w:rsidR="00091CBA" w:rsidRPr="00091CBA">
              <w:rPr>
                <w:rFonts w:ascii="Arial" w:hAnsi="Arial" w:cs="Arial"/>
                <w:b w:val="0"/>
                <w:bCs w:val="0"/>
                <w:noProof/>
                <w:webHidden/>
                <w:sz w:val="24"/>
                <w:szCs w:val="24"/>
              </w:rPr>
              <w:fldChar w:fldCharType="end"/>
            </w:r>
          </w:hyperlink>
        </w:p>
        <w:p w14:paraId="36395E84" w14:textId="1B7E8DB4"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31" w:history="1">
            <w:r w:rsidR="00091CBA" w:rsidRPr="00091CBA">
              <w:rPr>
                <w:rStyle w:val="Hyperlink"/>
                <w:rFonts w:ascii="Arial" w:hAnsi="Arial" w:cs="Arial"/>
                <w:b w:val="0"/>
                <w:bCs w:val="0"/>
                <w:noProof/>
                <w:sz w:val="24"/>
                <w:szCs w:val="24"/>
              </w:rPr>
              <w:t>6.2</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Introduction</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_Toc16237031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1</w:t>
            </w:r>
            <w:r w:rsidR="007B3A25">
              <w:rPr>
                <w:rFonts w:ascii="Arial" w:hAnsi="Arial" w:cs="Arial"/>
                <w:b w:val="0"/>
                <w:bCs w:val="0"/>
                <w:noProof/>
                <w:webHidden/>
                <w:sz w:val="24"/>
                <w:szCs w:val="24"/>
              </w:rPr>
              <w:t>88</w:t>
            </w:r>
            <w:r w:rsidR="00091CBA" w:rsidRPr="00091CBA">
              <w:rPr>
                <w:rFonts w:ascii="Arial" w:hAnsi="Arial" w:cs="Arial"/>
                <w:b w:val="0"/>
                <w:bCs w:val="0"/>
                <w:noProof/>
                <w:webHidden/>
                <w:sz w:val="24"/>
                <w:szCs w:val="24"/>
              </w:rPr>
              <w:fldChar w:fldCharType="end"/>
            </w:r>
          </w:hyperlink>
        </w:p>
        <w:p w14:paraId="51EBBE80" w14:textId="172A3E11"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32" w:history="1">
            <w:r w:rsidR="00091CBA" w:rsidRPr="00091CBA">
              <w:rPr>
                <w:rStyle w:val="Hyperlink"/>
                <w:rFonts w:ascii="Arial" w:hAnsi="Arial" w:cs="Arial"/>
                <w:b w:val="0"/>
                <w:bCs w:val="0"/>
                <w:noProof/>
                <w:sz w:val="24"/>
                <w:szCs w:val="24"/>
              </w:rPr>
              <w:t>6.3</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Methods</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_Toc16237032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19</w:t>
            </w:r>
            <w:r w:rsidR="007B3A25">
              <w:rPr>
                <w:rFonts w:ascii="Arial" w:hAnsi="Arial" w:cs="Arial"/>
                <w:b w:val="0"/>
                <w:bCs w:val="0"/>
                <w:noProof/>
                <w:webHidden/>
                <w:sz w:val="24"/>
                <w:szCs w:val="24"/>
              </w:rPr>
              <w:t>3</w:t>
            </w:r>
            <w:r w:rsidR="00091CBA" w:rsidRPr="00091CBA">
              <w:rPr>
                <w:rFonts w:ascii="Arial" w:hAnsi="Arial" w:cs="Arial"/>
                <w:b w:val="0"/>
                <w:bCs w:val="0"/>
                <w:noProof/>
                <w:webHidden/>
                <w:sz w:val="24"/>
                <w:szCs w:val="24"/>
              </w:rPr>
              <w:fldChar w:fldCharType="end"/>
            </w:r>
          </w:hyperlink>
        </w:p>
        <w:p w14:paraId="5BF81874" w14:textId="591F199E"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33" w:history="1">
            <w:r w:rsidR="00091CBA" w:rsidRPr="00091CBA">
              <w:rPr>
                <w:rStyle w:val="Hyperlink"/>
                <w:rFonts w:ascii="Arial" w:hAnsi="Arial" w:cs="Arial"/>
                <w:noProof/>
                <w:sz w:val="24"/>
                <w:szCs w:val="24"/>
              </w:rPr>
              <w:t>6.3.1</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Participants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_Toc16237033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19</w:t>
            </w:r>
            <w:r w:rsidR="007B3A25">
              <w:rPr>
                <w:rFonts w:ascii="Arial" w:hAnsi="Arial" w:cs="Arial"/>
                <w:noProof/>
                <w:webHidden/>
                <w:sz w:val="24"/>
                <w:szCs w:val="24"/>
              </w:rPr>
              <w:t>3</w:t>
            </w:r>
            <w:r w:rsidR="00091CBA" w:rsidRPr="00091CBA">
              <w:rPr>
                <w:rFonts w:ascii="Arial" w:hAnsi="Arial" w:cs="Arial"/>
                <w:noProof/>
                <w:webHidden/>
                <w:sz w:val="24"/>
                <w:szCs w:val="24"/>
              </w:rPr>
              <w:fldChar w:fldCharType="end"/>
            </w:r>
          </w:hyperlink>
        </w:p>
        <w:p w14:paraId="57CEFFD1" w14:textId="7B472AAE"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34" w:history="1">
            <w:r w:rsidR="00091CBA" w:rsidRPr="00091CBA">
              <w:rPr>
                <w:rStyle w:val="Hyperlink"/>
                <w:rFonts w:ascii="Arial" w:hAnsi="Arial" w:cs="Arial"/>
                <w:noProof/>
                <w:sz w:val="24"/>
                <w:szCs w:val="24"/>
              </w:rPr>
              <w:t>6.3.2</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Stimulus presentation</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_Toc16237034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19</w:t>
            </w:r>
            <w:r w:rsidR="007B3A25">
              <w:rPr>
                <w:rFonts w:ascii="Arial" w:hAnsi="Arial" w:cs="Arial"/>
                <w:noProof/>
                <w:webHidden/>
                <w:sz w:val="24"/>
                <w:szCs w:val="24"/>
              </w:rPr>
              <w:t>3</w:t>
            </w:r>
            <w:r w:rsidR="00091CBA" w:rsidRPr="00091CBA">
              <w:rPr>
                <w:rFonts w:ascii="Arial" w:hAnsi="Arial" w:cs="Arial"/>
                <w:noProof/>
                <w:webHidden/>
                <w:sz w:val="24"/>
                <w:szCs w:val="24"/>
              </w:rPr>
              <w:fldChar w:fldCharType="end"/>
            </w:r>
          </w:hyperlink>
        </w:p>
        <w:p w14:paraId="3B38E16C" w14:textId="6EA10516"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35" w:history="1">
            <w:r w:rsidR="00091CBA" w:rsidRPr="00091CBA">
              <w:rPr>
                <w:rStyle w:val="Hyperlink"/>
                <w:rFonts w:ascii="Arial" w:hAnsi="Arial" w:cs="Arial"/>
                <w:noProof/>
                <w:sz w:val="24"/>
                <w:szCs w:val="24"/>
              </w:rPr>
              <w:t>6.3.3</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Data Acquisition</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_Toc16237035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19</w:t>
            </w:r>
            <w:r w:rsidR="007B3A25">
              <w:rPr>
                <w:rFonts w:ascii="Arial" w:hAnsi="Arial" w:cs="Arial"/>
                <w:noProof/>
                <w:webHidden/>
                <w:sz w:val="24"/>
                <w:szCs w:val="24"/>
              </w:rPr>
              <w:t>4</w:t>
            </w:r>
            <w:r w:rsidR="00091CBA" w:rsidRPr="00091CBA">
              <w:rPr>
                <w:rFonts w:ascii="Arial" w:hAnsi="Arial" w:cs="Arial"/>
                <w:noProof/>
                <w:webHidden/>
                <w:sz w:val="24"/>
                <w:szCs w:val="24"/>
              </w:rPr>
              <w:fldChar w:fldCharType="end"/>
            </w:r>
          </w:hyperlink>
        </w:p>
        <w:p w14:paraId="102CC6AD" w14:textId="4ED10DAD"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36" w:history="1">
            <w:r w:rsidR="00091CBA" w:rsidRPr="00091CBA">
              <w:rPr>
                <w:rStyle w:val="Hyperlink"/>
                <w:rFonts w:ascii="Arial" w:hAnsi="Arial" w:cs="Arial"/>
                <w:noProof/>
                <w:sz w:val="24"/>
                <w:szCs w:val="24"/>
              </w:rPr>
              <w:t>6.3.4</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Experimental Design</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_Toc16237036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19</w:t>
            </w:r>
            <w:r w:rsidR="007B3A25">
              <w:rPr>
                <w:rFonts w:ascii="Arial" w:hAnsi="Arial" w:cs="Arial"/>
                <w:noProof/>
                <w:webHidden/>
                <w:sz w:val="24"/>
                <w:szCs w:val="24"/>
              </w:rPr>
              <w:t>4</w:t>
            </w:r>
            <w:r w:rsidR="00091CBA" w:rsidRPr="00091CBA">
              <w:rPr>
                <w:rFonts w:ascii="Arial" w:hAnsi="Arial" w:cs="Arial"/>
                <w:noProof/>
                <w:webHidden/>
                <w:sz w:val="24"/>
                <w:szCs w:val="24"/>
              </w:rPr>
              <w:fldChar w:fldCharType="end"/>
            </w:r>
          </w:hyperlink>
        </w:p>
        <w:p w14:paraId="20CE978B" w14:textId="255A74BE"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37" w:history="1">
            <w:r w:rsidR="00091CBA" w:rsidRPr="00091CBA">
              <w:rPr>
                <w:rStyle w:val="Hyperlink"/>
                <w:rFonts w:ascii="Arial" w:hAnsi="Arial" w:cs="Arial"/>
                <w:noProof/>
                <w:sz w:val="24"/>
                <w:szCs w:val="24"/>
              </w:rPr>
              <w:t>6.3.5</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Defining regions of interest (ROIs)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_Toc16237037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19</w:t>
            </w:r>
            <w:r w:rsidR="007B3A25">
              <w:rPr>
                <w:rFonts w:ascii="Arial" w:hAnsi="Arial" w:cs="Arial"/>
                <w:noProof/>
                <w:webHidden/>
                <w:sz w:val="24"/>
                <w:szCs w:val="24"/>
              </w:rPr>
              <w:t>6</w:t>
            </w:r>
            <w:r w:rsidR="00091CBA" w:rsidRPr="00091CBA">
              <w:rPr>
                <w:rFonts w:ascii="Arial" w:hAnsi="Arial" w:cs="Arial"/>
                <w:noProof/>
                <w:webHidden/>
                <w:sz w:val="24"/>
                <w:szCs w:val="24"/>
              </w:rPr>
              <w:fldChar w:fldCharType="end"/>
            </w:r>
          </w:hyperlink>
        </w:p>
        <w:p w14:paraId="309867EB" w14:textId="0ACF6124"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38" w:history="1">
            <w:r w:rsidR="00091CBA" w:rsidRPr="00091CBA">
              <w:rPr>
                <w:rStyle w:val="Hyperlink"/>
                <w:rFonts w:ascii="Arial" w:hAnsi="Arial" w:cs="Arial"/>
                <w:noProof/>
                <w:sz w:val="24"/>
                <w:szCs w:val="24"/>
              </w:rPr>
              <w:t>6.3.6</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fMRI pre-processing</w:t>
            </w:r>
            <w:r w:rsidR="00091CBA" w:rsidRPr="00091CBA">
              <w:rPr>
                <w:rFonts w:ascii="Arial" w:hAnsi="Arial" w:cs="Arial"/>
                <w:noProof/>
                <w:webHidden/>
                <w:sz w:val="24"/>
                <w:szCs w:val="24"/>
              </w:rPr>
              <w:tab/>
            </w:r>
            <w:r w:rsidR="007B3A25">
              <w:rPr>
                <w:rFonts w:ascii="Arial" w:hAnsi="Arial" w:cs="Arial"/>
                <w:noProof/>
                <w:webHidden/>
                <w:sz w:val="24"/>
                <w:szCs w:val="24"/>
              </w:rPr>
              <w:t>197</w:t>
            </w:r>
          </w:hyperlink>
        </w:p>
        <w:p w14:paraId="61D77397" w14:textId="44FE169A"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39" w:history="1">
            <w:r w:rsidR="00091CBA" w:rsidRPr="00091CBA">
              <w:rPr>
                <w:rStyle w:val="Hyperlink"/>
                <w:rFonts w:ascii="Arial" w:hAnsi="Arial" w:cs="Arial"/>
                <w:noProof/>
                <w:sz w:val="24"/>
                <w:szCs w:val="24"/>
              </w:rPr>
              <w:t>6.3.7</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Statistical Analysis</w:t>
            </w:r>
            <w:r w:rsidR="00091CBA" w:rsidRPr="00091CBA">
              <w:rPr>
                <w:rFonts w:ascii="Arial" w:hAnsi="Arial" w:cs="Arial"/>
                <w:noProof/>
                <w:webHidden/>
                <w:sz w:val="24"/>
                <w:szCs w:val="24"/>
              </w:rPr>
              <w:tab/>
            </w:r>
            <w:r w:rsidR="007B3A25">
              <w:rPr>
                <w:rFonts w:ascii="Arial" w:hAnsi="Arial" w:cs="Arial"/>
                <w:noProof/>
                <w:webHidden/>
                <w:sz w:val="24"/>
                <w:szCs w:val="24"/>
              </w:rPr>
              <w:t>199</w:t>
            </w:r>
          </w:hyperlink>
        </w:p>
        <w:p w14:paraId="217A642A" w14:textId="753DB10E"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40" w:history="1">
            <w:r w:rsidR="00091CBA" w:rsidRPr="00091CBA">
              <w:rPr>
                <w:rStyle w:val="Hyperlink"/>
                <w:rFonts w:ascii="Arial" w:hAnsi="Arial" w:cs="Arial"/>
                <w:b w:val="0"/>
                <w:bCs w:val="0"/>
                <w:noProof/>
                <w:sz w:val="24"/>
                <w:szCs w:val="24"/>
              </w:rPr>
              <w:t>6.4</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Results</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_Toc16237040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20</w:t>
            </w:r>
            <w:r w:rsidR="007B3A25">
              <w:rPr>
                <w:rFonts w:ascii="Arial" w:hAnsi="Arial" w:cs="Arial"/>
                <w:b w:val="0"/>
                <w:bCs w:val="0"/>
                <w:noProof/>
                <w:webHidden/>
                <w:sz w:val="24"/>
                <w:szCs w:val="24"/>
              </w:rPr>
              <w:t>3</w:t>
            </w:r>
            <w:r w:rsidR="00091CBA" w:rsidRPr="00091CBA">
              <w:rPr>
                <w:rFonts w:ascii="Arial" w:hAnsi="Arial" w:cs="Arial"/>
                <w:b w:val="0"/>
                <w:bCs w:val="0"/>
                <w:noProof/>
                <w:webHidden/>
                <w:sz w:val="24"/>
                <w:szCs w:val="24"/>
              </w:rPr>
              <w:fldChar w:fldCharType="end"/>
            </w:r>
          </w:hyperlink>
        </w:p>
        <w:p w14:paraId="6F615FD8" w14:textId="53B20A49"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41" w:history="1">
            <w:r w:rsidR="00091CBA" w:rsidRPr="00091CBA">
              <w:rPr>
                <w:rStyle w:val="Hyperlink"/>
                <w:rFonts w:ascii="Arial" w:hAnsi="Arial" w:cs="Arial"/>
                <w:noProof/>
                <w:sz w:val="24"/>
                <w:szCs w:val="24"/>
              </w:rPr>
              <w:t>6.4.1</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Univariate- 3 feature attentional modulation</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_Toc16237041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20</w:t>
            </w:r>
            <w:r w:rsidR="007B3A25">
              <w:rPr>
                <w:rFonts w:ascii="Arial" w:hAnsi="Arial" w:cs="Arial"/>
                <w:noProof/>
                <w:webHidden/>
                <w:sz w:val="24"/>
                <w:szCs w:val="24"/>
              </w:rPr>
              <w:t>3</w:t>
            </w:r>
            <w:r w:rsidR="00091CBA" w:rsidRPr="00091CBA">
              <w:rPr>
                <w:rFonts w:ascii="Arial" w:hAnsi="Arial" w:cs="Arial"/>
                <w:noProof/>
                <w:webHidden/>
                <w:sz w:val="24"/>
                <w:szCs w:val="24"/>
              </w:rPr>
              <w:fldChar w:fldCharType="end"/>
            </w:r>
          </w:hyperlink>
        </w:p>
        <w:p w14:paraId="05A6D157" w14:textId="0CF6FCFA"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42" w:history="1">
            <w:r w:rsidR="00091CBA" w:rsidRPr="00091CBA">
              <w:rPr>
                <w:rStyle w:val="Hyperlink"/>
                <w:rFonts w:ascii="Arial" w:hAnsi="Arial" w:cs="Arial"/>
                <w:noProof/>
                <w:sz w:val="24"/>
                <w:szCs w:val="24"/>
              </w:rPr>
              <w:t>6.4.2</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Univariate- 3x3 feature attentional modulation</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_Toc16237042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2</w:t>
            </w:r>
            <w:r w:rsidR="007B3A25">
              <w:rPr>
                <w:rFonts w:ascii="Arial" w:hAnsi="Arial" w:cs="Arial"/>
                <w:noProof/>
                <w:webHidden/>
                <w:sz w:val="24"/>
                <w:szCs w:val="24"/>
              </w:rPr>
              <w:t>06</w:t>
            </w:r>
            <w:r w:rsidR="00091CBA" w:rsidRPr="00091CBA">
              <w:rPr>
                <w:rFonts w:ascii="Arial" w:hAnsi="Arial" w:cs="Arial"/>
                <w:noProof/>
                <w:webHidden/>
                <w:sz w:val="24"/>
                <w:szCs w:val="24"/>
              </w:rPr>
              <w:fldChar w:fldCharType="end"/>
            </w:r>
          </w:hyperlink>
        </w:p>
        <w:p w14:paraId="6BB9B16C" w14:textId="7931CB85"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43" w:history="1">
            <w:r w:rsidR="00091CBA" w:rsidRPr="00091CBA">
              <w:rPr>
                <w:rStyle w:val="Hyperlink"/>
                <w:rFonts w:ascii="Arial" w:hAnsi="Arial" w:cs="Arial"/>
                <w:noProof/>
                <w:sz w:val="24"/>
                <w:szCs w:val="24"/>
              </w:rPr>
              <w:t>6.4.3</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Multivariate- 3 feature attentional modulation</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_Toc16237043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21</w:t>
            </w:r>
            <w:r w:rsidR="007B3A25">
              <w:rPr>
                <w:rFonts w:ascii="Arial" w:hAnsi="Arial" w:cs="Arial"/>
                <w:noProof/>
                <w:webHidden/>
                <w:sz w:val="24"/>
                <w:szCs w:val="24"/>
              </w:rPr>
              <w:t>0</w:t>
            </w:r>
            <w:r w:rsidR="00091CBA" w:rsidRPr="00091CBA">
              <w:rPr>
                <w:rFonts w:ascii="Arial" w:hAnsi="Arial" w:cs="Arial"/>
                <w:noProof/>
                <w:webHidden/>
                <w:sz w:val="24"/>
                <w:szCs w:val="24"/>
              </w:rPr>
              <w:fldChar w:fldCharType="end"/>
            </w:r>
          </w:hyperlink>
        </w:p>
        <w:p w14:paraId="4DD86CA0" w14:textId="36C7B711"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44" w:history="1">
            <w:r w:rsidR="00091CBA" w:rsidRPr="00091CBA">
              <w:rPr>
                <w:rStyle w:val="Hyperlink"/>
                <w:rFonts w:ascii="Arial" w:hAnsi="Arial" w:cs="Arial"/>
                <w:noProof/>
                <w:sz w:val="24"/>
                <w:szCs w:val="24"/>
              </w:rPr>
              <w:t>6.4.4</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Multivariate- 3x3 feature attentional modulation</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_Toc16237044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21</w:t>
            </w:r>
            <w:r w:rsidR="007B3A25">
              <w:rPr>
                <w:rFonts w:ascii="Arial" w:hAnsi="Arial" w:cs="Arial"/>
                <w:noProof/>
                <w:webHidden/>
                <w:sz w:val="24"/>
                <w:szCs w:val="24"/>
              </w:rPr>
              <w:t>4</w:t>
            </w:r>
            <w:r w:rsidR="00091CBA" w:rsidRPr="00091CBA">
              <w:rPr>
                <w:rFonts w:ascii="Arial" w:hAnsi="Arial" w:cs="Arial"/>
                <w:noProof/>
                <w:webHidden/>
                <w:sz w:val="24"/>
                <w:szCs w:val="24"/>
              </w:rPr>
              <w:fldChar w:fldCharType="end"/>
            </w:r>
          </w:hyperlink>
        </w:p>
        <w:p w14:paraId="02CC21A7" w14:textId="51049DE0" w:rsidR="00091CBA" w:rsidRPr="00091CBA" w:rsidRDefault="00F77F86" w:rsidP="00091CBA">
          <w:pPr>
            <w:pStyle w:val="TOC3"/>
            <w:tabs>
              <w:tab w:val="left" w:pos="1200"/>
              <w:tab w:val="right" w:pos="8182"/>
            </w:tabs>
            <w:spacing w:line="360" w:lineRule="auto"/>
            <w:rPr>
              <w:rFonts w:ascii="Arial" w:eastAsiaTheme="minorEastAsia" w:hAnsi="Arial" w:cs="Arial"/>
              <w:noProof/>
              <w:sz w:val="24"/>
              <w:szCs w:val="24"/>
            </w:rPr>
          </w:pPr>
          <w:hyperlink w:anchor="_Toc16237045" w:history="1">
            <w:r w:rsidR="00091CBA" w:rsidRPr="00091CBA">
              <w:rPr>
                <w:rStyle w:val="Hyperlink"/>
                <w:rFonts w:ascii="Arial" w:hAnsi="Arial" w:cs="Arial"/>
                <w:noProof/>
                <w:sz w:val="24"/>
                <w:szCs w:val="24"/>
              </w:rPr>
              <w:t>6.4.5</w:t>
            </w:r>
            <w:r w:rsidR="00091CBA" w:rsidRPr="00091CBA">
              <w:rPr>
                <w:rFonts w:ascii="Arial" w:eastAsiaTheme="minorEastAsia" w:hAnsi="Arial" w:cs="Arial"/>
                <w:noProof/>
                <w:sz w:val="24"/>
                <w:szCs w:val="24"/>
              </w:rPr>
              <w:tab/>
            </w:r>
            <w:r w:rsidR="00091CBA" w:rsidRPr="00091CBA">
              <w:rPr>
                <w:rStyle w:val="Hyperlink"/>
                <w:rFonts w:ascii="Arial" w:hAnsi="Arial" w:cs="Arial"/>
                <w:noProof/>
                <w:sz w:val="24"/>
                <w:szCs w:val="24"/>
              </w:rPr>
              <w:t>Timeseries connectivity analysis</w:t>
            </w:r>
            <w:r w:rsidR="00091CBA" w:rsidRPr="00091CBA">
              <w:rPr>
                <w:rFonts w:ascii="Arial" w:hAnsi="Arial" w:cs="Arial"/>
                <w:noProof/>
                <w:webHidden/>
                <w:sz w:val="24"/>
                <w:szCs w:val="24"/>
              </w:rPr>
              <w:tab/>
            </w:r>
            <w:r w:rsidR="00091CBA" w:rsidRPr="00091CBA">
              <w:rPr>
                <w:rFonts w:ascii="Arial" w:hAnsi="Arial" w:cs="Arial"/>
                <w:noProof/>
                <w:webHidden/>
                <w:sz w:val="24"/>
                <w:szCs w:val="24"/>
              </w:rPr>
              <w:fldChar w:fldCharType="begin"/>
            </w:r>
            <w:r w:rsidR="00091CBA" w:rsidRPr="00091CBA">
              <w:rPr>
                <w:rFonts w:ascii="Arial" w:hAnsi="Arial" w:cs="Arial"/>
                <w:noProof/>
                <w:webHidden/>
                <w:sz w:val="24"/>
                <w:szCs w:val="24"/>
              </w:rPr>
              <w:instrText xml:space="preserve"> PAGEREF _Toc16237045 \h </w:instrText>
            </w:r>
            <w:r w:rsidR="00091CBA" w:rsidRPr="00091CBA">
              <w:rPr>
                <w:rFonts w:ascii="Arial" w:hAnsi="Arial" w:cs="Arial"/>
                <w:noProof/>
                <w:webHidden/>
                <w:sz w:val="24"/>
                <w:szCs w:val="24"/>
              </w:rPr>
            </w:r>
            <w:r w:rsidR="00091CBA" w:rsidRPr="00091CBA">
              <w:rPr>
                <w:rFonts w:ascii="Arial" w:hAnsi="Arial" w:cs="Arial"/>
                <w:noProof/>
                <w:webHidden/>
                <w:sz w:val="24"/>
                <w:szCs w:val="24"/>
              </w:rPr>
              <w:fldChar w:fldCharType="separate"/>
            </w:r>
            <w:r w:rsidR="008437FC">
              <w:rPr>
                <w:rFonts w:ascii="Arial" w:hAnsi="Arial" w:cs="Arial"/>
                <w:noProof/>
                <w:webHidden/>
                <w:sz w:val="24"/>
                <w:szCs w:val="24"/>
              </w:rPr>
              <w:t>2</w:t>
            </w:r>
            <w:r w:rsidR="007B3A25">
              <w:rPr>
                <w:rFonts w:ascii="Arial" w:hAnsi="Arial" w:cs="Arial"/>
                <w:noProof/>
                <w:webHidden/>
                <w:sz w:val="24"/>
                <w:szCs w:val="24"/>
              </w:rPr>
              <w:t>16</w:t>
            </w:r>
            <w:r w:rsidR="00091CBA" w:rsidRPr="00091CBA">
              <w:rPr>
                <w:rFonts w:ascii="Arial" w:hAnsi="Arial" w:cs="Arial"/>
                <w:noProof/>
                <w:webHidden/>
                <w:sz w:val="24"/>
                <w:szCs w:val="24"/>
              </w:rPr>
              <w:fldChar w:fldCharType="end"/>
            </w:r>
          </w:hyperlink>
        </w:p>
        <w:p w14:paraId="6C33A9E1" w14:textId="0742294F" w:rsidR="00091CBA" w:rsidRPr="00091CBA" w:rsidRDefault="00F77F86" w:rsidP="00091CBA">
          <w:pPr>
            <w:pStyle w:val="TOC2"/>
            <w:tabs>
              <w:tab w:val="left" w:pos="960"/>
              <w:tab w:val="right" w:pos="8182"/>
            </w:tabs>
            <w:spacing w:line="360" w:lineRule="auto"/>
            <w:rPr>
              <w:rFonts w:ascii="Arial" w:eastAsiaTheme="minorEastAsia" w:hAnsi="Arial" w:cs="Arial"/>
              <w:b w:val="0"/>
              <w:bCs w:val="0"/>
              <w:noProof/>
              <w:sz w:val="24"/>
              <w:szCs w:val="24"/>
            </w:rPr>
          </w:pPr>
          <w:hyperlink w:anchor="_Toc16237046" w:history="1">
            <w:r w:rsidR="00091CBA" w:rsidRPr="00091CBA">
              <w:rPr>
                <w:rStyle w:val="Hyperlink"/>
                <w:rFonts w:ascii="Arial" w:hAnsi="Arial" w:cs="Arial"/>
                <w:b w:val="0"/>
                <w:bCs w:val="0"/>
                <w:noProof/>
                <w:sz w:val="24"/>
                <w:szCs w:val="24"/>
              </w:rPr>
              <w:t>6.5</w:t>
            </w:r>
            <w:r w:rsidR="00091CBA" w:rsidRPr="00091CBA">
              <w:rPr>
                <w:rFonts w:ascii="Arial" w:eastAsiaTheme="minorEastAsia" w:hAnsi="Arial" w:cs="Arial"/>
                <w:b w:val="0"/>
                <w:bCs w:val="0"/>
                <w:noProof/>
                <w:sz w:val="24"/>
                <w:szCs w:val="24"/>
              </w:rPr>
              <w:tab/>
            </w:r>
            <w:r w:rsidR="00091CBA" w:rsidRPr="00091CBA">
              <w:rPr>
                <w:rStyle w:val="Hyperlink"/>
                <w:rFonts w:ascii="Arial" w:hAnsi="Arial" w:cs="Arial"/>
                <w:b w:val="0"/>
                <w:bCs w:val="0"/>
                <w:noProof/>
                <w:sz w:val="24"/>
                <w:szCs w:val="24"/>
              </w:rPr>
              <w:t>Discussion</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_Toc16237046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22</w:t>
            </w:r>
            <w:r w:rsidR="007B3A25">
              <w:rPr>
                <w:rFonts w:ascii="Arial" w:hAnsi="Arial" w:cs="Arial"/>
                <w:b w:val="0"/>
                <w:bCs w:val="0"/>
                <w:noProof/>
                <w:webHidden/>
                <w:sz w:val="24"/>
                <w:szCs w:val="24"/>
              </w:rPr>
              <w:t>2</w:t>
            </w:r>
            <w:r w:rsidR="00091CBA" w:rsidRPr="00091CBA">
              <w:rPr>
                <w:rFonts w:ascii="Arial" w:hAnsi="Arial" w:cs="Arial"/>
                <w:b w:val="0"/>
                <w:bCs w:val="0"/>
                <w:noProof/>
                <w:webHidden/>
                <w:sz w:val="24"/>
                <w:szCs w:val="24"/>
              </w:rPr>
              <w:fldChar w:fldCharType="end"/>
            </w:r>
          </w:hyperlink>
        </w:p>
        <w:p w14:paraId="15090F02" w14:textId="3BF588E5" w:rsidR="00091CBA" w:rsidRPr="00091CBA" w:rsidRDefault="00F77F86" w:rsidP="00091CBA">
          <w:pPr>
            <w:pStyle w:val="TOC1"/>
            <w:tabs>
              <w:tab w:val="left" w:pos="480"/>
              <w:tab w:val="right" w:pos="8182"/>
            </w:tabs>
            <w:spacing w:line="360" w:lineRule="auto"/>
            <w:rPr>
              <w:rFonts w:ascii="Arial" w:eastAsiaTheme="minorEastAsia" w:hAnsi="Arial" w:cs="Arial"/>
              <w:b w:val="0"/>
              <w:bCs w:val="0"/>
              <w:i w:val="0"/>
              <w:iCs w:val="0"/>
              <w:noProof/>
            </w:rPr>
          </w:pPr>
          <w:hyperlink w:anchor="_Toc16237047" w:history="1">
            <w:r w:rsidR="00091CBA" w:rsidRPr="00091CBA">
              <w:rPr>
                <w:rStyle w:val="Hyperlink"/>
                <w:rFonts w:ascii="Arial" w:hAnsi="Arial" w:cs="Arial"/>
                <w:b w:val="0"/>
                <w:bCs w:val="0"/>
                <w:i w:val="0"/>
                <w:iCs w:val="0"/>
                <w:noProof/>
              </w:rPr>
              <w:t>7.</w:t>
            </w:r>
            <w:r w:rsidR="00091CBA" w:rsidRPr="00091CBA">
              <w:rPr>
                <w:rFonts w:ascii="Arial" w:eastAsiaTheme="minorEastAsia" w:hAnsi="Arial" w:cs="Arial"/>
                <w:b w:val="0"/>
                <w:bCs w:val="0"/>
                <w:i w:val="0"/>
                <w:iCs w:val="0"/>
                <w:noProof/>
              </w:rPr>
              <w:tab/>
            </w:r>
            <w:r w:rsidR="00091CBA" w:rsidRPr="00091CBA">
              <w:rPr>
                <w:rStyle w:val="Hyperlink"/>
                <w:rFonts w:ascii="Arial" w:hAnsi="Arial" w:cs="Arial"/>
                <w:b w:val="0"/>
                <w:bCs w:val="0"/>
                <w:i w:val="0"/>
                <w:iCs w:val="0"/>
                <w:noProof/>
              </w:rPr>
              <w:t>Conclusions</w:t>
            </w:r>
            <w:r w:rsidR="00091CBA" w:rsidRPr="00091CBA">
              <w:rPr>
                <w:rFonts w:ascii="Arial" w:hAnsi="Arial" w:cs="Arial"/>
                <w:b w:val="0"/>
                <w:bCs w:val="0"/>
                <w:i w:val="0"/>
                <w:iCs w:val="0"/>
                <w:noProof/>
                <w:webHidden/>
              </w:rPr>
              <w:tab/>
            </w:r>
            <w:r w:rsidR="00091CBA" w:rsidRPr="00091CBA">
              <w:rPr>
                <w:rFonts w:ascii="Arial" w:hAnsi="Arial" w:cs="Arial"/>
                <w:b w:val="0"/>
                <w:bCs w:val="0"/>
                <w:i w:val="0"/>
                <w:iCs w:val="0"/>
                <w:noProof/>
                <w:webHidden/>
              </w:rPr>
              <w:fldChar w:fldCharType="begin"/>
            </w:r>
            <w:r w:rsidR="00091CBA" w:rsidRPr="00091CBA">
              <w:rPr>
                <w:rFonts w:ascii="Arial" w:hAnsi="Arial" w:cs="Arial"/>
                <w:b w:val="0"/>
                <w:bCs w:val="0"/>
                <w:i w:val="0"/>
                <w:iCs w:val="0"/>
                <w:noProof/>
                <w:webHidden/>
              </w:rPr>
              <w:instrText xml:space="preserve"> PAGEREF _Toc16237047 \h </w:instrText>
            </w:r>
            <w:r w:rsidR="00091CBA" w:rsidRPr="00091CBA">
              <w:rPr>
                <w:rFonts w:ascii="Arial" w:hAnsi="Arial" w:cs="Arial"/>
                <w:b w:val="0"/>
                <w:bCs w:val="0"/>
                <w:i w:val="0"/>
                <w:iCs w:val="0"/>
                <w:noProof/>
                <w:webHidden/>
              </w:rPr>
            </w:r>
            <w:r w:rsidR="00091CBA" w:rsidRPr="00091CBA">
              <w:rPr>
                <w:rFonts w:ascii="Arial" w:hAnsi="Arial" w:cs="Arial"/>
                <w:b w:val="0"/>
                <w:bCs w:val="0"/>
                <w:i w:val="0"/>
                <w:iCs w:val="0"/>
                <w:noProof/>
                <w:webHidden/>
              </w:rPr>
              <w:fldChar w:fldCharType="separate"/>
            </w:r>
            <w:r w:rsidR="008437FC">
              <w:rPr>
                <w:rFonts w:ascii="Arial" w:hAnsi="Arial" w:cs="Arial"/>
                <w:b w:val="0"/>
                <w:bCs w:val="0"/>
                <w:i w:val="0"/>
                <w:iCs w:val="0"/>
                <w:noProof/>
                <w:webHidden/>
              </w:rPr>
              <w:t>23</w:t>
            </w:r>
            <w:r w:rsidR="007B3A25">
              <w:rPr>
                <w:rFonts w:ascii="Arial" w:hAnsi="Arial" w:cs="Arial"/>
                <w:b w:val="0"/>
                <w:bCs w:val="0"/>
                <w:i w:val="0"/>
                <w:iCs w:val="0"/>
                <w:noProof/>
                <w:webHidden/>
              </w:rPr>
              <w:t>2</w:t>
            </w:r>
            <w:r w:rsidR="00091CBA" w:rsidRPr="00091CBA">
              <w:rPr>
                <w:rFonts w:ascii="Arial" w:hAnsi="Arial" w:cs="Arial"/>
                <w:b w:val="0"/>
                <w:bCs w:val="0"/>
                <w:i w:val="0"/>
                <w:iCs w:val="0"/>
                <w:noProof/>
                <w:webHidden/>
              </w:rPr>
              <w:fldChar w:fldCharType="end"/>
            </w:r>
          </w:hyperlink>
        </w:p>
        <w:p w14:paraId="17918A48" w14:textId="4E6BD870" w:rsidR="00091CBA" w:rsidRPr="00091CBA" w:rsidRDefault="00F77F86" w:rsidP="00091CBA">
          <w:pPr>
            <w:pStyle w:val="TOC2"/>
            <w:tabs>
              <w:tab w:val="right" w:pos="8182"/>
            </w:tabs>
            <w:spacing w:line="360" w:lineRule="auto"/>
            <w:rPr>
              <w:rFonts w:ascii="Arial" w:eastAsiaTheme="minorEastAsia" w:hAnsi="Arial" w:cs="Arial"/>
              <w:b w:val="0"/>
              <w:bCs w:val="0"/>
              <w:noProof/>
              <w:sz w:val="24"/>
              <w:szCs w:val="24"/>
            </w:rPr>
          </w:pPr>
          <w:hyperlink w:anchor="_Toc16237048" w:history="1">
            <w:r w:rsidR="00091CBA" w:rsidRPr="00091CBA">
              <w:rPr>
                <w:rStyle w:val="Hyperlink"/>
                <w:rFonts w:ascii="Arial" w:hAnsi="Arial" w:cs="Arial"/>
                <w:b w:val="0"/>
                <w:bCs w:val="0"/>
                <w:noProof/>
                <w:sz w:val="24"/>
                <w:szCs w:val="24"/>
              </w:rPr>
              <w:t>7.1 Overview of the thesis findings</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_Toc16237048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23</w:t>
            </w:r>
            <w:r w:rsidR="007B3A25">
              <w:rPr>
                <w:rFonts w:ascii="Arial" w:hAnsi="Arial" w:cs="Arial"/>
                <w:b w:val="0"/>
                <w:bCs w:val="0"/>
                <w:noProof/>
                <w:webHidden/>
                <w:sz w:val="24"/>
                <w:szCs w:val="24"/>
              </w:rPr>
              <w:t>2</w:t>
            </w:r>
            <w:r w:rsidR="00091CBA" w:rsidRPr="00091CBA">
              <w:rPr>
                <w:rFonts w:ascii="Arial" w:hAnsi="Arial" w:cs="Arial"/>
                <w:b w:val="0"/>
                <w:bCs w:val="0"/>
                <w:noProof/>
                <w:webHidden/>
                <w:sz w:val="24"/>
                <w:szCs w:val="24"/>
              </w:rPr>
              <w:fldChar w:fldCharType="end"/>
            </w:r>
          </w:hyperlink>
        </w:p>
        <w:p w14:paraId="4572BBBB" w14:textId="085212D8" w:rsidR="00091CBA" w:rsidRPr="00091CBA" w:rsidRDefault="00F77F86" w:rsidP="00091CBA">
          <w:pPr>
            <w:pStyle w:val="TOC2"/>
            <w:tabs>
              <w:tab w:val="right" w:pos="8182"/>
            </w:tabs>
            <w:spacing w:line="360" w:lineRule="auto"/>
            <w:rPr>
              <w:rFonts w:ascii="Arial" w:eastAsiaTheme="minorEastAsia" w:hAnsi="Arial" w:cs="Arial"/>
              <w:b w:val="0"/>
              <w:bCs w:val="0"/>
              <w:noProof/>
              <w:sz w:val="24"/>
              <w:szCs w:val="24"/>
            </w:rPr>
          </w:pPr>
          <w:hyperlink w:anchor="_Toc16237049" w:history="1">
            <w:r w:rsidR="00091CBA" w:rsidRPr="00091CBA">
              <w:rPr>
                <w:rStyle w:val="Hyperlink"/>
                <w:rFonts w:ascii="Arial" w:hAnsi="Arial" w:cs="Arial"/>
                <w:b w:val="0"/>
                <w:bCs w:val="0"/>
                <w:noProof/>
                <w:sz w:val="24"/>
                <w:szCs w:val="24"/>
              </w:rPr>
              <w:t>7.2 Future work</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_Toc16237049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2</w:t>
            </w:r>
            <w:r w:rsidR="007B3A25">
              <w:rPr>
                <w:rFonts w:ascii="Arial" w:hAnsi="Arial" w:cs="Arial"/>
                <w:b w:val="0"/>
                <w:bCs w:val="0"/>
                <w:noProof/>
                <w:webHidden/>
                <w:sz w:val="24"/>
                <w:szCs w:val="24"/>
              </w:rPr>
              <w:t>37</w:t>
            </w:r>
            <w:r w:rsidR="00091CBA" w:rsidRPr="00091CBA">
              <w:rPr>
                <w:rFonts w:ascii="Arial" w:hAnsi="Arial" w:cs="Arial"/>
                <w:b w:val="0"/>
                <w:bCs w:val="0"/>
                <w:noProof/>
                <w:webHidden/>
                <w:sz w:val="24"/>
                <w:szCs w:val="24"/>
              </w:rPr>
              <w:fldChar w:fldCharType="end"/>
            </w:r>
          </w:hyperlink>
        </w:p>
        <w:p w14:paraId="5D98CB06" w14:textId="39A7FAE3" w:rsidR="00091CBA" w:rsidRPr="00091CBA" w:rsidRDefault="00F77F86" w:rsidP="00091CBA">
          <w:pPr>
            <w:pStyle w:val="TOC2"/>
            <w:tabs>
              <w:tab w:val="right" w:pos="8182"/>
            </w:tabs>
            <w:spacing w:line="360" w:lineRule="auto"/>
            <w:rPr>
              <w:rFonts w:ascii="Arial" w:eastAsiaTheme="minorEastAsia" w:hAnsi="Arial" w:cs="Arial"/>
              <w:b w:val="0"/>
              <w:bCs w:val="0"/>
              <w:noProof/>
              <w:sz w:val="24"/>
              <w:szCs w:val="24"/>
            </w:rPr>
          </w:pPr>
          <w:hyperlink w:anchor="_Toc16237050" w:history="1">
            <w:r w:rsidR="00091CBA" w:rsidRPr="00091CBA">
              <w:rPr>
                <w:rStyle w:val="Hyperlink"/>
                <w:rFonts w:ascii="Arial" w:hAnsi="Arial" w:cs="Arial"/>
                <w:b w:val="0"/>
                <w:bCs w:val="0"/>
                <w:noProof/>
                <w:sz w:val="24"/>
                <w:szCs w:val="24"/>
              </w:rPr>
              <w:t>7.3 Conclusion</w:t>
            </w:r>
            <w:r w:rsidR="00091CBA" w:rsidRPr="00091CBA">
              <w:rPr>
                <w:rFonts w:ascii="Arial" w:hAnsi="Arial" w:cs="Arial"/>
                <w:b w:val="0"/>
                <w:bCs w:val="0"/>
                <w:noProof/>
                <w:webHidden/>
                <w:sz w:val="24"/>
                <w:szCs w:val="24"/>
              </w:rPr>
              <w:tab/>
            </w:r>
            <w:r w:rsidR="00091CBA" w:rsidRPr="00091CBA">
              <w:rPr>
                <w:rFonts w:ascii="Arial" w:hAnsi="Arial" w:cs="Arial"/>
                <w:b w:val="0"/>
                <w:bCs w:val="0"/>
                <w:noProof/>
                <w:webHidden/>
                <w:sz w:val="24"/>
                <w:szCs w:val="24"/>
              </w:rPr>
              <w:fldChar w:fldCharType="begin"/>
            </w:r>
            <w:r w:rsidR="00091CBA" w:rsidRPr="00091CBA">
              <w:rPr>
                <w:rFonts w:ascii="Arial" w:hAnsi="Arial" w:cs="Arial"/>
                <w:b w:val="0"/>
                <w:bCs w:val="0"/>
                <w:noProof/>
                <w:webHidden/>
                <w:sz w:val="24"/>
                <w:szCs w:val="24"/>
              </w:rPr>
              <w:instrText xml:space="preserve"> PAGEREF _Toc16237050 \h </w:instrText>
            </w:r>
            <w:r w:rsidR="00091CBA" w:rsidRPr="00091CBA">
              <w:rPr>
                <w:rFonts w:ascii="Arial" w:hAnsi="Arial" w:cs="Arial"/>
                <w:b w:val="0"/>
                <w:bCs w:val="0"/>
                <w:noProof/>
                <w:webHidden/>
                <w:sz w:val="24"/>
                <w:szCs w:val="24"/>
              </w:rPr>
            </w:r>
            <w:r w:rsidR="00091CBA" w:rsidRPr="00091CBA">
              <w:rPr>
                <w:rFonts w:ascii="Arial" w:hAnsi="Arial" w:cs="Arial"/>
                <w:b w:val="0"/>
                <w:bCs w:val="0"/>
                <w:noProof/>
                <w:webHidden/>
                <w:sz w:val="24"/>
                <w:szCs w:val="24"/>
              </w:rPr>
              <w:fldChar w:fldCharType="separate"/>
            </w:r>
            <w:r w:rsidR="008437FC">
              <w:rPr>
                <w:rFonts w:ascii="Arial" w:hAnsi="Arial" w:cs="Arial"/>
                <w:b w:val="0"/>
                <w:bCs w:val="0"/>
                <w:noProof/>
                <w:webHidden/>
                <w:sz w:val="24"/>
                <w:szCs w:val="24"/>
              </w:rPr>
              <w:t>24</w:t>
            </w:r>
            <w:r w:rsidR="007B3A25">
              <w:rPr>
                <w:rFonts w:ascii="Arial" w:hAnsi="Arial" w:cs="Arial"/>
                <w:b w:val="0"/>
                <w:bCs w:val="0"/>
                <w:noProof/>
                <w:webHidden/>
                <w:sz w:val="24"/>
                <w:szCs w:val="24"/>
              </w:rPr>
              <w:t>0</w:t>
            </w:r>
            <w:r w:rsidR="00091CBA" w:rsidRPr="00091CBA">
              <w:rPr>
                <w:rFonts w:ascii="Arial" w:hAnsi="Arial" w:cs="Arial"/>
                <w:b w:val="0"/>
                <w:bCs w:val="0"/>
                <w:noProof/>
                <w:webHidden/>
                <w:sz w:val="24"/>
                <w:szCs w:val="24"/>
              </w:rPr>
              <w:fldChar w:fldCharType="end"/>
            </w:r>
          </w:hyperlink>
        </w:p>
        <w:p w14:paraId="49B19A11" w14:textId="3E23D689" w:rsidR="00091CBA" w:rsidRPr="00091CBA" w:rsidRDefault="00F77F86" w:rsidP="00091CBA">
          <w:pPr>
            <w:pStyle w:val="TOC1"/>
            <w:tabs>
              <w:tab w:val="right" w:pos="8182"/>
            </w:tabs>
            <w:spacing w:line="360" w:lineRule="auto"/>
            <w:rPr>
              <w:rFonts w:ascii="Arial" w:eastAsiaTheme="minorEastAsia" w:hAnsi="Arial" w:cs="Arial"/>
              <w:b w:val="0"/>
              <w:bCs w:val="0"/>
              <w:i w:val="0"/>
              <w:iCs w:val="0"/>
              <w:noProof/>
            </w:rPr>
          </w:pPr>
          <w:hyperlink w:anchor="_Toc16237051" w:history="1">
            <w:r w:rsidR="00091CBA" w:rsidRPr="00091CBA">
              <w:rPr>
                <w:rStyle w:val="Hyperlink"/>
                <w:rFonts w:ascii="Arial" w:hAnsi="Arial" w:cs="Arial"/>
                <w:b w:val="0"/>
                <w:bCs w:val="0"/>
                <w:i w:val="0"/>
                <w:iCs w:val="0"/>
                <w:noProof/>
              </w:rPr>
              <w:t>References</w:t>
            </w:r>
            <w:r w:rsidR="00091CBA" w:rsidRPr="00091CBA">
              <w:rPr>
                <w:rFonts w:ascii="Arial" w:hAnsi="Arial" w:cs="Arial"/>
                <w:b w:val="0"/>
                <w:bCs w:val="0"/>
                <w:i w:val="0"/>
                <w:iCs w:val="0"/>
                <w:noProof/>
                <w:webHidden/>
              </w:rPr>
              <w:tab/>
            </w:r>
            <w:r w:rsidR="00091CBA" w:rsidRPr="00091CBA">
              <w:rPr>
                <w:rFonts w:ascii="Arial" w:hAnsi="Arial" w:cs="Arial"/>
                <w:b w:val="0"/>
                <w:bCs w:val="0"/>
                <w:i w:val="0"/>
                <w:iCs w:val="0"/>
                <w:noProof/>
                <w:webHidden/>
              </w:rPr>
              <w:fldChar w:fldCharType="begin"/>
            </w:r>
            <w:r w:rsidR="00091CBA" w:rsidRPr="00091CBA">
              <w:rPr>
                <w:rFonts w:ascii="Arial" w:hAnsi="Arial" w:cs="Arial"/>
                <w:b w:val="0"/>
                <w:bCs w:val="0"/>
                <w:i w:val="0"/>
                <w:iCs w:val="0"/>
                <w:noProof/>
                <w:webHidden/>
              </w:rPr>
              <w:instrText xml:space="preserve"> PAGEREF _Toc16237051 \h </w:instrText>
            </w:r>
            <w:r w:rsidR="00091CBA" w:rsidRPr="00091CBA">
              <w:rPr>
                <w:rFonts w:ascii="Arial" w:hAnsi="Arial" w:cs="Arial"/>
                <w:b w:val="0"/>
                <w:bCs w:val="0"/>
                <w:i w:val="0"/>
                <w:iCs w:val="0"/>
                <w:noProof/>
                <w:webHidden/>
              </w:rPr>
            </w:r>
            <w:r w:rsidR="00091CBA" w:rsidRPr="00091CBA">
              <w:rPr>
                <w:rFonts w:ascii="Arial" w:hAnsi="Arial" w:cs="Arial"/>
                <w:b w:val="0"/>
                <w:bCs w:val="0"/>
                <w:i w:val="0"/>
                <w:iCs w:val="0"/>
                <w:noProof/>
                <w:webHidden/>
              </w:rPr>
              <w:fldChar w:fldCharType="separate"/>
            </w:r>
            <w:r w:rsidR="008437FC">
              <w:rPr>
                <w:rFonts w:ascii="Arial" w:hAnsi="Arial" w:cs="Arial"/>
                <w:b w:val="0"/>
                <w:bCs w:val="0"/>
                <w:i w:val="0"/>
                <w:iCs w:val="0"/>
                <w:noProof/>
                <w:webHidden/>
              </w:rPr>
              <w:t>24</w:t>
            </w:r>
            <w:r w:rsidR="007B3A25">
              <w:rPr>
                <w:rFonts w:ascii="Arial" w:hAnsi="Arial" w:cs="Arial"/>
                <w:b w:val="0"/>
                <w:bCs w:val="0"/>
                <w:i w:val="0"/>
                <w:iCs w:val="0"/>
                <w:noProof/>
                <w:webHidden/>
              </w:rPr>
              <w:t>2</w:t>
            </w:r>
            <w:r w:rsidR="00091CBA" w:rsidRPr="00091CBA">
              <w:rPr>
                <w:rFonts w:ascii="Arial" w:hAnsi="Arial" w:cs="Arial"/>
                <w:b w:val="0"/>
                <w:bCs w:val="0"/>
                <w:i w:val="0"/>
                <w:iCs w:val="0"/>
                <w:noProof/>
                <w:webHidden/>
              </w:rPr>
              <w:fldChar w:fldCharType="end"/>
            </w:r>
          </w:hyperlink>
        </w:p>
        <w:p w14:paraId="1662F5E9" w14:textId="4AAE459F" w:rsidR="00AC2195" w:rsidRPr="00AC2195" w:rsidRDefault="00AC2195" w:rsidP="00AC2195">
          <w:pPr>
            <w:spacing w:line="360" w:lineRule="auto"/>
            <w:rPr>
              <w:rFonts w:ascii="Arial" w:hAnsi="Arial" w:cs="Arial"/>
              <w:color w:val="000000" w:themeColor="text1"/>
            </w:rPr>
          </w:pPr>
          <w:r w:rsidRPr="00AC2195">
            <w:rPr>
              <w:rFonts w:ascii="Arial" w:hAnsi="Arial" w:cs="Arial"/>
              <w:noProof/>
              <w:color w:val="000000" w:themeColor="text1"/>
            </w:rPr>
            <w:fldChar w:fldCharType="end"/>
          </w:r>
        </w:p>
      </w:sdtContent>
    </w:sdt>
    <w:p w14:paraId="01DF7F72" w14:textId="2AE7495C" w:rsidR="00F72546" w:rsidRPr="00AC2195" w:rsidRDefault="00F72546" w:rsidP="00AC2195">
      <w:pPr>
        <w:spacing w:line="360" w:lineRule="auto"/>
        <w:rPr>
          <w:rFonts w:ascii="Arial" w:hAnsi="Arial" w:cs="Arial"/>
          <w:color w:val="000000" w:themeColor="text1"/>
        </w:rPr>
      </w:pPr>
    </w:p>
    <w:p w14:paraId="4641411B" w14:textId="093ABC1E" w:rsidR="00707B52" w:rsidRDefault="00707B52" w:rsidP="00AC2195">
      <w:pPr>
        <w:spacing w:line="360" w:lineRule="auto"/>
        <w:rPr>
          <w:rFonts w:ascii="Arial" w:hAnsi="Arial" w:cs="Arial"/>
          <w:bCs/>
        </w:rPr>
      </w:pPr>
    </w:p>
    <w:p w14:paraId="2D4F8545" w14:textId="2C028622" w:rsidR="00AC2195" w:rsidRDefault="00AC2195" w:rsidP="00AC2195">
      <w:pPr>
        <w:spacing w:line="360" w:lineRule="auto"/>
        <w:rPr>
          <w:rFonts w:ascii="Arial" w:hAnsi="Arial" w:cs="Arial"/>
          <w:bCs/>
        </w:rPr>
      </w:pPr>
    </w:p>
    <w:p w14:paraId="77E08104" w14:textId="231D1006" w:rsidR="00AC2195" w:rsidRDefault="00AC2195" w:rsidP="00AC2195">
      <w:pPr>
        <w:spacing w:line="360" w:lineRule="auto"/>
        <w:rPr>
          <w:rFonts w:ascii="Arial" w:hAnsi="Arial" w:cs="Arial"/>
          <w:bCs/>
        </w:rPr>
      </w:pPr>
    </w:p>
    <w:p w14:paraId="2CFC87DA" w14:textId="1040CD99" w:rsidR="00AC2195" w:rsidRDefault="00AC2195" w:rsidP="00AC2195">
      <w:pPr>
        <w:spacing w:line="360" w:lineRule="auto"/>
        <w:rPr>
          <w:rFonts w:ascii="Arial" w:hAnsi="Arial" w:cs="Arial"/>
          <w:bCs/>
        </w:rPr>
      </w:pPr>
    </w:p>
    <w:p w14:paraId="211C3290" w14:textId="54ECE832" w:rsidR="00AC2195" w:rsidRDefault="00AC2195" w:rsidP="00AC2195">
      <w:pPr>
        <w:spacing w:line="360" w:lineRule="auto"/>
        <w:rPr>
          <w:rFonts w:ascii="Arial" w:hAnsi="Arial" w:cs="Arial"/>
          <w:bCs/>
        </w:rPr>
      </w:pPr>
    </w:p>
    <w:p w14:paraId="1F94B79C" w14:textId="2F059D80" w:rsidR="00AC2195" w:rsidRDefault="00AC2195" w:rsidP="00AC2195">
      <w:pPr>
        <w:spacing w:line="360" w:lineRule="auto"/>
        <w:rPr>
          <w:rFonts w:ascii="Arial" w:hAnsi="Arial" w:cs="Arial"/>
          <w:bCs/>
        </w:rPr>
      </w:pPr>
    </w:p>
    <w:p w14:paraId="0577FC10" w14:textId="31A43DE0" w:rsidR="00091CBA" w:rsidRDefault="00091CBA" w:rsidP="00AC2195">
      <w:pPr>
        <w:spacing w:line="360" w:lineRule="auto"/>
        <w:rPr>
          <w:rFonts w:ascii="Arial" w:hAnsi="Arial" w:cs="Arial"/>
          <w:bCs/>
        </w:rPr>
      </w:pPr>
    </w:p>
    <w:p w14:paraId="04E69737" w14:textId="00041DA8" w:rsidR="00091CBA" w:rsidRDefault="00091CBA" w:rsidP="00AC2195">
      <w:pPr>
        <w:spacing w:line="360" w:lineRule="auto"/>
        <w:rPr>
          <w:rFonts w:ascii="Arial" w:hAnsi="Arial" w:cs="Arial"/>
          <w:bCs/>
        </w:rPr>
      </w:pPr>
    </w:p>
    <w:p w14:paraId="38F26829" w14:textId="77777777" w:rsidR="00AE6937" w:rsidRDefault="00AE6937" w:rsidP="00AC2195">
      <w:pPr>
        <w:spacing w:line="360" w:lineRule="auto"/>
        <w:rPr>
          <w:rFonts w:ascii="Arial" w:hAnsi="Arial" w:cs="Arial"/>
          <w:bCs/>
        </w:rPr>
      </w:pPr>
    </w:p>
    <w:p w14:paraId="759457D2" w14:textId="579D7335" w:rsidR="00AC2195" w:rsidRDefault="00AC2195" w:rsidP="00AC2195">
      <w:pPr>
        <w:spacing w:line="360" w:lineRule="auto"/>
        <w:rPr>
          <w:rFonts w:ascii="Arial" w:hAnsi="Arial" w:cs="Arial"/>
          <w:bCs/>
        </w:rPr>
      </w:pPr>
    </w:p>
    <w:p w14:paraId="4E59AA85" w14:textId="53BAA0C9" w:rsidR="00AC2195" w:rsidRDefault="00AC2195" w:rsidP="00AC2195">
      <w:pPr>
        <w:spacing w:line="360" w:lineRule="auto"/>
        <w:rPr>
          <w:rFonts w:ascii="Arial" w:hAnsi="Arial" w:cs="Arial"/>
          <w:bCs/>
        </w:rPr>
      </w:pPr>
    </w:p>
    <w:p w14:paraId="39B7175C" w14:textId="77777777" w:rsidR="00091CBA" w:rsidRPr="00AC2195" w:rsidRDefault="00091CBA" w:rsidP="00AC2195">
      <w:pPr>
        <w:spacing w:line="360" w:lineRule="auto"/>
        <w:rPr>
          <w:rFonts w:ascii="Arial" w:hAnsi="Arial" w:cs="Arial"/>
          <w:bCs/>
        </w:rPr>
      </w:pPr>
    </w:p>
    <w:p w14:paraId="506B8FC2" w14:textId="4F15ACE8" w:rsidR="00847C3C" w:rsidRDefault="006766C5" w:rsidP="006766C5">
      <w:pPr>
        <w:pStyle w:val="Heading1"/>
        <w:rPr>
          <w:rFonts w:ascii="Arial" w:hAnsi="Arial" w:cs="Arial"/>
          <w:b/>
          <w:color w:val="000000" w:themeColor="text1"/>
          <w:sz w:val="44"/>
          <w:szCs w:val="44"/>
        </w:rPr>
      </w:pPr>
      <w:bookmarkStart w:id="8" w:name="_Toc11930011"/>
      <w:bookmarkStart w:id="9" w:name="_Toc16075325"/>
      <w:bookmarkStart w:id="10" w:name="_Toc16236953"/>
      <w:bookmarkStart w:id="11" w:name="_Toc11926785"/>
      <w:bookmarkStart w:id="12" w:name="_Toc16239697"/>
      <w:bookmarkStart w:id="13" w:name="_Toc11925661"/>
      <w:bookmarkStart w:id="14" w:name="_Toc11926438"/>
      <w:bookmarkStart w:id="15" w:name="_Toc11926740"/>
      <w:bookmarkStart w:id="16" w:name="_Toc12363332"/>
      <w:bookmarkStart w:id="17" w:name="_Toc16234112"/>
      <w:bookmarkStart w:id="18" w:name="_Toc16236178"/>
      <w:bookmarkStart w:id="19" w:name="_Toc16236729"/>
      <w:bookmarkStart w:id="20" w:name="_Toc16236870"/>
      <w:bookmarkStart w:id="21" w:name="_Toc16236909"/>
      <w:bookmarkStart w:id="22" w:name="_Toc16239656"/>
      <w:r w:rsidRPr="006766C5">
        <w:rPr>
          <w:rFonts w:ascii="Arial" w:hAnsi="Arial" w:cs="Arial"/>
          <w:b/>
          <w:color w:val="000000" w:themeColor="text1"/>
          <w:sz w:val="44"/>
          <w:szCs w:val="44"/>
        </w:rPr>
        <w:lastRenderedPageBreak/>
        <w:t>List of Tables</w:t>
      </w:r>
      <w:bookmarkEnd w:id="8"/>
      <w:bookmarkEnd w:id="9"/>
      <w:bookmarkEnd w:id="10"/>
    </w:p>
    <w:p w14:paraId="0D970E6F" w14:textId="77777777" w:rsidR="00EF5751" w:rsidRPr="00EF5751" w:rsidRDefault="00EF5751" w:rsidP="00EF5751"/>
    <w:p w14:paraId="285A904C" w14:textId="26300800" w:rsidR="002E55BD" w:rsidRPr="00475CB6" w:rsidRDefault="002E55BD" w:rsidP="00170639">
      <w:pPr>
        <w:pStyle w:val="Caption"/>
        <w:keepNext/>
        <w:spacing w:line="276" w:lineRule="auto"/>
        <w:ind w:left="567" w:right="-30" w:hanging="567"/>
        <w:jc w:val="both"/>
        <w:rPr>
          <w:rFonts w:ascii="Arial" w:hAnsi="Arial" w:cs="Arial"/>
          <w:b/>
          <w:bCs/>
          <w:i w:val="0"/>
          <w:color w:val="000000" w:themeColor="text1"/>
          <w:sz w:val="24"/>
          <w:szCs w:val="24"/>
        </w:rPr>
      </w:pPr>
      <w:r w:rsidRPr="00170F98">
        <w:rPr>
          <w:rFonts w:ascii="Arial" w:hAnsi="Arial" w:cs="Arial"/>
          <w:b/>
          <w:i w:val="0"/>
          <w:color w:val="000000" w:themeColor="text1"/>
          <w:sz w:val="24"/>
          <w:szCs w:val="24"/>
        </w:rPr>
        <w:t xml:space="preserve">Table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Table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170F98">
        <w:rPr>
          <w:rFonts w:ascii="Arial" w:hAnsi="Arial" w:cs="Arial"/>
          <w:i w:val="0"/>
          <w:color w:val="000000" w:themeColor="text1"/>
          <w:sz w:val="24"/>
          <w:szCs w:val="24"/>
        </w:rPr>
        <w:t xml:space="preserve"> No significant difference in loglinear d prime between equal and unequal change distribution analyses for any attentional focus condition</w:t>
      </w:r>
      <w:r>
        <w:rPr>
          <w:rFonts w:ascii="Arial" w:hAnsi="Arial" w:cs="Arial"/>
          <w:i w:val="0"/>
          <w:color w:val="000000" w:themeColor="text1"/>
          <w:sz w:val="24"/>
          <w:szCs w:val="24"/>
        </w:rPr>
        <w:t>.</w:t>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t xml:space="preserve">                      </w:t>
      </w:r>
      <w:r w:rsidRPr="00475CB6">
        <w:rPr>
          <w:rFonts w:ascii="Arial" w:hAnsi="Arial" w:cs="Arial"/>
          <w:b/>
          <w:bCs/>
          <w:i w:val="0"/>
          <w:color w:val="000000" w:themeColor="text1"/>
          <w:sz w:val="24"/>
          <w:szCs w:val="24"/>
        </w:rPr>
        <w:t>9</w:t>
      </w:r>
      <w:r w:rsidR="007B3A25">
        <w:rPr>
          <w:rFonts w:ascii="Arial" w:hAnsi="Arial" w:cs="Arial"/>
          <w:b/>
          <w:bCs/>
          <w:i w:val="0"/>
          <w:color w:val="000000" w:themeColor="text1"/>
          <w:sz w:val="24"/>
          <w:szCs w:val="24"/>
        </w:rPr>
        <w:t>2</w:t>
      </w:r>
    </w:p>
    <w:p w14:paraId="355E82A9" w14:textId="3CAFB4B0" w:rsidR="002E55BD" w:rsidRPr="00170F98" w:rsidRDefault="002E55BD" w:rsidP="00170639">
      <w:pPr>
        <w:pStyle w:val="Caption"/>
        <w:keepNext/>
        <w:spacing w:line="276" w:lineRule="auto"/>
        <w:ind w:left="567" w:right="-30" w:hanging="567"/>
        <w:jc w:val="both"/>
        <w:rPr>
          <w:rFonts w:ascii="Arial" w:hAnsi="Arial" w:cs="Arial"/>
          <w:i w:val="0"/>
          <w:color w:val="000000" w:themeColor="text1"/>
          <w:sz w:val="24"/>
          <w:szCs w:val="24"/>
        </w:rPr>
      </w:pPr>
      <w:r w:rsidRPr="00170F98">
        <w:rPr>
          <w:rFonts w:ascii="Arial" w:hAnsi="Arial" w:cs="Arial"/>
          <w:b/>
          <w:i w:val="0"/>
          <w:color w:val="000000" w:themeColor="text1"/>
          <w:sz w:val="24"/>
          <w:szCs w:val="24"/>
        </w:rPr>
        <w:t xml:space="preserve">Table </w:t>
      </w:r>
      <w:r w:rsidRPr="00170F98">
        <w:rPr>
          <w:rFonts w:ascii="Arial" w:hAnsi="Arial" w:cs="Arial"/>
          <w:b/>
          <w:i w:val="0"/>
          <w:color w:val="000000" w:themeColor="text1"/>
          <w:sz w:val="24"/>
          <w:szCs w:val="24"/>
        </w:rPr>
        <w:fldChar w:fldCharType="begin"/>
      </w:r>
      <w:r w:rsidRPr="00170F98">
        <w:rPr>
          <w:rFonts w:ascii="Arial" w:hAnsi="Arial" w:cs="Arial"/>
          <w:b/>
          <w:i w:val="0"/>
          <w:color w:val="000000" w:themeColor="text1"/>
          <w:sz w:val="24"/>
          <w:szCs w:val="24"/>
        </w:rPr>
        <w:instrText xml:space="preserve"> STYLEREF 1 \s </w:instrText>
      </w:r>
      <w:r w:rsidRPr="00170F98">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sidRPr="00170F98">
        <w:rPr>
          <w:rFonts w:ascii="Arial" w:hAnsi="Arial" w:cs="Arial"/>
          <w:b/>
          <w:i w:val="0"/>
          <w:color w:val="000000" w:themeColor="text1"/>
          <w:sz w:val="24"/>
          <w:szCs w:val="24"/>
        </w:rPr>
        <w:fldChar w:fldCharType="end"/>
      </w:r>
      <w:r w:rsidRPr="00170F98">
        <w:rPr>
          <w:rFonts w:ascii="Arial" w:hAnsi="Arial" w:cs="Arial"/>
          <w:b/>
          <w:i w:val="0"/>
          <w:color w:val="000000" w:themeColor="text1"/>
          <w:sz w:val="24"/>
          <w:szCs w:val="24"/>
        </w:rPr>
        <w:t>.</w:t>
      </w:r>
      <w:r w:rsidRPr="00170F98">
        <w:rPr>
          <w:rFonts w:ascii="Arial" w:hAnsi="Arial" w:cs="Arial"/>
          <w:b/>
          <w:i w:val="0"/>
          <w:color w:val="000000" w:themeColor="text1"/>
          <w:sz w:val="24"/>
          <w:szCs w:val="24"/>
        </w:rPr>
        <w:fldChar w:fldCharType="begin"/>
      </w:r>
      <w:r w:rsidRPr="00170F98">
        <w:rPr>
          <w:rFonts w:ascii="Arial" w:hAnsi="Arial" w:cs="Arial"/>
          <w:b/>
          <w:i w:val="0"/>
          <w:color w:val="000000" w:themeColor="text1"/>
          <w:sz w:val="24"/>
          <w:szCs w:val="24"/>
        </w:rPr>
        <w:instrText xml:space="preserve"> SEQ Table \* ARABIC \s 1 </w:instrText>
      </w:r>
      <w:r w:rsidRPr="00170F98">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sidRPr="00170F98">
        <w:rPr>
          <w:rFonts w:ascii="Arial" w:hAnsi="Arial" w:cs="Arial"/>
          <w:b/>
          <w:i w:val="0"/>
          <w:color w:val="000000" w:themeColor="text1"/>
          <w:sz w:val="24"/>
          <w:szCs w:val="24"/>
        </w:rPr>
        <w:fldChar w:fldCharType="end"/>
      </w:r>
      <w:r w:rsidRPr="00170F98">
        <w:rPr>
          <w:rFonts w:ascii="Arial" w:hAnsi="Arial" w:cs="Arial"/>
          <w:i w:val="0"/>
          <w:color w:val="000000" w:themeColor="text1"/>
          <w:sz w:val="24"/>
          <w:szCs w:val="24"/>
        </w:rPr>
        <w:t xml:space="preserve"> No significant difference in mean reaction time between equal and unequal change distribution analyses for any attentional focus condition</w:t>
      </w:r>
      <w:r>
        <w:rPr>
          <w:rFonts w:ascii="Arial" w:hAnsi="Arial" w:cs="Arial"/>
          <w:i w:val="0"/>
          <w:color w:val="000000" w:themeColor="text1"/>
          <w:sz w:val="24"/>
          <w:szCs w:val="24"/>
        </w:rPr>
        <w:t>.</w:t>
      </w:r>
      <w:r>
        <w:rPr>
          <w:rFonts w:ascii="Arial" w:hAnsi="Arial" w:cs="Arial"/>
          <w:i w:val="0"/>
          <w:color w:val="000000" w:themeColor="text1"/>
          <w:sz w:val="24"/>
          <w:szCs w:val="24"/>
        </w:rPr>
        <w:tab/>
      </w:r>
      <w:r>
        <w:rPr>
          <w:rFonts w:ascii="Arial" w:hAnsi="Arial" w:cs="Arial"/>
          <w:i w:val="0"/>
          <w:color w:val="000000" w:themeColor="text1"/>
          <w:sz w:val="24"/>
          <w:szCs w:val="24"/>
        </w:rPr>
        <w:tab/>
        <w:t xml:space="preserve"> </w:t>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r>
      <w:r>
        <w:rPr>
          <w:rFonts w:ascii="Arial" w:hAnsi="Arial" w:cs="Arial"/>
          <w:i w:val="0"/>
          <w:color w:val="000000" w:themeColor="text1"/>
          <w:sz w:val="24"/>
          <w:szCs w:val="24"/>
        </w:rPr>
        <w:tab/>
      </w:r>
      <w:r w:rsidRPr="00475CB6">
        <w:rPr>
          <w:rFonts w:ascii="Arial" w:hAnsi="Arial" w:cs="Arial"/>
          <w:b/>
          <w:bCs/>
          <w:i w:val="0"/>
          <w:color w:val="000000" w:themeColor="text1"/>
          <w:sz w:val="24"/>
          <w:szCs w:val="24"/>
        </w:rPr>
        <w:t>9</w:t>
      </w:r>
      <w:r w:rsidR="007B3A25">
        <w:rPr>
          <w:rFonts w:ascii="Arial" w:hAnsi="Arial" w:cs="Arial"/>
          <w:b/>
          <w:bCs/>
          <w:i w:val="0"/>
          <w:color w:val="000000" w:themeColor="text1"/>
          <w:sz w:val="24"/>
          <w:szCs w:val="24"/>
        </w:rPr>
        <w:t>3</w:t>
      </w:r>
    </w:p>
    <w:p w14:paraId="05C75913" w14:textId="5602FD15" w:rsidR="002E55BD" w:rsidRPr="00475CB6" w:rsidRDefault="002E55BD" w:rsidP="00170639">
      <w:pPr>
        <w:pStyle w:val="Caption"/>
        <w:keepNext/>
        <w:spacing w:line="276" w:lineRule="auto"/>
        <w:ind w:left="567" w:right="-30" w:hanging="567"/>
        <w:rPr>
          <w:rFonts w:ascii="Arial" w:hAnsi="Arial" w:cs="Arial"/>
          <w:b/>
          <w:bCs/>
          <w:i w:val="0"/>
          <w:iCs w:val="0"/>
          <w:color w:val="000000" w:themeColor="text1"/>
          <w:sz w:val="24"/>
          <w:szCs w:val="24"/>
        </w:rPr>
      </w:pPr>
      <w:r w:rsidRPr="00A92335">
        <w:rPr>
          <w:rFonts w:ascii="Arial" w:hAnsi="Arial" w:cs="Arial"/>
          <w:b/>
          <w:bCs/>
          <w:i w:val="0"/>
          <w:iCs w:val="0"/>
          <w:color w:val="000000" w:themeColor="text1"/>
          <w:sz w:val="24"/>
          <w:szCs w:val="24"/>
        </w:rPr>
        <w:t>Table 4.</w:t>
      </w:r>
      <w:r>
        <w:rPr>
          <w:rFonts w:ascii="Arial" w:hAnsi="Arial" w:cs="Arial"/>
          <w:b/>
          <w:bCs/>
          <w:i w:val="0"/>
          <w:iCs w:val="0"/>
          <w:color w:val="000000" w:themeColor="text1"/>
          <w:sz w:val="24"/>
          <w:szCs w:val="24"/>
        </w:rPr>
        <w:t xml:space="preserve">1 </w:t>
      </w:r>
      <w:r>
        <w:rPr>
          <w:rFonts w:ascii="Arial" w:hAnsi="Arial" w:cs="Arial"/>
          <w:i w:val="0"/>
          <w:iCs w:val="0"/>
          <w:color w:val="000000" w:themeColor="text1"/>
          <w:sz w:val="24"/>
          <w:szCs w:val="24"/>
        </w:rPr>
        <w:t xml:space="preserve">Attention directed toward orientation, contrast and shape can be decoded through two-way classification in visual ROIs.  </w:t>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t xml:space="preserve">          </w:t>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sidRPr="00475CB6">
        <w:rPr>
          <w:rFonts w:ascii="Arial" w:hAnsi="Arial" w:cs="Arial"/>
          <w:b/>
          <w:bCs/>
          <w:i w:val="0"/>
          <w:iCs w:val="0"/>
          <w:color w:val="000000" w:themeColor="text1"/>
          <w:sz w:val="24"/>
          <w:szCs w:val="24"/>
        </w:rPr>
        <w:t xml:space="preserve">         12</w:t>
      </w:r>
      <w:r w:rsidR="007B3A25">
        <w:rPr>
          <w:rFonts w:ascii="Arial" w:hAnsi="Arial" w:cs="Arial"/>
          <w:b/>
          <w:bCs/>
          <w:i w:val="0"/>
          <w:iCs w:val="0"/>
          <w:color w:val="000000" w:themeColor="text1"/>
          <w:sz w:val="24"/>
          <w:szCs w:val="24"/>
        </w:rPr>
        <w:t>4</w:t>
      </w:r>
    </w:p>
    <w:p w14:paraId="4BB0F2E9" w14:textId="28694A04" w:rsidR="002E55BD" w:rsidRPr="00475CB6" w:rsidRDefault="002E55BD" w:rsidP="00170639">
      <w:pPr>
        <w:pStyle w:val="Caption"/>
        <w:keepNext/>
        <w:spacing w:line="276" w:lineRule="auto"/>
        <w:ind w:left="567" w:right="-30" w:hanging="567"/>
        <w:rPr>
          <w:rFonts w:ascii="Arial" w:hAnsi="Arial" w:cs="Arial"/>
          <w:b/>
          <w:bCs/>
          <w:i w:val="0"/>
          <w:iCs w:val="0"/>
          <w:color w:val="000000" w:themeColor="text1"/>
          <w:sz w:val="24"/>
          <w:szCs w:val="24"/>
        </w:rPr>
      </w:pPr>
      <w:r w:rsidRPr="00A92335">
        <w:rPr>
          <w:rFonts w:ascii="Arial" w:hAnsi="Arial" w:cs="Arial"/>
          <w:b/>
          <w:bCs/>
          <w:i w:val="0"/>
          <w:iCs w:val="0"/>
          <w:color w:val="000000" w:themeColor="text1"/>
          <w:sz w:val="24"/>
          <w:szCs w:val="24"/>
        </w:rPr>
        <w:t xml:space="preserve">Table </w:t>
      </w:r>
      <w:r>
        <w:rPr>
          <w:rFonts w:ascii="Arial" w:hAnsi="Arial" w:cs="Arial"/>
          <w:b/>
          <w:bCs/>
          <w:i w:val="0"/>
          <w:iCs w:val="0"/>
          <w:color w:val="000000" w:themeColor="text1"/>
          <w:sz w:val="24"/>
          <w:szCs w:val="24"/>
        </w:rPr>
        <w:t>5</w:t>
      </w:r>
      <w:r w:rsidRPr="00A92335">
        <w:rPr>
          <w:rFonts w:ascii="Arial" w:hAnsi="Arial" w:cs="Arial"/>
          <w:b/>
          <w:bCs/>
          <w:i w:val="0"/>
          <w:iCs w:val="0"/>
          <w:color w:val="000000" w:themeColor="text1"/>
          <w:sz w:val="24"/>
          <w:szCs w:val="24"/>
        </w:rPr>
        <w:t>.</w:t>
      </w:r>
      <w:r>
        <w:rPr>
          <w:rFonts w:ascii="Arial" w:hAnsi="Arial" w:cs="Arial"/>
          <w:b/>
          <w:bCs/>
          <w:i w:val="0"/>
          <w:iCs w:val="0"/>
          <w:color w:val="000000" w:themeColor="text1"/>
          <w:sz w:val="24"/>
          <w:szCs w:val="24"/>
        </w:rPr>
        <w:t xml:space="preserve">1 </w:t>
      </w:r>
      <w:r>
        <w:rPr>
          <w:rFonts w:ascii="Arial" w:hAnsi="Arial" w:cs="Arial"/>
          <w:i w:val="0"/>
          <w:iCs w:val="0"/>
          <w:color w:val="000000" w:themeColor="text1"/>
          <w:sz w:val="24"/>
          <w:szCs w:val="24"/>
        </w:rPr>
        <w:t xml:space="preserve">Attention directed toward orientation, contrast and shape can be decoded through two-way classification in visual ROIs.  </w:t>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t xml:space="preserve">          </w:t>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t xml:space="preserve">         </w:t>
      </w:r>
      <w:r w:rsidRPr="00475CB6">
        <w:rPr>
          <w:rFonts w:ascii="Arial" w:hAnsi="Arial" w:cs="Arial"/>
          <w:b/>
          <w:bCs/>
          <w:i w:val="0"/>
          <w:iCs w:val="0"/>
          <w:color w:val="000000" w:themeColor="text1"/>
          <w:sz w:val="24"/>
          <w:szCs w:val="24"/>
        </w:rPr>
        <w:t>17</w:t>
      </w:r>
      <w:r w:rsidR="007B3A25">
        <w:rPr>
          <w:rFonts w:ascii="Arial" w:hAnsi="Arial" w:cs="Arial"/>
          <w:b/>
          <w:bCs/>
          <w:i w:val="0"/>
          <w:iCs w:val="0"/>
          <w:color w:val="000000" w:themeColor="text1"/>
          <w:sz w:val="24"/>
          <w:szCs w:val="24"/>
        </w:rPr>
        <w:t>0</w:t>
      </w:r>
    </w:p>
    <w:p w14:paraId="5E63B9A5" w14:textId="157D47EB" w:rsidR="002E55BD" w:rsidRPr="00475CB6" w:rsidRDefault="002E55BD" w:rsidP="00170639">
      <w:pPr>
        <w:pStyle w:val="Caption"/>
        <w:keepNext/>
        <w:spacing w:line="276" w:lineRule="auto"/>
        <w:ind w:left="567" w:right="-30" w:hanging="567"/>
        <w:rPr>
          <w:rFonts w:ascii="Arial" w:hAnsi="Arial" w:cs="Arial"/>
          <w:b/>
          <w:bCs/>
          <w:i w:val="0"/>
          <w:iCs w:val="0"/>
          <w:color w:val="000000" w:themeColor="text1"/>
          <w:sz w:val="24"/>
          <w:szCs w:val="24"/>
        </w:rPr>
      </w:pPr>
      <w:r w:rsidRPr="00A92335">
        <w:rPr>
          <w:rFonts w:ascii="Arial" w:hAnsi="Arial" w:cs="Arial"/>
          <w:b/>
          <w:bCs/>
          <w:i w:val="0"/>
          <w:iCs w:val="0"/>
          <w:color w:val="000000" w:themeColor="text1"/>
          <w:sz w:val="24"/>
          <w:szCs w:val="24"/>
        </w:rPr>
        <w:t xml:space="preserve">Table </w:t>
      </w:r>
      <w:r>
        <w:rPr>
          <w:rFonts w:ascii="Arial" w:hAnsi="Arial" w:cs="Arial"/>
          <w:b/>
          <w:bCs/>
          <w:i w:val="0"/>
          <w:iCs w:val="0"/>
          <w:color w:val="000000" w:themeColor="text1"/>
          <w:sz w:val="24"/>
          <w:szCs w:val="24"/>
        </w:rPr>
        <w:t>5</w:t>
      </w:r>
      <w:r w:rsidRPr="00A92335">
        <w:rPr>
          <w:rFonts w:ascii="Arial" w:hAnsi="Arial" w:cs="Arial"/>
          <w:b/>
          <w:bCs/>
          <w:i w:val="0"/>
          <w:iCs w:val="0"/>
          <w:color w:val="000000" w:themeColor="text1"/>
          <w:sz w:val="24"/>
          <w:szCs w:val="24"/>
        </w:rPr>
        <w:t>.</w:t>
      </w:r>
      <w:r>
        <w:rPr>
          <w:rFonts w:ascii="Arial" w:hAnsi="Arial" w:cs="Arial"/>
          <w:b/>
          <w:bCs/>
          <w:i w:val="0"/>
          <w:iCs w:val="0"/>
          <w:color w:val="000000" w:themeColor="text1"/>
          <w:sz w:val="24"/>
          <w:szCs w:val="24"/>
        </w:rPr>
        <w:t xml:space="preserve">2 </w:t>
      </w:r>
      <w:r>
        <w:rPr>
          <w:rFonts w:ascii="Arial" w:hAnsi="Arial" w:cs="Arial"/>
          <w:i w:val="0"/>
          <w:iCs w:val="0"/>
          <w:color w:val="000000" w:themeColor="text1"/>
          <w:sz w:val="24"/>
          <w:szCs w:val="24"/>
        </w:rPr>
        <w:t xml:space="preserve">Attention directed toward red-green, blue-yellow and achromatic stimuli can be decoded through two-way classification in visual ROIs.  </w:t>
      </w:r>
      <w:r>
        <w:rPr>
          <w:rFonts w:ascii="Arial" w:hAnsi="Arial" w:cs="Arial"/>
          <w:i w:val="0"/>
          <w:iCs w:val="0"/>
          <w:color w:val="000000" w:themeColor="text1"/>
          <w:sz w:val="24"/>
          <w:szCs w:val="24"/>
        </w:rPr>
        <w:tab/>
        <w:t xml:space="preserve">          </w:t>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sidRPr="00475CB6">
        <w:rPr>
          <w:rFonts w:ascii="Arial" w:hAnsi="Arial" w:cs="Arial"/>
          <w:b/>
          <w:bCs/>
          <w:i w:val="0"/>
          <w:iCs w:val="0"/>
          <w:color w:val="000000" w:themeColor="text1"/>
          <w:sz w:val="24"/>
          <w:szCs w:val="24"/>
        </w:rPr>
        <w:t xml:space="preserve">         17</w:t>
      </w:r>
      <w:r w:rsidR="007B3A25">
        <w:rPr>
          <w:rFonts w:ascii="Arial" w:hAnsi="Arial" w:cs="Arial"/>
          <w:b/>
          <w:bCs/>
          <w:i w:val="0"/>
          <w:iCs w:val="0"/>
          <w:color w:val="000000" w:themeColor="text1"/>
          <w:sz w:val="24"/>
          <w:szCs w:val="24"/>
        </w:rPr>
        <w:t>4</w:t>
      </w:r>
    </w:p>
    <w:p w14:paraId="32D5E973" w14:textId="2CE5EC07" w:rsidR="002E55BD" w:rsidRPr="00475CB6" w:rsidRDefault="002E55BD" w:rsidP="00170639">
      <w:pPr>
        <w:pStyle w:val="Caption"/>
        <w:keepNext/>
        <w:spacing w:line="276" w:lineRule="auto"/>
        <w:ind w:left="567" w:right="-52" w:hanging="567"/>
        <w:rPr>
          <w:rFonts w:ascii="Arial" w:hAnsi="Arial" w:cs="Arial"/>
          <w:b/>
          <w:bCs/>
          <w:i w:val="0"/>
          <w:iCs w:val="0"/>
          <w:color w:val="000000" w:themeColor="text1"/>
          <w:sz w:val="24"/>
          <w:szCs w:val="24"/>
        </w:rPr>
      </w:pPr>
      <w:r w:rsidRPr="00A92335">
        <w:rPr>
          <w:rFonts w:ascii="Arial" w:hAnsi="Arial" w:cs="Arial"/>
          <w:b/>
          <w:bCs/>
          <w:i w:val="0"/>
          <w:iCs w:val="0"/>
          <w:color w:val="000000" w:themeColor="text1"/>
          <w:sz w:val="24"/>
          <w:szCs w:val="24"/>
        </w:rPr>
        <w:t xml:space="preserve">Table </w:t>
      </w:r>
      <w:r>
        <w:rPr>
          <w:rFonts w:ascii="Arial" w:hAnsi="Arial" w:cs="Arial"/>
          <w:b/>
          <w:bCs/>
          <w:i w:val="0"/>
          <w:iCs w:val="0"/>
          <w:color w:val="000000" w:themeColor="text1"/>
          <w:sz w:val="24"/>
          <w:szCs w:val="24"/>
        </w:rPr>
        <w:t>6</w:t>
      </w:r>
      <w:r w:rsidRPr="00A92335">
        <w:rPr>
          <w:rFonts w:ascii="Arial" w:hAnsi="Arial" w:cs="Arial"/>
          <w:b/>
          <w:bCs/>
          <w:i w:val="0"/>
          <w:iCs w:val="0"/>
          <w:color w:val="000000" w:themeColor="text1"/>
          <w:sz w:val="24"/>
          <w:szCs w:val="24"/>
        </w:rPr>
        <w:t>.</w:t>
      </w:r>
      <w:r>
        <w:rPr>
          <w:rFonts w:ascii="Arial" w:hAnsi="Arial" w:cs="Arial"/>
          <w:b/>
          <w:bCs/>
          <w:i w:val="0"/>
          <w:iCs w:val="0"/>
          <w:color w:val="000000" w:themeColor="text1"/>
          <w:sz w:val="24"/>
          <w:szCs w:val="24"/>
        </w:rPr>
        <w:t xml:space="preserve">1 </w:t>
      </w:r>
      <w:r>
        <w:rPr>
          <w:rFonts w:ascii="Arial" w:hAnsi="Arial" w:cs="Arial"/>
          <w:i w:val="0"/>
          <w:iCs w:val="0"/>
          <w:color w:val="000000" w:themeColor="text1"/>
          <w:sz w:val="24"/>
          <w:szCs w:val="24"/>
        </w:rPr>
        <w:t xml:space="preserve">Almost all visual ROIs exhibit significantly greater BOLD signal modulation during attention versus an absence of signal.   </w:t>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t xml:space="preserve">         </w:t>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sidRPr="00475CB6">
        <w:rPr>
          <w:rFonts w:ascii="Arial" w:hAnsi="Arial" w:cs="Arial"/>
          <w:b/>
          <w:bCs/>
          <w:i w:val="0"/>
          <w:iCs w:val="0"/>
          <w:color w:val="000000" w:themeColor="text1"/>
          <w:sz w:val="24"/>
          <w:szCs w:val="24"/>
        </w:rPr>
        <w:t xml:space="preserve">         2</w:t>
      </w:r>
      <w:r w:rsidR="007B3A25">
        <w:rPr>
          <w:rFonts w:ascii="Arial" w:hAnsi="Arial" w:cs="Arial"/>
          <w:b/>
          <w:bCs/>
          <w:i w:val="0"/>
          <w:iCs w:val="0"/>
          <w:color w:val="000000" w:themeColor="text1"/>
          <w:sz w:val="24"/>
          <w:szCs w:val="24"/>
        </w:rPr>
        <w:t>06</w:t>
      </w:r>
    </w:p>
    <w:p w14:paraId="5369B9F1" w14:textId="33CD7BFD" w:rsidR="002E55BD" w:rsidRPr="00475CB6" w:rsidRDefault="002E55BD" w:rsidP="00170639">
      <w:pPr>
        <w:pStyle w:val="Caption"/>
        <w:keepNext/>
        <w:spacing w:line="276" w:lineRule="auto"/>
        <w:ind w:left="567" w:right="-30" w:hanging="567"/>
        <w:rPr>
          <w:rFonts w:ascii="Arial" w:hAnsi="Arial" w:cs="Arial"/>
          <w:b/>
          <w:bCs/>
          <w:i w:val="0"/>
          <w:iCs w:val="0"/>
          <w:color w:val="000000" w:themeColor="text1"/>
          <w:sz w:val="24"/>
          <w:szCs w:val="24"/>
        </w:rPr>
      </w:pPr>
      <w:r w:rsidRPr="00A92335">
        <w:rPr>
          <w:rFonts w:ascii="Arial" w:hAnsi="Arial" w:cs="Arial"/>
          <w:b/>
          <w:bCs/>
          <w:i w:val="0"/>
          <w:iCs w:val="0"/>
          <w:color w:val="000000" w:themeColor="text1"/>
          <w:sz w:val="24"/>
          <w:szCs w:val="24"/>
        </w:rPr>
        <w:t xml:space="preserve">Table </w:t>
      </w:r>
      <w:r>
        <w:rPr>
          <w:rFonts w:ascii="Arial" w:hAnsi="Arial" w:cs="Arial"/>
          <w:b/>
          <w:bCs/>
          <w:i w:val="0"/>
          <w:iCs w:val="0"/>
          <w:color w:val="000000" w:themeColor="text1"/>
          <w:sz w:val="24"/>
          <w:szCs w:val="24"/>
        </w:rPr>
        <w:t xml:space="preserve">6.2 </w:t>
      </w:r>
      <w:r>
        <w:rPr>
          <w:rFonts w:ascii="Arial" w:hAnsi="Arial" w:cs="Arial"/>
          <w:i w:val="0"/>
          <w:iCs w:val="0"/>
          <w:color w:val="000000" w:themeColor="text1"/>
          <w:sz w:val="24"/>
          <w:szCs w:val="24"/>
        </w:rPr>
        <w:t>Above-chance classification is predominantly driven by differences in multivariate patterns of activation between attention to low-level visual features and faces.</w:t>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t xml:space="preserve">         </w:t>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Pr>
          <w:rFonts w:ascii="Arial" w:hAnsi="Arial" w:cs="Arial"/>
          <w:i w:val="0"/>
          <w:iCs w:val="0"/>
          <w:color w:val="000000" w:themeColor="text1"/>
          <w:sz w:val="24"/>
          <w:szCs w:val="24"/>
        </w:rPr>
        <w:tab/>
      </w:r>
      <w:r w:rsidRPr="00475CB6">
        <w:rPr>
          <w:rFonts w:ascii="Arial" w:hAnsi="Arial" w:cs="Arial"/>
          <w:b/>
          <w:bCs/>
          <w:i w:val="0"/>
          <w:iCs w:val="0"/>
          <w:color w:val="000000" w:themeColor="text1"/>
          <w:sz w:val="24"/>
          <w:szCs w:val="24"/>
        </w:rPr>
        <w:t xml:space="preserve">                                         21</w:t>
      </w:r>
      <w:r w:rsidR="007B3A25">
        <w:rPr>
          <w:rFonts w:ascii="Arial" w:hAnsi="Arial" w:cs="Arial"/>
          <w:b/>
          <w:bCs/>
          <w:i w:val="0"/>
          <w:iCs w:val="0"/>
          <w:color w:val="000000" w:themeColor="text1"/>
          <w:sz w:val="24"/>
          <w:szCs w:val="24"/>
        </w:rPr>
        <w:t>3</w:t>
      </w:r>
    </w:p>
    <w:p w14:paraId="1E554C54" w14:textId="6FD6CF1A" w:rsidR="006766C5" w:rsidRPr="006766C5" w:rsidRDefault="006766C5" w:rsidP="00170639">
      <w:pPr>
        <w:spacing w:line="276" w:lineRule="auto"/>
      </w:pPr>
    </w:p>
    <w:p w14:paraId="495DFBDF" w14:textId="77777777" w:rsidR="00847C3C" w:rsidRDefault="00847C3C" w:rsidP="00847C3C"/>
    <w:p w14:paraId="35946D2F" w14:textId="77777777" w:rsidR="00847C3C" w:rsidRDefault="00847C3C" w:rsidP="00847C3C"/>
    <w:p w14:paraId="1A2D6F61" w14:textId="77777777" w:rsidR="00847C3C" w:rsidRDefault="00847C3C" w:rsidP="00847C3C"/>
    <w:p w14:paraId="5C16A4C4" w14:textId="77777777" w:rsidR="00847C3C" w:rsidRDefault="00847C3C" w:rsidP="00847C3C"/>
    <w:p w14:paraId="6BBBECCF" w14:textId="77777777" w:rsidR="00847C3C" w:rsidRDefault="00847C3C" w:rsidP="00847C3C"/>
    <w:p w14:paraId="2378B9D6" w14:textId="77777777" w:rsidR="00847C3C" w:rsidRDefault="00847C3C" w:rsidP="00847C3C"/>
    <w:p w14:paraId="697E0B4D" w14:textId="77777777" w:rsidR="00847C3C" w:rsidRDefault="00847C3C" w:rsidP="00847C3C"/>
    <w:p w14:paraId="23846A88" w14:textId="133CAF24" w:rsidR="00847C3C" w:rsidRDefault="00847C3C" w:rsidP="00847C3C"/>
    <w:p w14:paraId="1A17ADA8" w14:textId="196DB4A4" w:rsidR="002E55BD" w:rsidRDefault="002E55BD" w:rsidP="00847C3C"/>
    <w:p w14:paraId="20B7AA4F" w14:textId="410D4B0D" w:rsidR="002E55BD" w:rsidRDefault="002E55BD" w:rsidP="00847C3C"/>
    <w:p w14:paraId="36050DF6" w14:textId="7AF560D8" w:rsidR="002E55BD" w:rsidRDefault="002E55BD" w:rsidP="00847C3C"/>
    <w:p w14:paraId="32912D70" w14:textId="4692B43A" w:rsidR="002E55BD" w:rsidRDefault="002E55BD" w:rsidP="00847C3C"/>
    <w:p w14:paraId="0518F9C7" w14:textId="77777777" w:rsidR="00AE6937" w:rsidRDefault="00AE6937" w:rsidP="00847C3C"/>
    <w:p w14:paraId="50377AF0" w14:textId="77777777" w:rsidR="002E55BD" w:rsidRDefault="002E55BD" w:rsidP="00847C3C"/>
    <w:p w14:paraId="0D288CE5" w14:textId="332F9777" w:rsidR="00847C3C" w:rsidRDefault="006766C5" w:rsidP="006766C5">
      <w:pPr>
        <w:pStyle w:val="Heading1"/>
        <w:rPr>
          <w:rFonts w:ascii="Arial" w:hAnsi="Arial" w:cs="Arial"/>
          <w:b/>
          <w:color w:val="000000" w:themeColor="text1"/>
          <w:sz w:val="44"/>
          <w:szCs w:val="44"/>
        </w:rPr>
      </w:pPr>
      <w:bookmarkStart w:id="23" w:name="_Toc11930012"/>
      <w:bookmarkStart w:id="24" w:name="_Toc16075326"/>
      <w:bookmarkStart w:id="25" w:name="_Toc16236954"/>
      <w:r w:rsidRPr="006766C5">
        <w:rPr>
          <w:rFonts w:ascii="Arial" w:hAnsi="Arial" w:cs="Arial"/>
          <w:b/>
          <w:color w:val="000000" w:themeColor="text1"/>
          <w:sz w:val="44"/>
          <w:szCs w:val="44"/>
        </w:rPr>
        <w:lastRenderedPageBreak/>
        <w:t>List of Figures</w:t>
      </w:r>
      <w:bookmarkEnd w:id="23"/>
      <w:bookmarkEnd w:id="24"/>
      <w:bookmarkEnd w:id="25"/>
    </w:p>
    <w:p w14:paraId="43D27743" w14:textId="77777777" w:rsidR="002E55BD" w:rsidRPr="00170639" w:rsidRDefault="002E55BD" w:rsidP="00170639"/>
    <w:p w14:paraId="4C0B32BA" w14:textId="77777777" w:rsidR="002E55BD" w:rsidRDefault="002E55BD" w:rsidP="00170639">
      <w:pPr>
        <w:pStyle w:val="Caption"/>
        <w:spacing w:line="276" w:lineRule="auto"/>
        <w:ind w:left="567" w:hanging="567"/>
        <w:jc w:val="both"/>
        <w:rPr>
          <w:rFonts w:ascii="Arial" w:hAnsi="Arial" w:cs="Arial"/>
          <w:i w:val="0"/>
          <w:iCs w:val="0"/>
          <w:color w:val="000000" w:themeColor="text1"/>
          <w:sz w:val="24"/>
          <w:szCs w:val="24"/>
        </w:rPr>
      </w:pPr>
      <w:r w:rsidRPr="009F3085">
        <w:rPr>
          <w:rFonts w:ascii="Arial" w:hAnsi="Arial" w:cs="Arial"/>
          <w:b/>
          <w:bCs/>
          <w:i w:val="0"/>
          <w:iCs w:val="0"/>
          <w:color w:val="000000" w:themeColor="text1"/>
          <w:sz w:val="24"/>
          <w:szCs w:val="24"/>
        </w:rPr>
        <w:t xml:space="preserve">Figure </w:t>
      </w:r>
      <w:r>
        <w:rPr>
          <w:rFonts w:ascii="Arial" w:hAnsi="Arial" w:cs="Arial"/>
          <w:b/>
          <w:bCs/>
          <w:i w:val="0"/>
          <w:iCs w:val="0"/>
          <w:color w:val="000000" w:themeColor="text1"/>
          <w:sz w:val="24"/>
          <w:szCs w:val="24"/>
        </w:rPr>
        <w:fldChar w:fldCharType="begin"/>
      </w:r>
      <w:r>
        <w:rPr>
          <w:rFonts w:ascii="Arial" w:hAnsi="Arial" w:cs="Arial"/>
          <w:b/>
          <w:bCs/>
          <w:i w:val="0"/>
          <w:iCs w:val="0"/>
          <w:color w:val="000000" w:themeColor="text1"/>
          <w:sz w:val="24"/>
          <w:szCs w:val="24"/>
        </w:rPr>
        <w:instrText xml:space="preserve"> STYLEREF 1 \s </w:instrText>
      </w:r>
      <w:r>
        <w:rPr>
          <w:rFonts w:ascii="Arial" w:hAnsi="Arial" w:cs="Arial"/>
          <w:b/>
          <w:bCs/>
          <w:i w:val="0"/>
          <w:iCs w:val="0"/>
          <w:color w:val="000000" w:themeColor="text1"/>
          <w:sz w:val="24"/>
          <w:szCs w:val="24"/>
        </w:rPr>
        <w:fldChar w:fldCharType="separate"/>
      </w:r>
      <w:r>
        <w:rPr>
          <w:rFonts w:ascii="Arial" w:hAnsi="Arial" w:cs="Arial"/>
          <w:b/>
          <w:bCs/>
          <w:i w:val="0"/>
          <w:iCs w:val="0"/>
          <w:noProof/>
          <w:color w:val="000000" w:themeColor="text1"/>
          <w:sz w:val="24"/>
          <w:szCs w:val="24"/>
        </w:rPr>
        <w:t>1</w:t>
      </w:r>
      <w:r>
        <w:rPr>
          <w:rFonts w:ascii="Arial" w:hAnsi="Arial" w:cs="Arial"/>
          <w:b/>
          <w:bCs/>
          <w:i w:val="0"/>
          <w:iCs w:val="0"/>
          <w:color w:val="000000" w:themeColor="text1"/>
          <w:sz w:val="24"/>
          <w:szCs w:val="24"/>
        </w:rPr>
        <w:fldChar w:fldCharType="end"/>
      </w:r>
      <w:r>
        <w:rPr>
          <w:rFonts w:ascii="Arial" w:hAnsi="Arial" w:cs="Arial"/>
          <w:b/>
          <w:bCs/>
          <w:i w:val="0"/>
          <w:iCs w:val="0"/>
          <w:color w:val="000000" w:themeColor="text1"/>
          <w:sz w:val="24"/>
          <w:szCs w:val="24"/>
        </w:rPr>
        <w:t>.</w:t>
      </w:r>
      <w:r>
        <w:rPr>
          <w:rFonts w:ascii="Arial" w:hAnsi="Arial" w:cs="Arial"/>
          <w:b/>
          <w:bCs/>
          <w:i w:val="0"/>
          <w:iCs w:val="0"/>
          <w:color w:val="000000" w:themeColor="text1"/>
          <w:sz w:val="24"/>
          <w:szCs w:val="24"/>
        </w:rPr>
        <w:fldChar w:fldCharType="begin"/>
      </w:r>
      <w:r>
        <w:rPr>
          <w:rFonts w:ascii="Arial" w:hAnsi="Arial" w:cs="Arial"/>
          <w:b/>
          <w:bCs/>
          <w:i w:val="0"/>
          <w:iCs w:val="0"/>
          <w:color w:val="000000" w:themeColor="text1"/>
          <w:sz w:val="24"/>
          <w:szCs w:val="24"/>
        </w:rPr>
        <w:instrText xml:space="preserve"> SEQ Figure \* ARABIC \s 1 </w:instrText>
      </w:r>
      <w:r>
        <w:rPr>
          <w:rFonts w:ascii="Arial" w:hAnsi="Arial" w:cs="Arial"/>
          <w:b/>
          <w:bCs/>
          <w:i w:val="0"/>
          <w:iCs w:val="0"/>
          <w:color w:val="000000" w:themeColor="text1"/>
          <w:sz w:val="24"/>
          <w:szCs w:val="24"/>
        </w:rPr>
        <w:fldChar w:fldCharType="separate"/>
      </w:r>
      <w:r>
        <w:rPr>
          <w:rFonts w:ascii="Arial" w:hAnsi="Arial" w:cs="Arial"/>
          <w:b/>
          <w:bCs/>
          <w:i w:val="0"/>
          <w:iCs w:val="0"/>
          <w:noProof/>
          <w:color w:val="000000" w:themeColor="text1"/>
          <w:sz w:val="24"/>
          <w:szCs w:val="24"/>
        </w:rPr>
        <w:t>1</w:t>
      </w:r>
      <w:r>
        <w:rPr>
          <w:rFonts w:ascii="Arial" w:hAnsi="Arial" w:cs="Arial"/>
          <w:b/>
          <w:bCs/>
          <w:i w:val="0"/>
          <w:iCs w:val="0"/>
          <w:color w:val="000000" w:themeColor="text1"/>
          <w:sz w:val="24"/>
          <w:szCs w:val="24"/>
        </w:rPr>
        <w:fldChar w:fldCharType="end"/>
      </w:r>
      <w:r w:rsidRPr="009F3085">
        <w:rPr>
          <w:rFonts w:ascii="Arial" w:hAnsi="Arial" w:cs="Arial"/>
          <w:i w:val="0"/>
          <w:iCs w:val="0"/>
          <w:color w:val="000000" w:themeColor="text1"/>
          <w:sz w:val="24"/>
          <w:szCs w:val="24"/>
        </w:rPr>
        <w:t xml:space="preserve"> The transmission of information within the human early visual pathway. Visual information enters the eye and passes through a series of retinal nerve cells before projection to the LGN. Within the LGN, information is split into segregated layers, corresponding to the PC, MC and KC pathways. This segregated information then projects to distinct layers within V1 (</w:t>
      </w:r>
      <w:r>
        <w:rPr>
          <w:rFonts w:ascii="Arial" w:hAnsi="Arial" w:cs="Arial"/>
          <w:i w:val="0"/>
          <w:iCs w:val="0"/>
          <w:color w:val="000000" w:themeColor="text1"/>
          <w:sz w:val="24"/>
          <w:szCs w:val="24"/>
        </w:rPr>
        <w:t xml:space="preserve">Figure from </w:t>
      </w:r>
      <w:r w:rsidRPr="009F3085">
        <w:rPr>
          <w:rFonts w:ascii="Arial" w:hAnsi="Arial" w:cs="Arial"/>
          <w:i w:val="0"/>
          <w:iCs w:val="0"/>
          <w:color w:val="000000" w:themeColor="text1"/>
          <w:sz w:val="24"/>
          <w:szCs w:val="24"/>
        </w:rPr>
        <w:fldChar w:fldCharType="begin"/>
      </w:r>
      <w:r w:rsidRPr="009F3085">
        <w:rPr>
          <w:rFonts w:ascii="Arial" w:hAnsi="Arial" w:cs="Arial"/>
          <w:i w:val="0"/>
          <w:iCs w:val="0"/>
          <w:color w:val="000000" w:themeColor="text1"/>
          <w:sz w:val="24"/>
          <w:szCs w:val="24"/>
        </w:rPr>
        <w:instrText xml:space="preserve"> ADDIN ZOTERO_ITEM CSL_CITATION {"citationID":"KY50Ok5q","properties":{"formattedCitation":"(Solomon &amp; Lennie, 2007)","plainCitation":"(Solomon &amp; Lennie, 2007)","noteIndex":0},"citationItems":[{"id":1032,"uris":["http://zotero.org/groups/318634/items/T4MNCZ5E"],"uri":["http://zotero.org/groups/318634/items/T4MNCZ5E"],"itemData":{"id":1032,"type":"article-journal","title":"The machinery of colour vision","container-title":"Nature Reviews. Neuroscience","page":"276-286","volume":"8","issue":"4","source":"PubMed","abstract":"Some fundamental principles of colour vision, deduced from perceptual studies, have been understood for a long time. Physiological studies have confirmed the existence of three classes of cone photoreceptors, and of colour-opponent neurons that compare the signals from cones, but modern work has drawn attention to unexpected complexities of early organization: the proportions of cones of different types vary widely among individuals, without great effect on colour vision; the arrangement of different types of cones in the mosaic seems to be random, making it hard to optimize the connections to colour-opponent mechanisms; and new forms of colour-opponent mechanisms have recently been discovered. At a higher level, in the primary visual cortex, recent studies have revealed a simpler organization than had earlier been supposed, and in some respects have made it easier to reconcile physiological and perceptual findings.","DOI":"10.1038/nrn2094","ISSN":"1471-003X","note":"PMID: 17375040","journalAbbreviation":"Nat. Rev. Neurosci.","language":"eng","author":[{"family":"Solomon","given":"Samuel G."},{"family":"Lennie","given":"Peter"}],"issued":{"date-parts":[["2007",4]]}}}],"schema":"https://github.com/citation-style-language/schema/raw/master/csl-citation.json"} </w:instrText>
      </w:r>
      <w:r w:rsidRPr="009F3085">
        <w:rPr>
          <w:rFonts w:ascii="Arial" w:hAnsi="Arial" w:cs="Arial"/>
          <w:i w:val="0"/>
          <w:iCs w:val="0"/>
          <w:color w:val="000000" w:themeColor="text1"/>
          <w:sz w:val="24"/>
          <w:szCs w:val="24"/>
        </w:rPr>
        <w:fldChar w:fldCharType="separate"/>
      </w:r>
      <w:r w:rsidRPr="009F3085">
        <w:rPr>
          <w:rFonts w:ascii="Arial" w:hAnsi="Arial" w:cs="Arial"/>
          <w:i w:val="0"/>
          <w:iCs w:val="0"/>
          <w:noProof/>
          <w:color w:val="000000" w:themeColor="text1"/>
          <w:sz w:val="24"/>
          <w:szCs w:val="24"/>
        </w:rPr>
        <w:t>Solomon &amp; Lennie, 2007)</w:t>
      </w:r>
      <w:r w:rsidRPr="009F3085">
        <w:rPr>
          <w:rFonts w:ascii="Arial" w:hAnsi="Arial" w:cs="Arial"/>
          <w:i w:val="0"/>
          <w:iCs w:val="0"/>
          <w:color w:val="000000" w:themeColor="text1"/>
          <w:sz w:val="24"/>
          <w:szCs w:val="24"/>
        </w:rPr>
        <w:fldChar w:fldCharType="end"/>
      </w:r>
      <w:r w:rsidRPr="009F3085">
        <w:rPr>
          <w:rFonts w:ascii="Arial" w:hAnsi="Arial" w:cs="Arial"/>
          <w:i w:val="0"/>
          <w:iCs w:val="0"/>
          <w:color w:val="000000" w:themeColor="text1"/>
          <w:sz w:val="24"/>
          <w:szCs w:val="24"/>
        </w:rPr>
        <w:t>.</w:t>
      </w:r>
    </w:p>
    <w:p w14:paraId="64A5D76B" w14:textId="2B8B7798" w:rsidR="002E55BD" w:rsidRPr="00170639" w:rsidRDefault="002E55BD" w:rsidP="00170639">
      <w:pPr>
        <w:spacing w:line="276" w:lineRule="auto"/>
        <w:rPr>
          <w:rFonts w:ascii="Arial" w:hAnsi="Arial" w:cs="Arial"/>
          <w:b/>
          <w:bCs/>
        </w:rPr>
      </w:pPr>
      <w:r>
        <w:tab/>
      </w:r>
      <w:r>
        <w:tab/>
      </w:r>
      <w:r>
        <w:tab/>
      </w:r>
      <w:r>
        <w:tab/>
      </w:r>
      <w:r>
        <w:tab/>
      </w:r>
      <w:r>
        <w:tab/>
      </w:r>
      <w:r>
        <w:tab/>
      </w:r>
      <w:r>
        <w:tab/>
      </w:r>
      <w:r>
        <w:tab/>
      </w:r>
      <w:r>
        <w:tab/>
      </w:r>
      <w:r>
        <w:tab/>
      </w:r>
      <w:r w:rsidRPr="00170639">
        <w:rPr>
          <w:rFonts w:ascii="Arial" w:hAnsi="Arial" w:cs="Arial"/>
          <w:b/>
          <w:bCs/>
        </w:rPr>
        <w:t>2</w:t>
      </w:r>
      <w:r w:rsidR="007B3A25">
        <w:rPr>
          <w:rFonts w:ascii="Arial" w:hAnsi="Arial" w:cs="Arial"/>
          <w:b/>
          <w:bCs/>
        </w:rPr>
        <w:t>7</w:t>
      </w:r>
    </w:p>
    <w:p w14:paraId="49461982"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2A698F">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2A698F">
        <w:rPr>
          <w:rFonts w:ascii="Arial" w:hAnsi="Arial" w:cs="Arial"/>
          <w:i w:val="0"/>
          <w:color w:val="000000" w:themeColor="text1"/>
          <w:sz w:val="24"/>
          <w:szCs w:val="24"/>
        </w:rPr>
        <w:t xml:space="preserve"> Retinotopic mapping of early visual cortex. Regions of interest (ROIs) are defined on the basis of their eccentricity (top left) and polar angle (bottom left) on flat maps (</w:t>
      </w:r>
      <w:r>
        <w:rPr>
          <w:rFonts w:ascii="Arial" w:hAnsi="Arial" w:cs="Arial"/>
          <w:i w:val="0"/>
          <w:color w:val="000000" w:themeColor="text1"/>
          <w:sz w:val="24"/>
          <w:szCs w:val="24"/>
        </w:rPr>
        <w:t>A</w:t>
      </w:r>
      <w:r w:rsidRPr="002A698F">
        <w:rPr>
          <w:rFonts w:ascii="Arial" w:hAnsi="Arial" w:cs="Arial"/>
          <w:i w:val="0"/>
          <w:color w:val="000000" w:themeColor="text1"/>
          <w:sz w:val="24"/>
          <w:szCs w:val="24"/>
        </w:rPr>
        <w:t>) and the inflated cortical surface (</w:t>
      </w:r>
      <w:r>
        <w:rPr>
          <w:rFonts w:ascii="Arial" w:hAnsi="Arial" w:cs="Arial"/>
          <w:i w:val="0"/>
          <w:color w:val="000000" w:themeColor="text1"/>
          <w:sz w:val="24"/>
          <w:szCs w:val="24"/>
        </w:rPr>
        <w:t>B-left eccentricity, right polar angle</w:t>
      </w:r>
      <w:r w:rsidRPr="002A698F">
        <w:rPr>
          <w:rFonts w:ascii="Arial" w:hAnsi="Arial" w:cs="Arial"/>
          <w:i w:val="0"/>
          <w:color w:val="000000" w:themeColor="text1"/>
          <w:sz w:val="24"/>
          <w:szCs w:val="24"/>
        </w:rPr>
        <w:t xml:space="preserve">) </w:t>
      </w:r>
      <w:r w:rsidRPr="002A698F">
        <w:rPr>
          <w:rFonts w:ascii="Arial" w:hAnsi="Arial" w:cs="Arial"/>
          <w:i w:val="0"/>
          <w:color w:val="000000" w:themeColor="text1"/>
          <w:sz w:val="24"/>
          <w:szCs w:val="24"/>
        </w:rPr>
        <w:fldChar w:fldCharType="begin"/>
      </w:r>
      <w:r w:rsidRPr="002A698F">
        <w:rPr>
          <w:rFonts w:ascii="Arial" w:hAnsi="Arial" w:cs="Arial"/>
          <w:i w:val="0"/>
          <w:color w:val="000000" w:themeColor="text1"/>
          <w:sz w:val="24"/>
          <w:szCs w:val="24"/>
        </w:rPr>
        <w:instrText xml:space="preserve"> ADDIN ZOTERO_ITEM CSL_CITATION {"citationID":"4fj52cSo","properties":{"formattedCitation":"(Mackey, Winawer, &amp; Curtis, 2017)","plainCitation":"(Mackey, Winawer, &amp; Curtis, 2017)","noteIndex":0},"citationItems":[{"id":1034,"uris":["http://zotero.org/groups/318634/items/RITBZ7P3"],"uri":["http://zotero.org/groups/318634/items/RITBZ7P3"],"itemData":{"id":1034,"type":"article-journal","title":"Visual field map clusters in human frontoparietal cortex","container-title":"eLife","volume":"6","source":"PubMed","abstract":"The visual neurosciences have made enormous progress in recent decades, in part because of the ability to drive visual areas by their sensory inputs, allowing researchers to define visual areas reliably across individuals and across species. Similar strategies for parcellating higher-order cortex have proven elusive. Here, using a novel experimental task and nonlinear population receptive field modeling, we map and characterize the topographic organization of several regions in human frontoparietal cortex. We discover representations of both polar angle and eccentricity that are organized into clusters, similar to visual cortex, where multiple gradients of polar angle of the contralateral visual field share a confluent fovea. This is striking because neural activity in frontoparietal cortex is believed to reflect higher-order cognitive functions rather than external sensory processing. Perhaps the spatial topography in frontoparietal cortex parallels the retinotopic organization of sensory cortex to enable an efficient interface between perception and higher-order cognitive processes. Critically, these visual maps constitute well-defined anatomical units that future studies of frontoparietal cortex can reliably target.","DOI":"10.7554/eLife.22974","ISSN":"2050-084X","note":"PMID: 28628004\nPMCID: PMC5491263","journalAbbreviation":"Elife","language":"eng","author":[{"family":"Mackey","given":"Wayne E."},{"family":"Winawer","given":"Jonathan"},{"family":"Curtis","given":"Clayton E."}],"issued":{"date-parts":[["2017"]],"season":"19"}}}],"schema":"https://github.com/citation-style-language/schema/raw/master/csl-citation.json"} </w:instrText>
      </w:r>
      <w:r w:rsidRPr="002A698F">
        <w:rPr>
          <w:rFonts w:ascii="Arial" w:hAnsi="Arial" w:cs="Arial"/>
          <w:i w:val="0"/>
          <w:color w:val="000000" w:themeColor="text1"/>
          <w:sz w:val="24"/>
          <w:szCs w:val="24"/>
        </w:rPr>
        <w:fldChar w:fldCharType="separate"/>
      </w:r>
      <w:r w:rsidRPr="002A698F">
        <w:rPr>
          <w:rFonts w:ascii="Arial" w:hAnsi="Arial" w:cs="Arial"/>
          <w:i w:val="0"/>
          <w:noProof/>
          <w:color w:val="000000" w:themeColor="text1"/>
          <w:sz w:val="24"/>
          <w:szCs w:val="24"/>
        </w:rPr>
        <w:t>(</w:t>
      </w:r>
      <w:r>
        <w:rPr>
          <w:rFonts w:ascii="Arial" w:hAnsi="Arial" w:cs="Arial"/>
          <w:i w:val="0"/>
          <w:noProof/>
          <w:color w:val="000000" w:themeColor="text1"/>
          <w:sz w:val="24"/>
          <w:szCs w:val="24"/>
        </w:rPr>
        <w:t xml:space="preserve">Figure from </w:t>
      </w:r>
      <w:r w:rsidRPr="002A698F">
        <w:rPr>
          <w:rFonts w:ascii="Arial" w:hAnsi="Arial" w:cs="Arial"/>
          <w:i w:val="0"/>
          <w:noProof/>
          <w:color w:val="000000" w:themeColor="text1"/>
          <w:sz w:val="24"/>
          <w:szCs w:val="24"/>
        </w:rPr>
        <w:t>Mackey, Winawer, &amp; Curtis, 2017)</w:t>
      </w:r>
      <w:r w:rsidRPr="002A698F">
        <w:rPr>
          <w:rFonts w:ascii="Arial" w:hAnsi="Arial" w:cs="Arial"/>
          <w:i w:val="0"/>
          <w:color w:val="000000" w:themeColor="text1"/>
          <w:sz w:val="24"/>
          <w:szCs w:val="24"/>
        </w:rPr>
        <w:fldChar w:fldCharType="end"/>
      </w:r>
      <w:r w:rsidRPr="002A698F">
        <w:rPr>
          <w:rFonts w:ascii="Arial" w:hAnsi="Arial" w:cs="Arial"/>
          <w:i w:val="0"/>
          <w:color w:val="000000" w:themeColor="text1"/>
          <w:sz w:val="24"/>
          <w:szCs w:val="24"/>
        </w:rPr>
        <w:t>.</w:t>
      </w:r>
    </w:p>
    <w:p w14:paraId="214D70D0" w14:textId="0E91AE0E" w:rsidR="002E55BD" w:rsidRPr="00170639" w:rsidRDefault="002E55BD" w:rsidP="00170639">
      <w:pPr>
        <w:spacing w:line="276" w:lineRule="auto"/>
        <w:rPr>
          <w:rFonts w:ascii="Arial" w:hAnsi="Arial" w:cs="Arial"/>
          <w:b/>
          <w:bCs/>
        </w:rPr>
      </w:pPr>
      <w:r>
        <w:tab/>
      </w:r>
      <w:r>
        <w:tab/>
      </w:r>
      <w:r>
        <w:tab/>
      </w:r>
      <w:r>
        <w:tab/>
      </w:r>
      <w:r>
        <w:tab/>
      </w:r>
      <w:r>
        <w:tab/>
      </w:r>
      <w:r>
        <w:tab/>
      </w:r>
      <w:r>
        <w:tab/>
      </w:r>
      <w:r>
        <w:tab/>
      </w:r>
      <w:r>
        <w:tab/>
      </w:r>
      <w:r>
        <w:tab/>
      </w:r>
      <w:r w:rsidR="007B3A25">
        <w:rPr>
          <w:rFonts w:ascii="Arial" w:hAnsi="Arial" w:cs="Arial"/>
          <w:b/>
          <w:bCs/>
        </w:rPr>
        <w:t>29</w:t>
      </w:r>
    </w:p>
    <w:p w14:paraId="32ED9436" w14:textId="77777777" w:rsidR="002E55BD" w:rsidRDefault="002E55BD" w:rsidP="00170639">
      <w:pPr>
        <w:spacing w:line="276" w:lineRule="auto"/>
        <w:ind w:left="567" w:hanging="567"/>
        <w:rPr>
          <w:rFonts w:ascii="Arial" w:hAnsi="Arial" w:cs="Arial"/>
        </w:rPr>
      </w:pPr>
      <w:r w:rsidRPr="00027E75">
        <w:rPr>
          <w:rFonts w:ascii="Arial" w:hAnsi="Arial" w:cs="Arial"/>
          <w:b/>
          <w:color w:val="000000" w:themeColor="text1"/>
        </w:rPr>
        <w:t xml:space="preserve">Figure </w:t>
      </w:r>
      <w:r w:rsidRPr="00027E75">
        <w:rPr>
          <w:rFonts w:ascii="Arial" w:hAnsi="Arial" w:cs="Arial"/>
          <w:b/>
          <w:i/>
          <w:color w:val="000000" w:themeColor="text1"/>
        </w:rPr>
        <w:fldChar w:fldCharType="begin"/>
      </w:r>
      <w:r w:rsidRPr="00027E75">
        <w:rPr>
          <w:rFonts w:ascii="Arial" w:hAnsi="Arial" w:cs="Arial"/>
          <w:b/>
          <w:color w:val="000000" w:themeColor="text1"/>
        </w:rPr>
        <w:instrText xml:space="preserve"> STYLEREF 1 \s </w:instrText>
      </w:r>
      <w:r w:rsidRPr="00027E75">
        <w:rPr>
          <w:rFonts w:ascii="Arial" w:hAnsi="Arial" w:cs="Arial"/>
          <w:b/>
          <w:i/>
          <w:color w:val="000000" w:themeColor="text1"/>
        </w:rPr>
        <w:fldChar w:fldCharType="separate"/>
      </w:r>
      <w:r w:rsidRPr="00027E75">
        <w:rPr>
          <w:rFonts w:ascii="Arial" w:hAnsi="Arial" w:cs="Arial"/>
          <w:b/>
          <w:noProof/>
          <w:color w:val="000000" w:themeColor="text1"/>
        </w:rPr>
        <w:t>1</w:t>
      </w:r>
      <w:r w:rsidRPr="00027E75">
        <w:rPr>
          <w:rFonts w:ascii="Arial" w:hAnsi="Arial" w:cs="Arial"/>
          <w:b/>
          <w:i/>
          <w:color w:val="000000" w:themeColor="text1"/>
        </w:rPr>
        <w:fldChar w:fldCharType="end"/>
      </w:r>
      <w:r w:rsidRPr="00027E75">
        <w:rPr>
          <w:rFonts w:ascii="Arial" w:hAnsi="Arial" w:cs="Arial"/>
          <w:b/>
          <w:color w:val="000000" w:themeColor="text1"/>
        </w:rPr>
        <w:t>.</w:t>
      </w:r>
      <w:r w:rsidRPr="00027E75">
        <w:rPr>
          <w:rFonts w:ascii="Arial" w:hAnsi="Arial" w:cs="Arial"/>
          <w:b/>
          <w:i/>
          <w:color w:val="000000" w:themeColor="text1"/>
        </w:rPr>
        <w:fldChar w:fldCharType="begin"/>
      </w:r>
      <w:r w:rsidRPr="00027E75">
        <w:rPr>
          <w:rFonts w:ascii="Arial" w:hAnsi="Arial" w:cs="Arial"/>
          <w:b/>
          <w:color w:val="000000" w:themeColor="text1"/>
        </w:rPr>
        <w:instrText xml:space="preserve"> SEQ Figure \* ARABIC \s 1 </w:instrText>
      </w:r>
      <w:r w:rsidRPr="00027E75">
        <w:rPr>
          <w:rFonts w:ascii="Arial" w:hAnsi="Arial" w:cs="Arial"/>
          <w:b/>
          <w:i/>
          <w:color w:val="000000" w:themeColor="text1"/>
        </w:rPr>
        <w:fldChar w:fldCharType="separate"/>
      </w:r>
      <w:r w:rsidRPr="00027E75">
        <w:rPr>
          <w:rFonts w:ascii="Arial" w:hAnsi="Arial" w:cs="Arial"/>
          <w:b/>
          <w:noProof/>
          <w:color w:val="000000" w:themeColor="text1"/>
        </w:rPr>
        <w:t>3</w:t>
      </w:r>
      <w:r w:rsidRPr="00027E75">
        <w:rPr>
          <w:rFonts w:ascii="Arial" w:hAnsi="Arial" w:cs="Arial"/>
          <w:b/>
          <w:i/>
          <w:color w:val="000000" w:themeColor="text1"/>
        </w:rPr>
        <w:fldChar w:fldCharType="end"/>
      </w:r>
      <w:r w:rsidRPr="00027E75">
        <w:rPr>
          <w:rFonts w:ascii="Arial" w:hAnsi="Arial" w:cs="Arial"/>
          <w:color w:val="000000" w:themeColor="text1"/>
        </w:rPr>
        <w:t xml:space="preserve"> Rod and cone photoreceptor sensitivities. Retinal photoreceptors have peak sensitivities at different wavelengths of light, and comparisons of these signals provide the initial stage of colour processing within the visual system</w:t>
      </w:r>
      <w:r w:rsidRPr="00027E75">
        <w:rPr>
          <w:rFonts w:ascii="Arial" w:hAnsi="Arial" w:cs="Arial"/>
          <w:i/>
          <w:color w:val="000000" w:themeColor="text1"/>
        </w:rPr>
        <w:t xml:space="preserve"> </w:t>
      </w:r>
      <w:r w:rsidRPr="00027E75">
        <w:rPr>
          <w:rFonts w:ascii="Arial" w:hAnsi="Arial" w:cs="Arial"/>
          <w:iCs/>
          <w:color w:val="000000" w:themeColor="text1"/>
        </w:rPr>
        <w:t>(Figure from</w:t>
      </w:r>
      <w:r w:rsidRPr="00027E75">
        <w:rPr>
          <w:rFonts w:ascii="Arial" w:hAnsi="Arial" w:cs="Arial"/>
          <w:i/>
          <w:color w:val="000000" w:themeColor="text1"/>
        </w:rPr>
        <w:t xml:space="preserve"> </w:t>
      </w:r>
      <w:r w:rsidRPr="00027E75">
        <w:rPr>
          <w:rFonts w:ascii="Arial" w:hAnsi="Arial" w:cs="Arial"/>
        </w:rPr>
        <w:fldChar w:fldCharType="begin"/>
      </w:r>
      <w:r w:rsidRPr="00027E75">
        <w:rPr>
          <w:rFonts w:ascii="Arial" w:hAnsi="Arial" w:cs="Arial"/>
        </w:rPr>
        <w:instrText xml:space="preserve"> ADDIN ZOTERO_ITEM CSL_CITATION {"citationID":"ZIsTWhGx","properties":{"formattedCitation":"(Foster, 2010)","plainCitation":"(Foster, 2010)","noteIndex":0},"citationItems":[{"id":569,"uris":["http://zotero.org/groups/318634/items/EZFCQRCS"],"uri":["http://zotero.org/groups/318634/items/EZFCQRCS"],"itemData":{"id":569,"type":"chapter","title":"Chromatic Function of the Cone","container-title":"Encyclopedia of the Eye","publisher":"Academic Press","publisher-place":"Oxford","page":"266-274","source":"ScienceDirect","event-place":"Oxford","abstract":"The spectral properties of light are analyzed by the long-, medium-, and short-wavelength sensitive cone photoreceptors. This article provides an overview of their contribution to chromatic function and its modification by prereceptoral filtering and postreceptoral processing within the eye. Successive sections provide an introduction to cone photopigments and phototransduction, and then a description of the in vivo fundamental spectral sensitivities, prereceptoral attenuation in the ocular media, cone spectral sensitivities, psychophysical techniques for isolating cone responses, retinal variations in cone numerosity and their effects on chromatic function, and, finally, cone opponency and postreceptoral spectral sensitivities.","URL":"http://www.sciencedirect.com/science/article/pii/B9780123742032002323","ISBN":"978-0-12-374203-2","note":"DOI: 10.1016/B978-0-12-374203-2.00232-3","author":[{"family":"Foster","given":"D. H."}],"editor":[{"family":"Dartt","given":"Darlene A."}],"issued":{"date-parts":[["2010",1,1]]},"accessed":{"date-parts":[["2019",10,9]]}}}],"schema":"https://github.com/citation-style-language/schema/raw/master/csl-citation.json"} </w:instrText>
      </w:r>
      <w:r w:rsidRPr="00027E75">
        <w:rPr>
          <w:rFonts w:ascii="Arial" w:hAnsi="Arial" w:cs="Arial"/>
        </w:rPr>
        <w:fldChar w:fldCharType="separate"/>
      </w:r>
      <w:r w:rsidRPr="00027E75">
        <w:rPr>
          <w:rFonts w:ascii="Arial" w:hAnsi="Arial" w:cs="Arial"/>
          <w:noProof/>
        </w:rPr>
        <w:t>Foster, 2010)</w:t>
      </w:r>
      <w:r w:rsidRPr="00027E75">
        <w:rPr>
          <w:rFonts w:ascii="Arial" w:hAnsi="Arial" w:cs="Arial"/>
        </w:rPr>
        <w:fldChar w:fldCharType="end"/>
      </w:r>
      <w:r w:rsidRPr="00027E75">
        <w:rPr>
          <w:rFonts w:ascii="Arial" w:hAnsi="Arial" w:cs="Arial"/>
        </w:rPr>
        <w:t>.</w:t>
      </w:r>
    </w:p>
    <w:p w14:paraId="5F5B9B61" w14:textId="6FF8B31F" w:rsidR="002E55BD" w:rsidRPr="00170639" w:rsidRDefault="002E55BD" w:rsidP="00170639">
      <w:pPr>
        <w:spacing w:line="276" w:lineRule="auto"/>
        <w:ind w:left="567" w:hanging="567"/>
        <w:rPr>
          <w:rFonts w:ascii="Arial" w:hAnsi="Arial" w:cs="Arial"/>
          <w:b/>
          <w:bCs/>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170639">
        <w:rPr>
          <w:rFonts w:ascii="Arial" w:hAnsi="Arial" w:cs="Arial"/>
          <w:b/>
          <w:bCs/>
        </w:rPr>
        <w:t>3</w:t>
      </w:r>
      <w:r w:rsidR="007B3A25">
        <w:rPr>
          <w:rFonts w:ascii="Arial" w:hAnsi="Arial" w:cs="Arial"/>
          <w:b/>
          <w:bCs/>
        </w:rPr>
        <w:t>6</w:t>
      </w:r>
    </w:p>
    <w:p w14:paraId="5864C82E" w14:textId="77777777" w:rsidR="002E55BD" w:rsidRPr="00027E75" w:rsidRDefault="002E55BD" w:rsidP="00170639">
      <w:pPr>
        <w:spacing w:line="276" w:lineRule="auto"/>
        <w:ind w:left="567" w:hanging="567"/>
        <w:rPr>
          <w:rFonts w:ascii="Arial" w:hAnsi="Arial" w:cs="Arial"/>
        </w:rPr>
      </w:pPr>
    </w:p>
    <w:p w14:paraId="2D6074CA" w14:textId="77777777" w:rsidR="002E55BD" w:rsidRDefault="002E55BD" w:rsidP="00170639">
      <w:pPr>
        <w:spacing w:line="276" w:lineRule="auto"/>
        <w:ind w:left="567" w:hanging="567"/>
        <w:jc w:val="both"/>
        <w:rPr>
          <w:rFonts w:ascii="Arial" w:hAnsi="Arial" w:cs="Arial"/>
        </w:rPr>
      </w:pPr>
      <w:r w:rsidRPr="00027E75">
        <w:rPr>
          <w:rFonts w:ascii="Arial" w:hAnsi="Arial" w:cs="Arial"/>
          <w:b/>
          <w:color w:val="000000" w:themeColor="text1"/>
        </w:rPr>
        <w:t xml:space="preserve">Figure </w:t>
      </w:r>
      <w:r w:rsidRPr="00027E75">
        <w:rPr>
          <w:rFonts w:ascii="Arial" w:hAnsi="Arial" w:cs="Arial"/>
          <w:b/>
          <w:color w:val="000000" w:themeColor="text1"/>
        </w:rPr>
        <w:fldChar w:fldCharType="begin"/>
      </w:r>
      <w:r w:rsidRPr="00027E75">
        <w:rPr>
          <w:rFonts w:ascii="Arial" w:hAnsi="Arial" w:cs="Arial"/>
          <w:b/>
          <w:color w:val="000000" w:themeColor="text1"/>
        </w:rPr>
        <w:instrText xml:space="preserve"> STYLEREF 1 \s </w:instrText>
      </w:r>
      <w:r w:rsidRPr="00027E75">
        <w:rPr>
          <w:rFonts w:ascii="Arial" w:hAnsi="Arial" w:cs="Arial"/>
          <w:b/>
          <w:color w:val="000000" w:themeColor="text1"/>
        </w:rPr>
        <w:fldChar w:fldCharType="separate"/>
      </w:r>
      <w:r w:rsidRPr="00027E75">
        <w:rPr>
          <w:rFonts w:ascii="Arial" w:hAnsi="Arial" w:cs="Arial"/>
          <w:b/>
          <w:noProof/>
          <w:color w:val="000000" w:themeColor="text1"/>
        </w:rPr>
        <w:t>1</w:t>
      </w:r>
      <w:r w:rsidRPr="00027E75">
        <w:rPr>
          <w:rFonts w:ascii="Arial" w:hAnsi="Arial" w:cs="Arial"/>
          <w:b/>
          <w:color w:val="000000" w:themeColor="text1"/>
        </w:rPr>
        <w:fldChar w:fldCharType="end"/>
      </w:r>
      <w:r w:rsidRPr="00027E75">
        <w:rPr>
          <w:rFonts w:ascii="Arial" w:hAnsi="Arial" w:cs="Arial"/>
          <w:b/>
          <w:color w:val="000000" w:themeColor="text1"/>
        </w:rPr>
        <w:t>.</w:t>
      </w:r>
      <w:r w:rsidRPr="00027E75">
        <w:rPr>
          <w:rFonts w:ascii="Arial" w:hAnsi="Arial" w:cs="Arial"/>
          <w:b/>
          <w:color w:val="000000" w:themeColor="text1"/>
        </w:rPr>
        <w:fldChar w:fldCharType="begin"/>
      </w:r>
      <w:r w:rsidRPr="00027E75">
        <w:rPr>
          <w:rFonts w:ascii="Arial" w:hAnsi="Arial" w:cs="Arial"/>
          <w:b/>
          <w:color w:val="000000" w:themeColor="text1"/>
        </w:rPr>
        <w:instrText xml:space="preserve"> SEQ Figure \* ARABIC \s 1 </w:instrText>
      </w:r>
      <w:r w:rsidRPr="00027E75">
        <w:rPr>
          <w:rFonts w:ascii="Arial" w:hAnsi="Arial" w:cs="Arial"/>
          <w:b/>
          <w:color w:val="000000" w:themeColor="text1"/>
        </w:rPr>
        <w:fldChar w:fldCharType="separate"/>
      </w:r>
      <w:r w:rsidRPr="00027E75">
        <w:rPr>
          <w:rFonts w:ascii="Arial" w:hAnsi="Arial" w:cs="Arial"/>
          <w:b/>
          <w:noProof/>
          <w:color w:val="000000" w:themeColor="text1"/>
        </w:rPr>
        <w:t>4</w:t>
      </w:r>
      <w:r w:rsidRPr="00027E75">
        <w:rPr>
          <w:rFonts w:ascii="Arial" w:hAnsi="Arial" w:cs="Arial"/>
          <w:b/>
          <w:color w:val="000000" w:themeColor="text1"/>
        </w:rPr>
        <w:fldChar w:fldCharType="end"/>
      </w:r>
      <w:r w:rsidRPr="00027E75">
        <w:rPr>
          <w:rFonts w:ascii="Arial" w:hAnsi="Arial" w:cs="Arial"/>
          <w:b/>
          <w:color w:val="000000" w:themeColor="text1"/>
        </w:rPr>
        <w:t xml:space="preserve"> </w:t>
      </w:r>
      <w:r w:rsidRPr="00027E75">
        <w:rPr>
          <w:rFonts w:ascii="Arial" w:hAnsi="Arial" w:cs="Arial"/>
          <w:color w:val="000000" w:themeColor="text1"/>
        </w:rPr>
        <w:t xml:space="preserve">The Normalisation Model of Attention. The interaction between stimulus size and the size of the attentional field alter the form of attentional modulation. A smaller stimulus with a large attentional focus will produce contrast gain effects (left), whereas a relatively smaller attentional focus with a larger stimulus elicits predominantly response gain effects (right) </w:t>
      </w:r>
      <w:r w:rsidRPr="00027E75">
        <w:rPr>
          <w:rFonts w:ascii="Arial" w:hAnsi="Arial" w:cs="Arial"/>
        </w:rPr>
        <w:fldChar w:fldCharType="begin"/>
      </w:r>
      <w:r w:rsidRPr="00027E75">
        <w:rPr>
          <w:rFonts w:ascii="Arial" w:hAnsi="Arial" w:cs="Arial"/>
        </w:rPr>
        <w:instrText xml:space="preserve"> ADDIN ZOTERO_ITEM CSL_CITATION {"citationID":"PtTIN0PA","properties":{"formattedCitation":"(Reynolds &amp; Heeger, 2009)","plainCitation":"(Reynolds &amp; Heeger, 2009)","noteIndex":0},"citationItems":[{"id":12,"uris":["http://zotero.org/groups/318634/items/P6NKWDK3"],"uri":["http://zotero.org/groups/318634/items/P6NKWDK3"],"itemData":{"id":12,"type":"article-journal","title":"The normalization model of attention","container-title":"Neuron","page":"168-185","volume":"61","issue":"2","abstract":"Attention has been found to have a wide variety of effects on the responses of neurons in visual cortex. We describe a model of attention that exhibits each of these different forms of attentional modulation, depending on the stimulus conditions and the spread (or selectivity) of the attention field in the model. The model helps reconcile proposals that have been taken to represent alternative theories of attention. We argue that the variety and complexity of the results reported in the literature emerge from the variety of empirical protocols that were used, such that the results observed in any one experiment depended on the stimulus conditions and the subject's attentional strategy, a notion that we define precisely in terms of the attention field in the model, but that has not typically been completely under experimental control.","DOI":"10.1016/j.neuron.2009.01.002","ISSN":"1097-4199 (Electronic)","language":"eng","author":[{"family":"Reynolds","given":"J H"},{"family":"Heeger","given":"D J"}],"issued":{"date-parts":[["2009"]]}}}],"schema":"https://github.com/citation-style-language/schema/raw/master/csl-citation.json"} </w:instrText>
      </w:r>
      <w:r w:rsidRPr="00027E75">
        <w:rPr>
          <w:rFonts w:ascii="Arial" w:hAnsi="Arial" w:cs="Arial"/>
        </w:rPr>
        <w:fldChar w:fldCharType="separate"/>
      </w:r>
      <w:r w:rsidRPr="00027E75">
        <w:rPr>
          <w:rFonts w:ascii="Arial" w:hAnsi="Arial" w:cs="Arial"/>
          <w:noProof/>
        </w:rPr>
        <w:t>(Figure from Reynolds &amp; Heeger, 2009)</w:t>
      </w:r>
      <w:r w:rsidRPr="00027E75">
        <w:rPr>
          <w:rFonts w:ascii="Arial" w:hAnsi="Arial" w:cs="Arial"/>
        </w:rPr>
        <w:fldChar w:fldCharType="end"/>
      </w:r>
      <w:r w:rsidRPr="00027E75">
        <w:rPr>
          <w:rFonts w:ascii="Arial" w:hAnsi="Arial" w:cs="Arial"/>
        </w:rPr>
        <w:t>.</w:t>
      </w:r>
    </w:p>
    <w:p w14:paraId="686D2852" w14:textId="21CA6A7B" w:rsidR="002E55BD" w:rsidRPr="00170639" w:rsidRDefault="002E55BD" w:rsidP="00170639">
      <w:pPr>
        <w:spacing w:line="276" w:lineRule="auto"/>
        <w:ind w:left="567" w:hanging="567"/>
        <w:jc w:val="both"/>
        <w:rPr>
          <w:rFonts w:ascii="Arial" w:hAnsi="Arial" w:cs="Arial"/>
          <w:b/>
          <w:bCs/>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170639">
        <w:rPr>
          <w:rFonts w:ascii="Arial" w:hAnsi="Arial" w:cs="Arial"/>
          <w:b/>
          <w:bCs/>
        </w:rPr>
        <w:t>4</w:t>
      </w:r>
      <w:r w:rsidR="007B3A25">
        <w:rPr>
          <w:rFonts w:ascii="Arial" w:hAnsi="Arial" w:cs="Arial"/>
          <w:b/>
          <w:bCs/>
        </w:rPr>
        <w:t>1</w:t>
      </w:r>
    </w:p>
    <w:p w14:paraId="3EB0C1CF" w14:textId="77777777" w:rsidR="002E55BD" w:rsidRPr="00E70209" w:rsidRDefault="002E55BD" w:rsidP="00170639">
      <w:pPr>
        <w:spacing w:line="276" w:lineRule="auto"/>
        <w:ind w:left="567" w:hanging="567"/>
        <w:jc w:val="both"/>
        <w:rPr>
          <w:rFonts w:ascii="Arial" w:hAnsi="Arial" w:cs="Arial"/>
        </w:rPr>
      </w:pPr>
    </w:p>
    <w:p w14:paraId="1E07EAE2" w14:textId="77777777" w:rsidR="002E55BD" w:rsidRDefault="002E55BD" w:rsidP="00170639">
      <w:pPr>
        <w:spacing w:line="276" w:lineRule="auto"/>
        <w:ind w:left="567" w:hanging="567"/>
        <w:jc w:val="both"/>
        <w:rPr>
          <w:rFonts w:ascii="Arial" w:hAnsi="Arial" w:cs="Arial"/>
        </w:rPr>
      </w:pPr>
      <w:r w:rsidRPr="00027E75">
        <w:rPr>
          <w:rFonts w:ascii="Arial" w:hAnsi="Arial" w:cs="Arial"/>
          <w:b/>
        </w:rPr>
        <w:t xml:space="preserve">Figure </w:t>
      </w:r>
      <w:r w:rsidRPr="00027E75">
        <w:rPr>
          <w:rFonts w:ascii="Arial" w:hAnsi="Arial" w:cs="Arial"/>
          <w:b/>
        </w:rPr>
        <w:fldChar w:fldCharType="begin"/>
      </w:r>
      <w:r w:rsidRPr="00027E75">
        <w:rPr>
          <w:rFonts w:ascii="Arial" w:hAnsi="Arial" w:cs="Arial"/>
          <w:b/>
        </w:rPr>
        <w:instrText xml:space="preserve"> STYLEREF 1 \s </w:instrText>
      </w:r>
      <w:r w:rsidRPr="00027E75">
        <w:rPr>
          <w:rFonts w:ascii="Arial" w:hAnsi="Arial" w:cs="Arial"/>
          <w:b/>
        </w:rPr>
        <w:fldChar w:fldCharType="separate"/>
      </w:r>
      <w:r w:rsidRPr="00027E75">
        <w:rPr>
          <w:rFonts w:ascii="Arial" w:hAnsi="Arial" w:cs="Arial"/>
          <w:b/>
          <w:noProof/>
        </w:rPr>
        <w:t>1</w:t>
      </w:r>
      <w:r w:rsidRPr="00027E75">
        <w:rPr>
          <w:rFonts w:ascii="Arial" w:hAnsi="Arial" w:cs="Arial"/>
          <w:b/>
        </w:rPr>
        <w:fldChar w:fldCharType="end"/>
      </w:r>
      <w:r w:rsidRPr="00027E75">
        <w:rPr>
          <w:rFonts w:ascii="Arial" w:hAnsi="Arial" w:cs="Arial"/>
          <w:b/>
        </w:rPr>
        <w:t>.</w:t>
      </w:r>
      <w:r w:rsidRPr="00027E75">
        <w:rPr>
          <w:rFonts w:ascii="Arial" w:hAnsi="Arial" w:cs="Arial"/>
          <w:b/>
        </w:rPr>
        <w:fldChar w:fldCharType="begin"/>
      </w:r>
      <w:r w:rsidRPr="00027E75">
        <w:rPr>
          <w:rFonts w:ascii="Arial" w:hAnsi="Arial" w:cs="Arial"/>
          <w:b/>
        </w:rPr>
        <w:instrText xml:space="preserve"> SEQ Figure \* ARABIC \s 1 </w:instrText>
      </w:r>
      <w:r w:rsidRPr="00027E75">
        <w:rPr>
          <w:rFonts w:ascii="Arial" w:hAnsi="Arial" w:cs="Arial"/>
          <w:b/>
        </w:rPr>
        <w:fldChar w:fldCharType="separate"/>
      </w:r>
      <w:r w:rsidRPr="00027E75">
        <w:rPr>
          <w:rFonts w:ascii="Arial" w:hAnsi="Arial" w:cs="Arial"/>
          <w:b/>
          <w:noProof/>
        </w:rPr>
        <w:t>5</w:t>
      </w:r>
      <w:r w:rsidRPr="00027E75">
        <w:rPr>
          <w:rFonts w:ascii="Arial" w:hAnsi="Arial" w:cs="Arial"/>
          <w:b/>
        </w:rPr>
        <w:fldChar w:fldCharType="end"/>
      </w:r>
      <w:r w:rsidRPr="00027E75">
        <w:rPr>
          <w:rFonts w:ascii="Arial" w:hAnsi="Arial" w:cs="Arial"/>
        </w:rPr>
        <w:t xml:space="preserve"> Large-scale brain connectivity networks. A) The default mode network (DN) core subsystem includes the anterior medial prefrontal cortex (</w:t>
      </w:r>
      <w:proofErr w:type="spellStart"/>
      <w:r w:rsidRPr="00027E75">
        <w:rPr>
          <w:rFonts w:ascii="Arial" w:hAnsi="Arial" w:cs="Arial"/>
        </w:rPr>
        <w:t>mPFC</w:t>
      </w:r>
      <w:proofErr w:type="spellEnd"/>
      <w:r w:rsidRPr="00027E75">
        <w:rPr>
          <w:rFonts w:ascii="Arial" w:hAnsi="Arial" w:cs="Arial"/>
        </w:rPr>
        <w:t>), posterior cingulate cortex (PCC) and posterior inferior parietal lobule (</w:t>
      </w:r>
      <w:proofErr w:type="spellStart"/>
      <w:r w:rsidRPr="00027E75">
        <w:rPr>
          <w:rFonts w:ascii="Arial" w:hAnsi="Arial" w:cs="Arial"/>
        </w:rPr>
        <w:t>pIPL</w:t>
      </w:r>
      <w:proofErr w:type="spellEnd"/>
      <w:r w:rsidRPr="00027E75">
        <w:rPr>
          <w:rFonts w:ascii="Arial" w:hAnsi="Arial" w:cs="Arial"/>
        </w:rPr>
        <w:t>). A second default mode subsystem centres around the medial temporal lobe (MTL) including the hippocampal formation (HF) and parahippocampal cortex (PHC). The third subcomponent of the default network extends dorsally into the dorsomedial prefrontal cortex (</w:t>
      </w:r>
      <w:proofErr w:type="spellStart"/>
      <w:r w:rsidRPr="00027E75">
        <w:rPr>
          <w:rFonts w:ascii="Arial" w:hAnsi="Arial" w:cs="Arial"/>
        </w:rPr>
        <w:t>dmPFC</w:t>
      </w:r>
      <w:proofErr w:type="spellEnd"/>
      <w:r w:rsidRPr="00027E75">
        <w:rPr>
          <w:rFonts w:ascii="Arial" w:hAnsi="Arial" w:cs="Arial"/>
        </w:rPr>
        <w:t>) and the lateral temporal cortex (LTC). B) The dorsal attention network (DAN) is composed of regions centred around the intraparietal sulcus (IPS), the superior parietal lobule (SPL) and along the dorsal frontal cortex. C) The ventral attention network (VAN) contains a collection of ventral frontal regions such as the inferior frontal gyrus (IFG), anterior insula (AI) and the ventral temporoparietal junction (</w:t>
      </w:r>
      <w:proofErr w:type="spellStart"/>
      <w:r w:rsidRPr="00027E75">
        <w:rPr>
          <w:rFonts w:ascii="Arial" w:hAnsi="Arial" w:cs="Arial"/>
        </w:rPr>
        <w:t>vTPJ</w:t>
      </w:r>
      <w:proofErr w:type="spellEnd"/>
      <w:r w:rsidRPr="00027E75">
        <w:rPr>
          <w:rFonts w:ascii="Arial" w:hAnsi="Arial" w:cs="Arial"/>
        </w:rPr>
        <w:t xml:space="preserve"> </w:t>
      </w:r>
      <w:r w:rsidRPr="00027E75">
        <w:rPr>
          <w:rFonts w:ascii="Arial" w:hAnsi="Arial" w:cs="Arial"/>
        </w:rPr>
        <w:lastRenderedPageBreak/>
        <w:fldChar w:fldCharType="begin"/>
      </w:r>
      <w:r w:rsidRPr="00027E75">
        <w:rPr>
          <w:rFonts w:ascii="Arial" w:hAnsi="Arial" w:cs="Arial"/>
        </w:rPr>
        <w:instrText xml:space="preserve"> ADDIN ZOTERO_ITEM CSL_CITATION {"citationID":"G6ToMT54","properties":{"formattedCitation":"(Christoff, Gordon, Smallwood, Smith, &amp; Schooler, 2009)","plainCitation":"(Christoff, Gordon, Smallwood, Smith, &amp; Schooler, 2009)","noteIndex":0},"citationItems":[{"id":488,"uris":["http://zotero.org/groups/318634/items/ZCS4RGNI"],"uri":["http://zotero.org/groups/318634/items/ZCS4RGNI"],"itemData":{"id":488,"type":"article-journal","title":"Experience sampling during fMRI reveals default network and executive system contributions to mind wandering","container-title":"Proceedings of the National Academy of Sciences","page":"8719–8724","volume":"106","issue":"21","source":"Google Scholar","author":[{"family":"Christoff","given":"Kalina"},{"family":"Gordon","given":"Alan M."},{"family":"Smallwood","given":"Jonathan"},{"family":"Smith","given":"Rachelle"},{"family":"Schooler","given":"Jonathan W."}],"issued":{"date-parts":[["2009"]]}}}],"schema":"https://github.com/citation-style-language/schema/raw/master/csl-citation.json"} </w:instrText>
      </w:r>
      <w:r w:rsidRPr="00027E75">
        <w:rPr>
          <w:rFonts w:ascii="Arial" w:hAnsi="Arial" w:cs="Arial"/>
        </w:rPr>
        <w:fldChar w:fldCharType="separate"/>
      </w:r>
      <w:r w:rsidRPr="00027E75">
        <w:rPr>
          <w:rFonts w:ascii="Arial" w:hAnsi="Arial" w:cs="Arial"/>
          <w:noProof/>
        </w:rPr>
        <w:t>(Christoff, Gordon, Smallwood, Smith, &amp; Schooler, 2009)</w:t>
      </w:r>
      <w:r w:rsidRPr="00027E75">
        <w:rPr>
          <w:rFonts w:ascii="Arial" w:hAnsi="Arial" w:cs="Arial"/>
        </w:rPr>
        <w:fldChar w:fldCharType="end"/>
      </w:r>
      <w:r w:rsidRPr="00027E75">
        <w:rPr>
          <w:rFonts w:ascii="Arial" w:hAnsi="Arial" w:cs="Arial"/>
        </w:rPr>
        <w:t xml:space="preserve"> (Figure from </w:t>
      </w:r>
      <w:r w:rsidRPr="00027E75">
        <w:rPr>
          <w:rFonts w:ascii="Arial" w:hAnsi="Arial" w:cs="Arial"/>
        </w:rPr>
        <w:fldChar w:fldCharType="begin"/>
      </w:r>
      <w:r w:rsidRPr="00027E75">
        <w:rPr>
          <w:rFonts w:ascii="Arial" w:hAnsi="Arial" w:cs="Arial"/>
        </w:rPr>
        <w:instrText xml:space="preserve"> ADDIN ZOTERO_ITEM CSL_CITATION {"citationID":"jtjIyXO7","properties":{"formattedCitation":"(Christoff, Irving, Fox, Spreng, &amp; Andrews-Hanna, 2016)","plainCitation":"(Christoff, Irving, Fox, Spreng, &amp; Andrews-Hanna, 2016)","noteIndex":0},"citationItems":[{"id":570,"uris":["http://zotero.org/groups/318634/items/YUGEYLFP"],"uri":["http://zotero.org/groups/318634/items/YUGEYLFP"],"itemData":{"id":570,"type":"article-journal","title":"Mind-wandering as spontaneous thought: a dynamic framework","container-title":"Nature Reviews Neuroscience","page":"718-731","volume":"17","issue":"11","source":"www.nature.com","abstract":"Most research on mind-wandering has characterized it as a mental state with contents that are task unrelated or stimulus independent. However, the dynamics of mind-wandering — how mental states change over time — have remained largely neglected. Here, we introduce a dynamic framework for understanding mind-wandering and its relationship to the recruitment of large-scale brain networks. We propose that mind-wandering is best understood as a member of a family of spontaneous-thought phenomena that also includes creative thought and dreaming. This dynamic framework can shed new light on mental disorders that are marked by alterations in spontaneous thought, including depression, anxiety and attention deficit hyperactivity disorder.","DOI":"10.1038/nrn.2016.113","ISSN":"1471-0048","title-short":"Mind-wandering as spontaneous thought","language":"en","author":[{"family":"Christoff","given":"Kalina"},{"family":"Irving","given":"Zachary C."},{"family":"Fox","given":"Kieran C. R."},{"family":"Spreng","given":"R. Nathan"},{"family":"Andrews-Hanna","given":"Jessica R."}],"issued":{"date-parts":[["2016",11]]}}}],"schema":"https://github.com/citation-style-language/schema/raw/master/csl-citation.json"} </w:instrText>
      </w:r>
      <w:r w:rsidRPr="00027E75">
        <w:rPr>
          <w:rFonts w:ascii="Arial" w:hAnsi="Arial" w:cs="Arial"/>
        </w:rPr>
        <w:fldChar w:fldCharType="separate"/>
      </w:r>
      <w:r w:rsidRPr="00027E75">
        <w:rPr>
          <w:rFonts w:ascii="Arial" w:hAnsi="Arial" w:cs="Arial"/>
          <w:noProof/>
        </w:rPr>
        <w:t>Christoff, Irving, Fox, Spreng, &amp; Andrews-Hanna, 2016)</w:t>
      </w:r>
      <w:r w:rsidRPr="00027E75">
        <w:rPr>
          <w:rFonts w:ascii="Arial" w:hAnsi="Arial" w:cs="Arial"/>
        </w:rPr>
        <w:fldChar w:fldCharType="end"/>
      </w:r>
      <w:r w:rsidRPr="00027E75">
        <w:rPr>
          <w:rFonts w:ascii="Arial" w:hAnsi="Arial" w:cs="Arial"/>
        </w:rPr>
        <w:t>.</w:t>
      </w:r>
    </w:p>
    <w:p w14:paraId="30CA9AEC" w14:textId="2F4991D7" w:rsidR="002E55BD" w:rsidRPr="00170639" w:rsidRDefault="002E55BD" w:rsidP="00170639">
      <w:pPr>
        <w:spacing w:line="276" w:lineRule="auto"/>
        <w:ind w:left="567" w:hanging="567"/>
        <w:jc w:val="both"/>
        <w:rPr>
          <w:rFonts w:ascii="Arial" w:hAnsi="Arial" w:cs="Arial"/>
          <w:b/>
          <w:bCs/>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7B3A25">
        <w:rPr>
          <w:rFonts w:ascii="Arial" w:hAnsi="Arial" w:cs="Arial"/>
          <w:b/>
          <w:bCs/>
        </w:rPr>
        <w:t>49</w:t>
      </w:r>
    </w:p>
    <w:p w14:paraId="67A619C3" w14:textId="77777777" w:rsidR="002E55BD" w:rsidRPr="00027E75" w:rsidRDefault="002E55BD" w:rsidP="00170639">
      <w:pPr>
        <w:spacing w:line="276" w:lineRule="auto"/>
        <w:ind w:left="567" w:hanging="567"/>
        <w:jc w:val="both"/>
        <w:rPr>
          <w:rFonts w:ascii="Arial" w:hAnsi="Arial" w:cs="Arial"/>
        </w:rPr>
      </w:pPr>
    </w:p>
    <w:p w14:paraId="6A37395C" w14:textId="77777777" w:rsidR="002E55BD" w:rsidRDefault="002E55BD" w:rsidP="00170639">
      <w:pPr>
        <w:spacing w:line="276" w:lineRule="auto"/>
        <w:ind w:left="567" w:hanging="567"/>
        <w:jc w:val="both"/>
        <w:rPr>
          <w:rFonts w:ascii="Arial" w:hAnsi="Arial" w:cs="Arial"/>
        </w:rPr>
      </w:pPr>
      <w:r w:rsidRPr="00027E75">
        <w:rPr>
          <w:rFonts w:ascii="Arial" w:hAnsi="Arial" w:cs="Arial"/>
          <w:b/>
        </w:rPr>
        <w:t xml:space="preserve">Figure </w:t>
      </w:r>
      <w:r w:rsidRPr="00027E75">
        <w:rPr>
          <w:rFonts w:ascii="Arial" w:hAnsi="Arial" w:cs="Arial"/>
          <w:b/>
        </w:rPr>
        <w:fldChar w:fldCharType="begin"/>
      </w:r>
      <w:r w:rsidRPr="00027E75">
        <w:rPr>
          <w:rFonts w:ascii="Arial" w:hAnsi="Arial" w:cs="Arial"/>
          <w:b/>
        </w:rPr>
        <w:instrText xml:space="preserve"> STYLEREF 1 \s </w:instrText>
      </w:r>
      <w:r w:rsidRPr="00027E75">
        <w:rPr>
          <w:rFonts w:ascii="Arial" w:hAnsi="Arial" w:cs="Arial"/>
          <w:b/>
        </w:rPr>
        <w:fldChar w:fldCharType="separate"/>
      </w:r>
      <w:r w:rsidRPr="00027E75">
        <w:rPr>
          <w:rFonts w:ascii="Arial" w:hAnsi="Arial" w:cs="Arial"/>
          <w:b/>
          <w:noProof/>
        </w:rPr>
        <w:t>2</w:t>
      </w:r>
      <w:r w:rsidRPr="00027E75">
        <w:rPr>
          <w:rFonts w:ascii="Arial" w:hAnsi="Arial" w:cs="Arial"/>
          <w:b/>
        </w:rPr>
        <w:fldChar w:fldCharType="end"/>
      </w:r>
      <w:r w:rsidRPr="00027E75">
        <w:rPr>
          <w:rFonts w:ascii="Arial" w:hAnsi="Arial" w:cs="Arial"/>
          <w:b/>
        </w:rPr>
        <w:t>.</w:t>
      </w:r>
      <w:r w:rsidRPr="00027E75">
        <w:rPr>
          <w:rFonts w:ascii="Arial" w:hAnsi="Arial" w:cs="Arial"/>
          <w:b/>
        </w:rPr>
        <w:fldChar w:fldCharType="begin"/>
      </w:r>
      <w:r w:rsidRPr="00027E75">
        <w:rPr>
          <w:rFonts w:ascii="Arial" w:hAnsi="Arial" w:cs="Arial"/>
          <w:b/>
        </w:rPr>
        <w:instrText xml:space="preserve"> SEQ Figure \* ARABIC \s 1 </w:instrText>
      </w:r>
      <w:r w:rsidRPr="00027E75">
        <w:rPr>
          <w:rFonts w:ascii="Arial" w:hAnsi="Arial" w:cs="Arial"/>
          <w:b/>
        </w:rPr>
        <w:fldChar w:fldCharType="separate"/>
      </w:r>
      <w:r w:rsidRPr="00027E75">
        <w:rPr>
          <w:rFonts w:ascii="Arial" w:hAnsi="Arial" w:cs="Arial"/>
          <w:b/>
          <w:noProof/>
        </w:rPr>
        <w:t>1</w:t>
      </w:r>
      <w:r w:rsidRPr="00027E75">
        <w:rPr>
          <w:rFonts w:ascii="Arial" w:hAnsi="Arial" w:cs="Arial"/>
          <w:b/>
        </w:rPr>
        <w:fldChar w:fldCharType="end"/>
      </w:r>
      <w:r w:rsidRPr="00027E75">
        <w:rPr>
          <w:rFonts w:ascii="Arial" w:hAnsi="Arial" w:cs="Arial"/>
        </w:rPr>
        <w:t xml:space="preserve"> Radial frequency patterns with different radial frequencies, amplitudes and orientations (polar phase). Radial amplitude refers to modulation relative to the radius of a base circle. Within this thesis, we use three-lobed radial frequency pattern and modulate the amplitude (shape), orientation and contrast of the stimulus </w:t>
      </w:r>
      <w:r w:rsidRPr="00027E75">
        <w:rPr>
          <w:rFonts w:ascii="Arial" w:hAnsi="Arial" w:cs="Arial"/>
        </w:rPr>
        <w:fldChar w:fldCharType="begin"/>
      </w:r>
      <w:r w:rsidRPr="00027E75">
        <w:rPr>
          <w:rFonts w:ascii="Arial" w:hAnsi="Arial" w:cs="Arial"/>
        </w:rPr>
        <w:instrText xml:space="preserve"> ADDIN ZOTERO_ITEM CSL_CITATION {"citationID":"k1nw35jv","properties":{"formattedCitation":"(Salmela, Henriksson, &amp; Vanni, 2016)","plainCitation":"(Salmela, Henriksson, &amp; Vanni, 2016)","noteIndex":0},"citationItems":[{"id":1037,"uris":["http://zotero.org/groups/318634/items/9ERAFPC8"],"uri":["http://zotero.org/groups/318634/items/9ERAFPC8"],"itemData":{"id":1037,"type":"article-journal","title":"Radial Frequency Analysis of Contour Shapes in the Visual Cortex","container-title":"PLoS Computational Biology","volume":"12","issue":"2","source":"PubMed Central","abstract":"Cumulative psychophysical evidence suggests that the shape of closed contours is analysed by means of their radial frequency components (RFC). However, neurophysiological evidence for RFC-based representations is still missing. We investigated the representation of radial frequency in the human visual cortex with functional magnetic resonance imaging. We parametrically varied the radial frequency, amplitude and local curvature of contour shapes. The stimuli evoked clear responses across visual areas in the univariate analysis, but the response magnitude did not depend on radial frequency or local curvature. Searchlight-based, multivariate representational similarity analysis revealed RFC specific response patterns in areas V2d, V3d, V3AB, and IPS0. Interestingly, RFC-specific representations were not found in hV4 or LO, traditionally associated with visual shape analysis. The modulation amplitude of the shapes did not affect the responses in any visual area. Local curvature, SF-spectrum and contrast energy related representations were found across visual areas but without similar specificity for visual area that was found for RFC. The results suggest that the radial frequency of a closed contour is one of the cortical shape analysis dimensions, represented in the early and mid-level visual areas., Current views suggest that neural representations of the visual environment are built from combinations of basis functions. For low-level visual feature analysis these basis functions are relatively well understood. It is not yet known, however, how primary visual features are combined into higher-level representations of visual objects. Psychophysical evidence suggests that visual shapes are perceived on the basis of the radial frequency components of the shape contour. We investigated whether human visual cortex contains representations of radial frequency components. Our results show that the neural mechanisms that utilize radial frequency are located in the early and intermediate visual areas, and provide further support for the idea of radial frequency based representations in shape perception. This suggests that radial frequency representations might be one link between low-level visual feature analysis and high-level object shape representations.","URL":"https://www.ncbi.nlm.nih.gov/pmc/articles/PMC4750910/","DOI":"10.1371/journal.pcbi.1004719","ISSN":"1553-734X","note":"PMID: 26866917\nPMCID: PMC4750910","journalAbbreviation":"PLoS Comput Biol","author":[{"family":"Salmela","given":"Viljami R."},{"family":"Henriksson","given":"Linda"},{"family":"Vanni","given":"Simo"}],"issued":{"date-parts":[["2016",2,11]]},"accessed":{"date-parts":[["2019",6,19]]}}}],"schema":"https://github.com/citation-style-language/schema/raw/master/csl-citation.json"} </w:instrText>
      </w:r>
      <w:r w:rsidRPr="00027E75">
        <w:rPr>
          <w:rFonts w:ascii="Arial" w:hAnsi="Arial" w:cs="Arial"/>
        </w:rPr>
        <w:fldChar w:fldCharType="separate"/>
      </w:r>
      <w:r w:rsidRPr="00027E75">
        <w:rPr>
          <w:rFonts w:ascii="Arial" w:hAnsi="Arial" w:cs="Arial"/>
          <w:noProof/>
        </w:rPr>
        <w:t>(Figure from Salmela, Henriksson, &amp; Vanni, 2016)</w:t>
      </w:r>
      <w:r w:rsidRPr="00027E75">
        <w:rPr>
          <w:rFonts w:ascii="Arial" w:hAnsi="Arial" w:cs="Arial"/>
        </w:rPr>
        <w:fldChar w:fldCharType="end"/>
      </w:r>
      <w:r w:rsidRPr="00027E75">
        <w:rPr>
          <w:rFonts w:ascii="Arial" w:hAnsi="Arial" w:cs="Arial"/>
        </w:rPr>
        <w:t xml:space="preserve">. </w:t>
      </w:r>
    </w:p>
    <w:p w14:paraId="0BD20191" w14:textId="4936EEFC" w:rsidR="002E55BD" w:rsidRDefault="002E55BD" w:rsidP="00170639">
      <w:pPr>
        <w:pStyle w:val="Caption"/>
        <w:spacing w:line="276" w:lineRule="auto"/>
        <w:ind w:left="567" w:hanging="567"/>
        <w:jc w:val="both"/>
        <w:rPr>
          <w:rFonts w:ascii="Arial" w:hAnsi="Arial" w:cs="Arial"/>
          <w:b/>
          <w:i w:val="0"/>
          <w:color w:val="000000" w:themeColor="text1"/>
          <w:sz w:val="24"/>
          <w:szCs w:val="24"/>
        </w:rPr>
      </w:pPr>
      <w:r>
        <w:rPr>
          <w:rFonts w:ascii="Arial" w:hAnsi="Arial" w:cs="Arial"/>
          <w:b/>
          <w:i w:val="0"/>
          <w:color w:val="000000" w:themeColor="text1"/>
          <w:sz w:val="24"/>
          <w:szCs w:val="24"/>
        </w:rPr>
        <w:tab/>
      </w:r>
      <w:r>
        <w:rPr>
          <w:rFonts w:ascii="Arial" w:hAnsi="Arial" w:cs="Arial"/>
          <w:b/>
          <w:i w:val="0"/>
          <w:color w:val="000000" w:themeColor="text1"/>
          <w:sz w:val="24"/>
          <w:szCs w:val="24"/>
        </w:rPr>
        <w:tab/>
      </w:r>
      <w:r>
        <w:rPr>
          <w:rFonts w:ascii="Arial" w:hAnsi="Arial" w:cs="Arial"/>
          <w:b/>
          <w:i w:val="0"/>
          <w:color w:val="000000" w:themeColor="text1"/>
          <w:sz w:val="24"/>
          <w:szCs w:val="24"/>
        </w:rPr>
        <w:tab/>
      </w:r>
      <w:r>
        <w:rPr>
          <w:rFonts w:ascii="Arial" w:hAnsi="Arial" w:cs="Arial"/>
          <w:b/>
          <w:i w:val="0"/>
          <w:color w:val="000000" w:themeColor="text1"/>
          <w:sz w:val="24"/>
          <w:szCs w:val="24"/>
        </w:rPr>
        <w:tab/>
      </w:r>
      <w:r>
        <w:rPr>
          <w:rFonts w:ascii="Arial" w:hAnsi="Arial" w:cs="Arial"/>
          <w:b/>
          <w:i w:val="0"/>
          <w:color w:val="000000" w:themeColor="text1"/>
          <w:sz w:val="24"/>
          <w:szCs w:val="24"/>
        </w:rPr>
        <w:tab/>
      </w:r>
      <w:r>
        <w:rPr>
          <w:rFonts w:ascii="Arial" w:hAnsi="Arial" w:cs="Arial"/>
          <w:b/>
          <w:i w:val="0"/>
          <w:color w:val="000000" w:themeColor="text1"/>
          <w:sz w:val="24"/>
          <w:szCs w:val="24"/>
        </w:rPr>
        <w:tab/>
      </w:r>
      <w:r>
        <w:rPr>
          <w:rFonts w:ascii="Arial" w:hAnsi="Arial" w:cs="Arial"/>
          <w:b/>
          <w:i w:val="0"/>
          <w:color w:val="000000" w:themeColor="text1"/>
          <w:sz w:val="24"/>
          <w:szCs w:val="24"/>
        </w:rPr>
        <w:tab/>
      </w:r>
      <w:r>
        <w:rPr>
          <w:rFonts w:ascii="Arial" w:hAnsi="Arial" w:cs="Arial"/>
          <w:b/>
          <w:i w:val="0"/>
          <w:color w:val="000000" w:themeColor="text1"/>
          <w:sz w:val="24"/>
          <w:szCs w:val="24"/>
        </w:rPr>
        <w:tab/>
      </w:r>
      <w:r>
        <w:rPr>
          <w:rFonts w:ascii="Arial" w:hAnsi="Arial" w:cs="Arial"/>
          <w:b/>
          <w:i w:val="0"/>
          <w:color w:val="000000" w:themeColor="text1"/>
          <w:sz w:val="24"/>
          <w:szCs w:val="24"/>
        </w:rPr>
        <w:tab/>
      </w:r>
      <w:r>
        <w:rPr>
          <w:rFonts w:ascii="Arial" w:hAnsi="Arial" w:cs="Arial"/>
          <w:b/>
          <w:i w:val="0"/>
          <w:color w:val="000000" w:themeColor="text1"/>
          <w:sz w:val="24"/>
          <w:szCs w:val="24"/>
        </w:rPr>
        <w:tab/>
      </w:r>
      <w:r>
        <w:rPr>
          <w:rFonts w:ascii="Arial" w:hAnsi="Arial" w:cs="Arial"/>
          <w:b/>
          <w:i w:val="0"/>
          <w:color w:val="000000" w:themeColor="text1"/>
          <w:sz w:val="24"/>
          <w:szCs w:val="24"/>
        </w:rPr>
        <w:tab/>
      </w:r>
      <w:r>
        <w:rPr>
          <w:rFonts w:ascii="Arial" w:hAnsi="Arial" w:cs="Arial"/>
          <w:b/>
          <w:i w:val="0"/>
          <w:color w:val="000000" w:themeColor="text1"/>
          <w:sz w:val="24"/>
          <w:szCs w:val="24"/>
        </w:rPr>
        <w:tab/>
        <w:t>5</w:t>
      </w:r>
      <w:r w:rsidR="007B3A25">
        <w:rPr>
          <w:rFonts w:ascii="Arial" w:hAnsi="Arial" w:cs="Arial"/>
          <w:b/>
          <w:i w:val="0"/>
          <w:color w:val="000000" w:themeColor="text1"/>
          <w:sz w:val="24"/>
          <w:szCs w:val="24"/>
        </w:rPr>
        <w:t>4</w:t>
      </w:r>
    </w:p>
    <w:p w14:paraId="6704E1D9" w14:textId="34D31B47" w:rsidR="002E55BD" w:rsidRDefault="002E55BD" w:rsidP="002E55BD">
      <w:pPr>
        <w:pStyle w:val="Caption"/>
        <w:spacing w:line="276" w:lineRule="auto"/>
        <w:ind w:left="567" w:hanging="567"/>
        <w:jc w:val="both"/>
        <w:rPr>
          <w:rFonts w:ascii="Arial" w:hAnsi="Arial" w:cs="Arial"/>
          <w:i w:val="0"/>
          <w:color w:val="000000" w:themeColor="text1"/>
          <w:sz w:val="24"/>
          <w:szCs w:val="24"/>
        </w:rPr>
      </w:pPr>
      <w:r w:rsidRPr="003730E4">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3730E4">
        <w:rPr>
          <w:rFonts w:ascii="Arial" w:hAnsi="Arial" w:cs="Arial"/>
          <w:i w:val="0"/>
          <w:color w:val="000000" w:themeColor="text1"/>
          <w:sz w:val="24"/>
          <w:szCs w:val="24"/>
        </w:rPr>
        <w:t xml:space="preserve"> Fourth Derivative of a Gaussian (D4) used to render radial frequency patterns. </w:t>
      </w:r>
    </w:p>
    <w:p w14:paraId="18192703" w14:textId="1C3907EA" w:rsidR="002E55BD" w:rsidRDefault="002E55BD" w:rsidP="002E55BD">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t>5</w:t>
      </w:r>
      <w:r w:rsidR="007B3A25">
        <w:rPr>
          <w:rFonts w:ascii="Arial" w:eastAsiaTheme="minorHAnsi" w:hAnsi="Arial" w:cs="Arial"/>
          <w:b/>
          <w:iCs/>
          <w:color w:val="000000" w:themeColor="text1"/>
        </w:rPr>
        <w:t>5</w:t>
      </w:r>
    </w:p>
    <w:p w14:paraId="1E5F0953" w14:textId="77777777" w:rsidR="002E55BD" w:rsidRPr="00475CB6" w:rsidRDefault="002E55BD" w:rsidP="002E55BD"/>
    <w:p w14:paraId="17FA6CB1"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6D65A9">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6D65A9">
        <w:rPr>
          <w:rFonts w:ascii="Arial" w:hAnsi="Arial" w:cs="Arial"/>
          <w:i w:val="0"/>
          <w:color w:val="000000" w:themeColor="text1"/>
          <w:sz w:val="24"/>
          <w:szCs w:val="24"/>
        </w:rPr>
        <w:t xml:space="preserve"> D4 Rendering Method from Vernon et al., (2016). The left </w:t>
      </w:r>
      <w:r>
        <w:rPr>
          <w:rFonts w:ascii="Arial" w:hAnsi="Arial" w:cs="Arial"/>
          <w:i w:val="0"/>
          <w:color w:val="000000" w:themeColor="text1"/>
          <w:sz w:val="24"/>
          <w:szCs w:val="24"/>
        </w:rPr>
        <w:t>image</w:t>
      </w:r>
      <w:r w:rsidRPr="006D65A9">
        <w:rPr>
          <w:rFonts w:ascii="Arial" w:hAnsi="Arial" w:cs="Arial"/>
          <w:i w:val="0"/>
          <w:color w:val="000000" w:themeColor="text1"/>
          <w:sz w:val="24"/>
          <w:szCs w:val="24"/>
        </w:rPr>
        <w:t xml:space="preserve"> demonstrates a radial frequency pattern rendered using the fourth derivative of a Gaussian in polar coordinates. Deviations from circularity cause rapid changes in radial distance, leading to distortions in shading along the perimeter of the shape. The right stimulus demonstrates the same radial frequency pattern rendered based upon a distance transform, producing a more uniform boundary (</w:t>
      </w:r>
      <w:r>
        <w:rPr>
          <w:rFonts w:ascii="Arial" w:hAnsi="Arial" w:cs="Arial"/>
          <w:i w:val="0"/>
          <w:color w:val="000000" w:themeColor="text1"/>
          <w:sz w:val="24"/>
          <w:szCs w:val="24"/>
        </w:rPr>
        <w:t xml:space="preserve">Figure from </w:t>
      </w:r>
      <w:r w:rsidRPr="006D65A9">
        <w:rPr>
          <w:rFonts w:ascii="Arial" w:hAnsi="Arial" w:cs="Arial"/>
          <w:i w:val="0"/>
          <w:color w:val="000000" w:themeColor="text1"/>
          <w:sz w:val="24"/>
          <w:szCs w:val="24"/>
        </w:rPr>
        <w:t>Vernon et al., 2016).</w:t>
      </w:r>
    </w:p>
    <w:p w14:paraId="7D288A87" w14:textId="10D33F15" w:rsidR="002E55BD" w:rsidRPr="00170639" w:rsidRDefault="002E55BD" w:rsidP="00170639">
      <w:pPr>
        <w:spacing w:line="276" w:lineRule="auto"/>
        <w:rPr>
          <w:rFonts w:ascii="Arial" w:hAnsi="Arial" w:cs="Arial"/>
          <w:b/>
          <w:bCs/>
        </w:rPr>
      </w:pPr>
      <w:r>
        <w:tab/>
      </w:r>
      <w:r>
        <w:tab/>
      </w:r>
      <w:r>
        <w:tab/>
      </w:r>
      <w:r>
        <w:tab/>
      </w:r>
      <w:r>
        <w:tab/>
      </w:r>
      <w:r>
        <w:tab/>
      </w:r>
      <w:r>
        <w:tab/>
      </w:r>
      <w:r>
        <w:tab/>
      </w:r>
      <w:r>
        <w:tab/>
      </w:r>
      <w:r>
        <w:tab/>
      </w:r>
      <w:r>
        <w:tab/>
      </w:r>
      <w:r w:rsidR="00232278">
        <w:rPr>
          <w:rFonts w:ascii="Arial" w:hAnsi="Arial" w:cs="Arial"/>
          <w:b/>
          <w:bCs/>
        </w:rPr>
        <w:t>5</w:t>
      </w:r>
      <w:r w:rsidR="007B3A25">
        <w:rPr>
          <w:rFonts w:ascii="Arial" w:hAnsi="Arial" w:cs="Arial"/>
          <w:b/>
          <w:bCs/>
        </w:rPr>
        <w:t>7</w:t>
      </w:r>
    </w:p>
    <w:p w14:paraId="17576125" w14:textId="77777777" w:rsidR="002E55BD" w:rsidRDefault="002E55BD" w:rsidP="00170639">
      <w:pPr>
        <w:spacing w:line="276" w:lineRule="auto"/>
        <w:ind w:left="567" w:hanging="567"/>
        <w:jc w:val="both"/>
        <w:rPr>
          <w:rFonts w:ascii="Arial" w:hAnsi="Arial" w:cs="Arial"/>
          <w:color w:val="000000" w:themeColor="text1"/>
        </w:rPr>
      </w:pPr>
      <w:r w:rsidRPr="00027E75">
        <w:rPr>
          <w:rFonts w:ascii="Arial" w:hAnsi="Arial" w:cs="Arial"/>
          <w:b/>
        </w:rPr>
        <w:t xml:space="preserve">Figure </w:t>
      </w:r>
      <w:r w:rsidRPr="00027E75">
        <w:rPr>
          <w:rFonts w:ascii="Arial" w:hAnsi="Arial" w:cs="Arial"/>
          <w:b/>
        </w:rPr>
        <w:fldChar w:fldCharType="begin"/>
      </w:r>
      <w:r w:rsidRPr="00027E75">
        <w:rPr>
          <w:rFonts w:ascii="Arial" w:hAnsi="Arial" w:cs="Arial"/>
          <w:b/>
        </w:rPr>
        <w:instrText xml:space="preserve"> STYLEREF 1 \s </w:instrText>
      </w:r>
      <w:r w:rsidRPr="00027E75">
        <w:rPr>
          <w:rFonts w:ascii="Arial" w:hAnsi="Arial" w:cs="Arial"/>
          <w:b/>
        </w:rPr>
        <w:fldChar w:fldCharType="separate"/>
      </w:r>
      <w:r w:rsidRPr="00027E75">
        <w:rPr>
          <w:rFonts w:ascii="Arial" w:hAnsi="Arial" w:cs="Arial"/>
          <w:b/>
          <w:noProof/>
        </w:rPr>
        <w:t>2</w:t>
      </w:r>
      <w:r w:rsidRPr="00027E75">
        <w:rPr>
          <w:rFonts w:ascii="Arial" w:hAnsi="Arial" w:cs="Arial"/>
          <w:b/>
        </w:rPr>
        <w:fldChar w:fldCharType="end"/>
      </w:r>
      <w:r w:rsidRPr="00027E75">
        <w:rPr>
          <w:rFonts w:ascii="Arial" w:hAnsi="Arial" w:cs="Arial"/>
          <w:b/>
        </w:rPr>
        <w:t>.</w:t>
      </w:r>
      <w:r w:rsidRPr="00027E75">
        <w:rPr>
          <w:rFonts w:ascii="Arial" w:hAnsi="Arial" w:cs="Arial"/>
          <w:b/>
        </w:rPr>
        <w:fldChar w:fldCharType="begin"/>
      </w:r>
      <w:r w:rsidRPr="00027E75">
        <w:rPr>
          <w:rFonts w:ascii="Arial" w:hAnsi="Arial" w:cs="Arial"/>
          <w:b/>
        </w:rPr>
        <w:instrText xml:space="preserve"> SEQ Figure \* ARABIC \s 1 </w:instrText>
      </w:r>
      <w:r w:rsidRPr="00027E75">
        <w:rPr>
          <w:rFonts w:ascii="Arial" w:hAnsi="Arial" w:cs="Arial"/>
          <w:b/>
        </w:rPr>
        <w:fldChar w:fldCharType="separate"/>
      </w:r>
      <w:r w:rsidRPr="00027E75">
        <w:rPr>
          <w:rFonts w:ascii="Arial" w:hAnsi="Arial" w:cs="Arial"/>
          <w:b/>
          <w:noProof/>
        </w:rPr>
        <w:t>4</w:t>
      </w:r>
      <w:r w:rsidRPr="00027E75">
        <w:rPr>
          <w:rFonts w:ascii="Arial" w:hAnsi="Arial" w:cs="Arial"/>
          <w:b/>
        </w:rPr>
        <w:fldChar w:fldCharType="end"/>
      </w:r>
      <w:r w:rsidRPr="00027E75">
        <w:rPr>
          <w:rFonts w:ascii="Arial" w:hAnsi="Arial" w:cs="Arial"/>
        </w:rPr>
        <w:t xml:space="preserve"> </w:t>
      </w:r>
      <w:r w:rsidRPr="00027E75">
        <w:rPr>
          <w:rFonts w:ascii="Arial" w:hAnsi="Arial" w:cs="Arial"/>
          <w:color w:val="000000" w:themeColor="text1"/>
        </w:rPr>
        <w:t xml:space="preserve">Three-dimensional colour space used to define the point of isoluminance. Alteration of the elevation parameter (θ) changes the amount of luminance present within a chromatic signal. Isoluminance testing asks participants to alter the angle of θ until a flickering/moving stimulus is no longer visible- the point at which luminance information within the two aspects of a chromatic stimulus is equated). Isoluminance testing is performed for red-green and blue-yellow (tritan) defined stimuli </w:t>
      </w:r>
      <w:r w:rsidRPr="00027E75">
        <w:rPr>
          <w:rFonts w:ascii="Arial" w:hAnsi="Arial" w:cs="Arial"/>
          <w:color w:val="000000" w:themeColor="text1"/>
        </w:rPr>
        <w:fldChar w:fldCharType="begin"/>
      </w:r>
      <w:r w:rsidRPr="00027E75">
        <w:rPr>
          <w:rFonts w:ascii="Arial" w:hAnsi="Arial" w:cs="Arial"/>
          <w:color w:val="000000" w:themeColor="text1"/>
        </w:rPr>
        <w:instrText xml:space="preserve"> ADDIN ZOTERO_ITEM CSL_CITATION {"citationID":"NzH8pBoi","properties":{"formattedCitation":"(Palmer, Mobley, &amp; Teller, 1993)","plainCitation":"(Palmer, Mobley, &amp; Teller, 1993)","noteIndex":0},"citationItems":[{"id":1039,"uris":["http://zotero.org/groups/318634/items/5VBUPHHK"],"uri":["http://zotero.org/groups/318634/items/5VBUPHHK"],"itemData":{"id":1039,"type":"article-journal","title":"Motion at isoluminance: discrimination/detection ratios and the summation of luminance and chromatic signals","container-title":"Journal of the Optical Society of America. A, Optics and Image Science","page":"1353-1362","volume":"10","issue":"6","source":"PubMed","abstract":"Under some conditions, direction-of-motion thresholds are elevated with respect to detection thresholds for isoluminant chromatic stimuli. In the present study we investigated the effect of small luminance mismatches on ratios of direction-of-motion thresholds to detection thresholds (M/D ratios). The stimuli were 2 deg x 2 deg patches of a moving 1-cycle/deg, 2.75-deg/s sinusoidal grating, modulated spatially in luminance, chromaticity, or both. M/D ratios were close to 1 except when luminance modulation was &lt; 1%, defined with respect to the individual subject's isoluminance point; in this range M/D ratios varied from 1.5 to 4.4. Sets of thresholds for both detection and motion tasks conformed approximately to ellipses. Thus, although motion processing shows a differential loss of sensitivity at isoluminance, similar summation rules appear to apply to the combination of luminance and chromatic signals for both tasks.","ISSN":"0740-3232","note":"PMID: 8320593","title-short":"Motion at isoluminance","journalAbbreviation":"J Opt Soc Am A","language":"eng","author":[{"family":"Palmer","given":"J."},{"family":"Mobley","given":"L. A."},{"family":"Teller","given":"D. Y."}],"issued":{"date-parts":[["1993",6]]}}}],"schema":"https://github.com/citation-style-language/schema/raw/master/csl-citation.json"} </w:instrText>
      </w:r>
      <w:r w:rsidRPr="00027E75">
        <w:rPr>
          <w:rFonts w:ascii="Arial" w:hAnsi="Arial" w:cs="Arial"/>
          <w:color w:val="000000" w:themeColor="text1"/>
        </w:rPr>
        <w:fldChar w:fldCharType="separate"/>
      </w:r>
      <w:r w:rsidRPr="00027E75">
        <w:rPr>
          <w:rFonts w:ascii="Arial" w:hAnsi="Arial" w:cs="Arial"/>
          <w:noProof/>
          <w:color w:val="000000" w:themeColor="text1"/>
        </w:rPr>
        <w:t>(Figure from Palmer, Mobley, &amp; Teller, 1993)</w:t>
      </w:r>
      <w:r w:rsidRPr="00027E75">
        <w:rPr>
          <w:rFonts w:ascii="Arial" w:hAnsi="Arial" w:cs="Arial"/>
          <w:color w:val="000000" w:themeColor="text1"/>
        </w:rPr>
        <w:fldChar w:fldCharType="end"/>
      </w:r>
      <w:r w:rsidRPr="00027E75">
        <w:rPr>
          <w:rFonts w:ascii="Arial" w:hAnsi="Arial" w:cs="Arial"/>
          <w:color w:val="000000" w:themeColor="text1"/>
        </w:rPr>
        <w:t xml:space="preserve">. </w:t>
      </w:r>
    </w:p>
    <w:p w14:paraId="0E3684E9" w14:textId="77777777" w:rsidR="002E55BD" w:rsidRPr="00170639" w:rsidRDefault="002E55BD" w:rsidP="00170639">
      <w:pPr>
        <w:spacing w:line="276" w:lineRule="auto"/>
        <w:ind w:left="567" w:hanging="567"/>
        <w:jc w:val="both"/>
        <w:rPr>
          <w:rFonts w:ascii="Arial" w:hAnsi="Arial" w:cs="Arial"/>
          <w:b/>
          <w:bCs/>
        </w:rPr>
      </w:pPr>
    </w:p>
    <w:p w14:paraId="5C95A886" w14:textId="21B3719B" w:rsidR="002E55BD" w:rsidRPr="00170639" w:rsidRDefault="002E55BD" w:rsidP="00170639">
      <w:pPr>
        <w:spacing w:line="276" w:lineRule="auto"/>
        <w:ind w:left="567" w:hanging="567"/>
        <w:rPr>
          <w:rFonts w:ascii="Arial" w:hAnsi="Arial" w:cs="Arial"/>
          <w:b/>
          <w:bCs/>
        </w:rPr>
      </w:pPr>
      <w:r w:rsidRPr="00170639">
        <w:rPr>
          <w:b/>
          <w:bCs/>
        </w:rPr>
        <w:tab/>
      </w:r>
      <w:r w:rsidRPr="00170639">
        <w:rPr>
          <w:b/>
          <w:bCs/>
        </w:rPr>
        <w:tab/>
      </w:r>
      <w:r w:rsidRPr="00170639">
        <w:rPr>
          <w:b/>
          <w:bCs/>
        </w:rPr>
        <w:tab/>
      </w:r>
      <w:r w:rsidRPr="00170639">
        <w:rPr>
          <w:b/>
          <w:bCs/>
        </w:rPr>
        <w:tab/>
      </w:r>
      <w:r w:rsidRPr="00170639">
        <w:rPr>
          <w:b/>
          <w:bCs/>
        </w:rPr>
        <w:tab/>
      </w:r>
      <w:r w:rsidRPr="00170639">
        <w:rPr>
          <w:b/>
          <w:bCs/>
        </w:rPr>
        <w:tab/>
      </w:r>
      <w:r w:rsidRPr="00170639">
        <w:rPr>
          <w:b/>
          <w:bCs/>
        </w:rPr>
        <w:tab/>
      </w:r>
      <w:r w:rsidRPr="00170639">
        <w:rPr>
          <w:b/>
          <w:bCs/>
        </w:rPr>
        <w:tab/>
      </w:r>
      <w:r w:rsidRPr="00170639">
        <w:rPr>
          <w:b/>
          <w:bCs/>
        </w:rPr>
        <w:tab/>
      </w:r>
      <w:r w:rsidRPr="00170639">
        <w:rPr>
          <w:b/>
          <w:bCs/>
        </w:rPr>
        <w:tab/>
      </w:r>
      <w:r w:rsidRPr="00170639">
        <w:rPr>
          <w:b/>
          <w:bCs/>
        </w:rPr>
        <w:tab/>
      </w:r>
      <w:r w:rsidRPr="00170639">
        <w:rPr>
          <w:b/>
          <w:bCs/>
        </w:rPr>
        <w:tab/>
      </w:r>
      <w:r w:rsidR="007B3A25">
        <w:rPr>
          <w:rFonts w:ascii="Arial" w:hAnsi="Arial" w:cs="Arial"/>
          <w:b/>
          <w:bCs/>
        </w:rPr>
        <w:t>59</w:t>
      </w:r>
    </w:p>
    <w:p w14:paraId="746EFA43" w14:textId="1895150D" w:rsidR="002E55BD" w:rsidRDefault="002E55BD" w:rsidP="002E55BD">
      <w:pPr>
        <w:pStyle w:val="Caption"/>
        <w:spacing w:line="276" w:lineRule="auto"/>
        <w:ind w:left="567" w:hanging="567"/>
        <w:jc w:val="both"/>
        <w:rPr>
          <w:rFonts w:ascii="Arial" w:hAnsi="Arial" w:cs="Arial"/>
          <w:i w:val="0"/>
          <w:color w:val="000000" w:themeColor="text1"/>
          <w:sz w:val="24"/>
          <w:szCs w:val="24"/>
        </w:rPr>
      </w:pPr>
      <w:r w:rsidRPr="00AA52BE">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sidRPr="00AA52BE">
        <w:rPr>
          <w:rFonts w:ascii="Arial" w:hAnsi="Arial" w:cs="Arial"/>
          <w:i w:val="0"/>
          <w:color w:val="000000" w:themeColor="text1"/>
          <w:sz w:val="24"/>
          <w:szCs w:val="24"/>
        </w:rPr>
        <w:t xml:space="preserve"> Example red-green (L-M) and blue-yellow (S-(L+M)) isoluminance stimuli. Participants adjusted the amount of luminance contamination within the chromatic signal (θ) to equate the amount of luminance within the stimulus. Stimuli were defined by a 3.8° circle with a sine-wave contour (2.33 cycles/°). The stimulus pulsed back and forth in space with altering phase, across a range of 0- π/2 radians in 6° increments. </w:t>
      </w:r>
    </w:p>
    <w:p w14:paraId="2A555416" w14:textId="0E2686A2" w:rsidR="00232278" w:rsidRPr="00170639" w:rsidRDefault="00232278" w:rsidP="00170639">
      <w:pPr>
        <w:rPr>
          <w:i/>
        </w:rPr>
      </w:pP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t>6</w:t>
      </w:r>
      <w:r w:rsidR="007B3A25">
        <w:rPr>
          <w:rFonts w:ascii="Arial" w:eastAsiaTheme="minorHAnsi" w:hAnsi="Arial" w:cs="Arial"/>
          <w:b/>
          <w:iCs/>
          <w:color w:val="000000" w:themeColor="text1"/>
        </w:rPr>
        <w:t>1</w:t>
      </w:r>
    </w:p>
    <w:p w14:paraId="6083D785" w14:textId="77777777" w:rsidR="002E55BD" w:rsidRPr="00475CB6" w:rsidRDefault="002E55BD" w:rsidP="00170639">
      <w:pPr>
        <w:spacing w:line="276" w:lineRule="auto"/>
      </w:pPr>
    </w:p>
    <w:p w14:paraId="3CEFFAD5" w14:textId="77777777" w:rsidR="002E55BD" w:rsidRPr="00475CB6" w:rsidRDefault="002E55BD" w:rsidP="00170639">
      <w:pPr>
        <w:spacing w:line="276" w:lineRule="auto"/>
      </w:pPr>
    </w:p>
    <w:p w14:paraId="5D769E56"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1306AD">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sidRPr="001306AD">
        <w:rPr>
          <w:rFonts w:ascii="Arial" w:hAnsi="Arial" w:cs="Arial"/>
          <w:i w:val="0"/>
          <w:color w:val="000000" w:themeColor="text1"/>
          <w:sz w:val="24"/>
          <w:szCs w:val="24"/>
        </w:rPr>
        <w:t xml:space="preserve"> The BOLD haemodynamic response. The BOLD signal initially dips with the onset of a stimulus, then increases to a peak at 4-8 seconds. Once maximal MR signal has been achieved, the signal declines, followed by a negative overshoot then returns to baseline</w:t>
      </w:r>
      <w:r>
        <w:rPr>
          <w:rFonts w:ascii="Arial" w:hAnsi="Arial" w:cs="Arial"/>
          <w:i w:val="0"/>
          <w:color w:val="000000" w:themeColor="text1"/>
          <w:sz w:val="24"/>
          <w:szCs w:val="24"/>
        </w:rPr>
        <w:t xml:space="preserve"> </w:t>
      </w:r>
      <w:r w:rsidRPr="00D01B03">
        <w:rPr>
          <w:rFonts w:ascii="Arial" w:hAnsi="Arial" w:cs="Arial"/>
          <w:i w:val="0"/>
          <w:color w:val="000000" w:themeColor="text1"/>
          <w:sz w:val="24"/>
          <w:szCs w:val="24"/>
        </w:rPr>
        <w:fldChar w:fldCharType="begin"/>
      </w:r>
      <w:r w:rsidRPr="00D01B03">
        <w:rPr>
          <w:rFonts w:ascii="Arial" w:hAnsi="Arial" w:cs="Arial"/>
          <w:i w:val="0"/>
          <w:color w:val="000000" w:themeColor="text1"/>
          <w:sz w:val="24"/>
          <w:szCs w:val="24"/>
        </w:rPr>
        <w:instrText xml:space="preserve"> ADDIN ZOTERO_ITEM CSL_CITATION {"citationID":"ZTyfyDcZ","properties":{"formattedCitation":"(Kornak, Hall, &amp; Haggard, 2011)","plainCitation":"(Kornak, Hall, &amp; Haggard, 2011)","noteIndex":0},"citationItems":[{"id":571,"uris":["http://zotero.org/groups/318634/items/2YB9JKXQ"],"uri":["http://zotero.org/groups/318634/items/2YB9JKXQ"],"itemData":{"id":571,"type":"article-journal","title":"Spatially Extended fMRI Signal Response to Stimulus in Non-Functionally Relevant Regions of the Human Brain: Preliminary Results","container-title":"The Open Neuroimaging Journal","volume":"5","issue":"1","source":"benthamopen.com","abstract":"Spatially Extended fMRI Signal Response to Stimulus in Non-Functionally Relevant Regions of the Human Brain: Preliminary Results","URL":"https://benthamopen.com/ABSTRACT/TONIJ-5-24","DOI":"10.2174/1874440001105010024","title-short":"Spatially Extended fMRI Signal Response to Stimulus in Non-Functionally Relevant Regions of the Human Brain","author":[{"family":"Kornak","given":"John"},{"family":"Hall","given":"Deborah A."},{"family":"Haggard","given":"Mark P."}],"issued":{"date-parts":[["2011",5,11]]},"accessed":{"date-parts":[["2019",10,9]]}}}],"schema":"https://github.com/citation-style-language/schema/raw/master/csl-citation.json"} </w:instrText>
      </w:r>
      <w:r w:rsidRPr="00D01B03">
        <w:rPr>
          <w:rFonts w:ascii="Arial" w:hAnsi="Arial" w:cs="Arial"/>
          <w:i w:val="0"/>
          <w:color w:val="000000" w:themeColor="text1"/>
          <w:sz w:val="24"/>
          <w:szCs w:val="24"/>
        </w:rPr>
        <w:fldChar w:fldCharType="separate"/>
      </w:r>
      <w:r w:rsidRPr="00D01B03">
        <w:rPr>
          <w:rFonts w:ascii="Arial" w:hAnsi="Arial" w:cs="Arial"/>
          <w:i w:val="0"/>
          <w:color w:val="000000" w:themeColor="text1"/>
          <w:sz w:val="24"/>
          <w:szCs w:val="24"/>
        </w:rPr>
        <w:t>(</w:t>
      </w:r>
      <w:r>
        <w:rPr>
          <w:rFonts w:ascii="Arial" w:hAnsi="Arial" w:cs="Arial"/>
          <w:i w:val="0"/>
          <w:color w:val="000000" w:themeColor="text1"/>
          <w:sz w:val="24"/>
          <w:szCs w:val="24"/>
        </w:rPr>
        <w:t xml:space="preserve">Figure from </w:t>
      </w:r>
      <w:r w:rsidRPr="00D01B03">
        <w:rPr>
          <w:rFonts w:ascii="Arial" w:hAnsi="Arial" w:cs="Arial"/>
          <w:i w:val="0"/>
          <w:color w:val="000000" w:themeColor="text1"/>
          <w:sz w:val="24"/>
          <w:szCs w:val="24"/>
        </w:rPr>
        <w:t>Kornak, Hall, &amp; Haggard, 2011)</w:t>
      </w:r>
      <w:r w:rsidRPr="00D01B03">
        <w:rPr>
          <w:rFonts w:ascii="Arial" w:hAnsi="Arial" w:cs="Arial"/>
          <w:i w:val="0"/>
          <w:color w:val="000000" w:themeColor="text1"/>
          <w:sz w:val="24"/>
          <w:szCs w:val="24"/>
        </w:rPr>
        <w:fldChar w:fldCharType="end"/>
      </w:r>
      <w:r>
        <w:rPr>
          <w:rFonts w:ascii="Arial" w:hAnsi="Arial" w:cs="Arial"/>
          <w:i w:val="0"/>
          <w:color w:val="000000" w:themeColor="text1"/>
          <w:sz w:val="24"/>
          <w:szCs w:val="24"/>
        </w:rPr>
        <w:t>.</w:t>
      </w:r>
      <w:r w:rsidRPr="001306AD">
        <w:rPr>
          <w:rFonts w:ascii="Arial" w:hAnsi="Arial" w:cs="Arial"/>
          <w:i w:val="0"/>
          <w:color w:val="000000" w:themeColor="text1"/>
          <w:sz w:val="24"/>
          <w:szCs w:val="24"/>
        </w:rPr>
        <w:t xml:space="preserve"> </w:t>
      </w:r>
    </w:p>
    <w:p w14:paraId="2AA524BB" w14:textId="79FA0565" w:rsidR="002E55BD" w:rsidRPr="00170639" w:rsidRDefault="002E55BD" w:rsidP="00170639">
      <w:pPr>
        <w:spacing w:line="276" w:lineRule="auto"/>
        <w:rPr>
          <w:rFonts w:ascii="Arial" w:hAnsi="Arial" w:cs="Arial"/>
          <w:b/>
          <w:bCs/>
        </w:rPr>
      </w:pPr>
      <w:r>
        <w:tab/>
      </w:r>
      <w:r>
        <w:tab/>
      </w:r>
      <w:r>
        <w:tab/>
      </w:r>
      <w:r>
        <w:tab/>
      </w:r>
      <w:r>
        <w:tab/>
      </w:r>
      <w:r>
        <w:tab/>
      </w:r>
      <w:r>
        <w:tab/>
      </w:r>
      <w:r>
        <w:tab/>
      </w:r>
      <w:r>
        <w:tab/>
      </w:r>
      <w:r>
        <w:tab/>
      </w:r>
      <w:r>
        <w:tab/>
      </w:r>
      <w:r w:rsidR="0083451C">
        <w:rPr>
          <w:rFonts w:ascii="Arial" w:hAnsi="Arial" w:cs="Arial"/>
          <w:b/>
          <w:bCs/>
        </w:rPr>
        <w:t>6</w:t>
      </w:r>
      <w:r w:rsidR="007B3A25">
        <w:rPr>
          <w:rFonts w:ascii="Arial" w:hAnsi="Arial" w:cs="Arial"/>
          <w:b/>
          <w:bCs/>
        </w:rPr>
        <w:t>3</w:t>
      </w:r>
    </w:p>
    <w:p w14:paraId="1C7EEB75" w14:textId="77777777" w:rsidR="002E55BD" w:rsidRPr="00475CB6" w:rsidRDefault="002E55BD" w:rsidP="00170639">
      <w:pPr>
        <w:spacing w:line="276" w:lineRule="auto"/>
      </w:pPr>
    </w:p>
    <w:p w14:paraId="4C1BB2F5" w14:textId="0C8B2671"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CE2E38">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7</w:t>
      </w:r>
      <w:r>
        <w:rPr>
          <w:rFonts w:ascii="Arial" w:hAnsi="Arial" w:cs="Arial"/>
          <w:b/>
          <w:i w:val="0"/>
          <w:color w:val="000000" w:themeColor="text1"/>
          <w:sz w:val="24"/>
          <w:szCs w:val="24"/>
        </w:rPr>
        <w:fldChar w:fldCharType="end"/>
      </w:r>
      <w:r w:rsidRPr="00CE2E38">
        <w:rPr>
          <w:rFonts w:ascii="Arial" w:hAnsi="Arial" w:cs="Arial"/>
          <w:i w:val="0"/>
          <w:color w:val="000000" w:themeColor="text1"/>
          <w:sz w:val="24"/>
          <w:szCs w:val="24"/>
        </w:rPr>
        <w:t xml:space="preserve"> Illustration of retinotopy and population receptive field mapping (pRF) stimuli. A and B demonstrate the rotating wedge and expanding ring stimuli used in traditional retinotopic mapping used to map the topographic organisation of the visual cortex (polar angle and eccentricity). C) demonstrates the standard bar stimulus which drifts across the visual field in eight directions, detailed in D.  All stimuli are high-contrast achromatic checkerboards presented on a mid-grey luminance </w:t>
      </w:r>
      <w:r w:rsidR="008437FC" w:rsidRPr="00CE2E38">
        <w:rPr>
          <w:rFonts w:ascii="Arial" w:hAnsi="Arial" w:cs="Arial"/>
          <w:i w:val="0"/>
          <w:color w:val="000000" w:themeColor="text1"/>
          <w:sz w:val="24"/>
          <w:szCs w:val="24"/>
        </w:rPr>
        <w:t>background</w:t>
      </w:r>
      <w:r w:rsidR="008437FC">
        <w:rPr>
          <w:rFonts w:ascii="Arial" w:hAnsi="Arial" w:cs="Arial"/>
          <w:i w:val="0"/>
          <w:color w:val="000000" w:themeColor="text1"/>
          <w:sz w:val="24"/>
          <w:szCs w:val="24"/>
        </w:rPr>
        <w:t xml:space="preserve"> (</w:t>
      </w:r>
      <w:r>
        <w:rPr>
          <w:rFonts w:ascii="Arial" w:hAnsi="Arial" w:cs="Arial"/>
          <w:i w:val="0"/>
          <w:color w:val="000000" w:themeColor="text1"/>
          <w:sz w:val="24"/>
          <w:szCs w:val="24"/>
        </w:rPr>
        <w:t>Figure from Dumoulin &amp; Wandell, 2008).</w:t>
      </w:r>
    </w:p>
    <w:p w14:paraId="5DAD3778" w14:textId="7F84A868" w:rsidR="002E55BD" w:rsidRPr="00170639" w:rsidRDefault="002E55BD" w:rsidP="00170639">
      <w:pPr>
        <w:spacing w:line="276" w:lineRule="auto"/>
        <w:rPr>
          <w:rFonts w:ascii="Arial" w:hAnsi="Arial" w:cs="Arial"/>
          <w:b/>
          <w:bCs/>
        </w:rPr>
      </w:pPr>
      <w:r>
        <w:tab/>
      </w:r>
      <w:r>
        <w:tab/>
      </w:r>
      <w:r>
        <w:tab/>
      </w:r>
      <w:r>
        <w:tab/>
      </w:r>
      <w:r>
        <w:tab/>
      </w:r>
      <w:r>
        <w:tab/>
      </w:r>
      <w:r>
        <w:tab/>
      </w:r>
      <w:r>
        <w:tab/>
      </w:r>
      <w:r>
        <w:tab/>
      </w:r>
      <w:r>
        <w:tab/>
      </w:r>
      <w:r>
        <w:tab/>
      </w:r>
      <w:r w:rsidR="007B3A25">
        <w:rPr>
          <w:rFonts w:ascii="Arial" w:hAnsi="Arial" w:cs="Arial"/>
          <w:b/>
          <w:bCs/>
        </w:rPr>
        <w:t>68</w:t>
      </w:r>
    </w:p>
    <w:p w14:paraId="5935E7F6" w14:textId="77777777" w:rsidR="002E55BD" w:rsidRPr="00475CB6" w:rsidRDefault="002E55BD" w:rsidP="00170639">
      <w:pPr>
        <w:spacing w:line="276" w:lineRule="auto"/>
      </w:pPr>
    </w:p>
    <w:p w14:paraId="04109B64"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785643">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8</w:t>
      </w:r>
      <w:r>
        <w:rPr>
          <w:rFonts w:ascii="Arial" w:hAnsi="Arial" w:cs="Arial"/>
          <w:b/>
          <w:i w:val="0"/>
          <w:color w:val="000000" w:themeColor="text1"/>
          <w:sz w:val="24"/>
          <w:szCs w:val="24"/>
        </w:rPr>
        <w:fldChar w:fldCharType="end"/>
      </w:r>
      <w:r w:rsidRPr="00785643">
        <w:rPr>
          <w:rFonts w:ascii="Arial" w:hAnsi="Arial" w:cs="Arial"/>
          <w:i w:val="0"/>
          <w:color w:val="000000" w:themeColor="text1"/>
          <w:sz w:val="24"/>
          <w:szCs w:val="24"/>
        </w:rPr>
        <w:t xml:space="preserve"> Full-field motion-localiser stimulus. Participants viewed alternating blocks of full-field motion, left- and right-hemifield motion, static motion and fixation-only. Achromatic dots were presented on a mid-grey luminance background and had a 5.3°/second dot speed. Comparisons of the full-field versus static motion conditions allowed for accurate location of</w:t>
      </w:r>
      <w:r>
        <w:rPr>
          <w:rFonts w:ascii="Arial" w:hAnsi="Arial" w:cs="Arial"/>
          <w:i w:val="0"/>
          <w:color w:val="000000" w:themeColor="text1"/>
          <w:sz w:val="24"/>
          <w:szCs w:val="24"/>
        </w:rPr>
        <w:t xml:space="preserve"> visual area</w:t>
      </w:r>
      <w:r w:rsidRPr="00785643">
        <w:rPr>
          <w:rFonts w:ascii="Arial" w:hAnsi="Arial" w:cs="Arial"/>
          <w:i w:val="0"/>
          <w:color w:val="000000" w:themeColor="text1"/>
          <w:sz w:val="24"/>
          <w:szCs w:val="24"/>
        </w:rPr>
        <w:t xml:space="preserve"> MT+. </w:t>
      </w:r>
    </w:p>
    <w:p w14:paraId="0C2608B3" w14:textId="19E57E18" w:rsidR="002E55BD" w:rsidRPr="00170639" w:rsidRDefault="002E55BD" w:rsidP="00170639">
      <w:pPr>
        <w:spacing w:line="276" w:lineRule="auto"/>
        <w:rPr>
          <w:rFonts w:ascii="Arial" w:hAnsi="Arial" w:cs="Arial"/>
          <w:b/>
          <w:bCs/>
        </w:rPr>
      </w:pPr>
      <w:r>
        <w:tab/>
      </w:r>
      <w:r>
        <w:tab/>
      </w:r>
      <w:r>
        <w:tab/>
      </w:r>
      <w:r>
        <w:tab/>
      </w:r>
      <w:r>
        <w:tab/>
      </w:r>
      <w:r>
        <w:tab/>
      </w:r>
      <w:r>
        <w:tab/>
      </w:r>
      <w:r>
        <w:tab/>
      </w:r>
      <w:r>
        <w:tab/>
      </w:r>
      <w:r>
        <w:tab/>
      </w:r>
      <w:r>
        <w:tab/>
      </w:r>
      <w:r w:rsidRPr="00170639">
        <w:rPr>
          <w:rFonts w:ascii="Arial" w:hAnsi="Arial" w:cs="Arial"/>
          <w:b/>
          <w:bCs/>
        </w:rPr>
        <w:t>7</w:t>
      </w:r>
      <w:r w:rsidR="007B3A25">
        <w:rPr>
          <w:rFonts w:ascii="Arial" w:hAnsi="Arial" w:cs="Arial"/>
          <w:b/>
          <w:bCs/>
        </w:rPr>
        <w:t>1</w:t>
      </w:r>
    </w:p>
    <w:p w14:paraId="2A286570" w14:textId="77777777" w:rsidR="002E55BD" w:rsidRPr="00475CB6" w:rsidRDefault="002E55BD" w:rsidP="00170639">
      <w:pPr>
        <w:spacing w:line="276" w:lineRule="auto"/>
      </w:pPr>
    </w:p>
    <w:p w14:paraId="6AC84C2E" w14:textId="76BEEA9C" w:rsidR="002E55BD" w:rsidRDefault="002E55BD" w:rsidP="002E55BD">
      <w:pPr>
        <w:pStyle w:val="Caption"/>
        <w:spacing w:line="276" w:lineRule="auto"/>
        <w:ind w:left="567" w:hanging="567"/>
        <w:jc w:val="both"/>
        <w:rPr>
          <w:rFonts w:ascii="Arial" w:hAnsi="Arial" w:cs="Arial"/>
          <w:i w:val="0"/>
          <w:color w:val="000000" w:themeColor="text1"/>
          <w:sz w:val="24"/>
          <w:szCs w:val="24"/>
        </w:rPr>
      </w:pPr>
      <w:r w:rsidRPr="00150518">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9</w:t>
      </w:r>
      <w:r>
        <w:rPr>
          <w:rFonts w:ascii="Arial" w:hAnsi="Arial" w:cs="Arial"/>
          <w:b/>
          <w:i w:val="0"/>
          <w:color w:val="000000" w:themeColor="text1"/>
          <w:sz w:val="24"/>
          <w:szCs w:val="24"/>
        </w:rPr>
        <w:fldChar w:fldCharType="end"/>
      </w:r>
      <w:r w:rsidRPr="00150518">
        <w:rPr>
          <w:rFonts w:ascii="Arial" w:hAnsi="Arial" w:cs="Arial"/>
          <w:i w:val="0"/>
          <w:color w:val="000000" w:themeColor="text1"/>
          <w:sz w:val="24"/>
          <w:szCs w:val="24"/>
        </w:rPr>
        <w:t xml:space="preserve"> Support vector machine classification. Support vector machine classification takes an input of values across many instances for two conditions (here, fMRI voxel activation for during attention to orientation (red), and attention to contrast (blue)) (left). This data is transformed to a higher-dimensional space via a kernel trick to help fit a hyperplane (green) (right) linearly separating the data points into their respective conditions. This hyperplane is then used to assess classification accuracy on a test set of data. </w:t>
      </w:r>
    </w:p>
    <w:p w14:paraId="211F8064" w14:textId="1FCE81BA" w:rsidR="002E55BD" w:rsidRDefault="002E55BD" w:rsidP="002E55BD">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sidR="0083451C">
        <w:rPr>
          <w:rFonts w:ascii="Arial" w:eastAsiaTheme="minorHAnsi" w:hAnsi="Arial" w:cs="Arial"/>
          <w:b/>
          <w:iCs/>
          <w:color w:val="000000" w:themeColor="text1"/>
        </w:rPr>
        <w:t>7</w:t>
      </w:r>
      <w:r w:rsidR="007B3A25">
        <w:rPr>
          <w:rFonts w:ascii="Arial" w:eastAsiaTheme="minorHAnsi" w:hAnsi="Arial" w:cs="Arial"/>
          <w:b/>
          <w:iCs/>
          <w:color w:val="000000" w:themeColor="text1"/>
        </w:rPr>
        <w:t>5</w:t>
      </w:r>
    </w:p>
    <w:p w14:paraId="508D4396" w14:textId="77777777" w:rsidR="002E55BD" w:rsidRPr="00475CB6" w:rsidRDefault="002E55BD" w:rsidP="00170639">
      <w:pPr>
        <w:spacing w:line="276" w:lineRule="auto"/>
      </w:pPr>
    </w:p>
    <w:p w14:paraId="5666A15D" w14:textId="091A93BF" w:rsidR="002E55BD" w:rsidRDefault="002E55BD" w:rsidP="002E55BD">
      <w:pPr>
        <w:pStyle w:val="Caption"/>
        <w:spacing w:line="276" w:lineRule="auto"/>
        <w:ind w:left="567" w:hanging="567"/>
        <w:jc w:val="both"/>
        <w:rPr>
          <w:rFonts w:ascii="Arial" w:hAnsi="Arial" w:cs="Arial"/>
          <w:i w:val="0"/>
          <w:color w:val="000000" w:themeColor="text1"/>
          <w:sz w:val="24"/>
          <w:szCs w:val="24"/>
        </w:rPr>
      </w:pPr>
      <w:r w:rsidRPr="00F357F9">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F357F9">
        <w:rPr>
          <w:rFonts w:ascii="Arial" w:hAnsi="Arial" w:cs="Arial"/>
          <w:i w:val="0"/>
          <w:color w:val="000000" w:themeColor="text1"/>
          <w:sz w:val="24"/>
          <w:szCs w:val="24"/>
        </w:rPr>
        <w:t xml:space="preserve"> Exemplar threshold staircasing and selective versus divided trials. A) provides an example of an orientation threshold detection staircase</w:t>
      </w:r>
      <w:r>
        <w:rPr>
          <w:rFonts w:ascii="Arial" w:hAnsi="Arial" w:cs="Arial"/>
          <w:i w:val="0"/>
          <w:color w:val="000000" w:themeColor="text1"/>
          <w:sz w:val="24"/>
          <w:szCs w:val="24"/>
        </w:rPr>
        <w:t xml:space="preserve">. Participants viewed a reference radial frequency pattern and compared this to the presentation of a target radial frequency pattern which could alter in one of two directions for each visual feature (e.g. clockwise versus anticlockwise). Participants responded to indicate the direction of </w:t>
      </w:r>
      <w:r>
        <w:rPr>
          <w:rFonts w:ascii="Arial" w:hAnsi="Arial" w:cs="Arial"/>
          <w:i w:val="0"/>
          <w:color w:val="000000" w:themeColor="text1"/>
          <w:sz w:val="24"/>
          <w:szCs w:val="24"/>
        </w:rPr>
        <w:lastRenderedPageBreak/>
        <w:t xml:space="preserve">change. The difficulty of the task increased with every correct answer within a Bayesian staircase. </w:t>
      </w:r>
      <w:r w:rsidRPr="00F357F9">
        <w:rPr>
          <w:rFonts w:ascii="Arial" w:hAnsi="Arial" w:cs="Arial"/>
          <w:i w:val="0"/>
          <w:color w:val="000000" w:themeColor="text1"/>
          <w:sz w:val="24"/>
          <w:szCs w:val="24"/>
        </w:rPr>
        <w:t xml:space="preserve"> B) reflects an individual trial within </w:t>
      </w:r>
      <w:r>
        <w:rPr>
          <w:rFonts w:ascii="Arial" w:hAnsi="Arial" w:cs="Arial"/>
          <w:i w:val="0"/>
          <w:color w:val="000000" w:themeColor="text1"/>
          <w:sz w:val="24"/>
          <w:szCs w:val="24"/>
        </w:rPr>
        <w:t>the selective versus distributed paradigm. Participants made a yes.no ‘same/different’ response based on the presence/absence of a change in the attended feature(s).</w:t>
      </w:r>
    </w:p>
    <w:p w14:paraId="5BA2BAD6" w14:textId="2F1A8A36" w:rsidR="002E55BD" w:rsidRPr="00170639" w:rsidRDefault="002E55BD" w:rsidP="00170639">
      <w:pPr>
        <w:rPr>
          <w:i/>
        </w:rPr>
      </w:pP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sidR="0083451C">
        <w:rPr>
          <w:rFonts w:ascii="Arial" w:eastAsiaTheme="minorHAnsi" w:hAnsi="Arial" w:cs="Arial"/>
          <w:b/>
          <w:iCs/>
          <w:color w:val="000000" w:themeColor="text1"/>
        </w:rPr>
        <w:t>8</w:t>
      </w:r>
      <w:r w:rsidR="007B3A25">
        <w:rPr>
          <w:rFonts w:ascii="Arial" w:eastAsiaTheme="minorHAnsi" w:hAnsi="Arial" w:cs="Arial"/>
          <w:b/>
          <w:iCs/>
          <w:color w:val="000000" w:themeColor="text1"/>
        </w:rPr>
        <w:t>7</w:t>
      </w:r>
    </w:p>
    <w:p w14:paraId="2BC4D028" w14:textId="77777777" w:rsidR="002E55BD" w:rsidRPr="00475CB6" w:rsidRDefault="002E55BD" w:rsidP="00170639">
      <w:pPr>
        <w:spacing w:line="276" w:lineRule="auto"/>
      </w:pPr>
    </w:p>
    <w:p w14:paraId="3872514B"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170F98">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170F98">
        <w:rPr>
          <w:rFonts w:ascii="Arial" w:hAnsi="Arial" w:cs="Arial"/>
          <w:i w:val="0"/>
          <w:color w:val="000000" w:themeColor="text1"/>
          <w:sz w:val="24"/>
          <w:szCs w:val="24"/>
        </w:rPr>
        <w:t xml:space="preserve"> Significantly greater participant accuracy (indexed by loglinear d’) (A) and faster reaction times (B) in selective than distributed attentional conditions. Error bars reflect +/- 1 standard error.</w:t>
      </w:r>
    </w:p>
    <w:p w14:paraId="14A57E05" w14:textId="12CE9401" w:rsidR="002E55BD" w:rsidRPr="00170639" w:rsidRDefault="002E55BD" w:rsidP="00170639">
      <w:pPr>
        <w:spacing w:line="276" w:lineRule="auto"/>
        <w:rPr>
          <w:rFonts w:ascii="Arial" w:hAnsi="Arial" w:cs="Arial"/>
          <w:b/>
          <w:bCs/>
        </w:rPr>
      </w:pPr>
      <w:r>
        <w:tab/>
      </w:r>
      <w:r>
        <w:tab/>
      </w:r>
      <w:r>
        <w:tab/>
      </w:r>
      <w:r>
        <w:tab/>
      </w:r>
      <w:r>
        <w:tab/>
      </w:r>
      <w:r>
        <w:tab/>
      </w:r>
      <w:r>
        <w:tab/>
      </w:r>
      <w:r>
        <w:tab/>
      </w:r>
      <w:r>
        <w:tab/>
      </w:r>
      <w:r>
        <w:tab/>
      </w:r>
      <w:r>
        <w:tab/>
      </w:r>
      <w:r w:rsidRPr="00170639">
        <w:rPr>
          <w:rFonts w:ascii="Arial" w:hAnsi="Arial" w:cs="Arial"/>
          <w:b/>
          <w:bCs/>
        </w:rPr>
        <w:t>9</w:t>
      </w:r>
      <w:r w:rsidR="007B3A25">
        <w:rPr>
          <w:rFonts w:ascii="Arial" w:hAnsi="Arial" w:cs="Arial"/>
          <w:b/>
          <w:bCs/>
        </w:rPr>
        <w:t>4</w:t>
      </w:r>
    </w:p>
    <w:p w14:paraId="2BE03C24" w14:textId="77777777" w:rsidR="002E55BD" w:rsidRPr="00475CB6" w:rsidRDefault="002E55BD" w:rsidP="00170639">
      <w:pPr>
        <w:spacing w:line="276" w:lineRule="auto"/>
      </w:pPr>
    </w:p>
    <w:p w14:paraId="546FFF01" w14:textId="77777777" w:rsidR="002E55BD" w:rsidRPr="00170639" w:rsidRDefault="002E55BD" w:rsidP="00170639">
      <w:pPr>
        <w:pStyle w:val="Caption"/>
        <w:spacing w:line="276" w:lineRule="auto"/>
        <w:ind w:left="567" w:hanging="567"/>
        <w:jc w:val="both"/>
        <w:rPr>
          <w:rFonts w:ascii="Arial" w:hAnsi="Arial" w:cs="Arial"/>
          <w:b/>
          <w:bCs/>
          <w:i w:val="0"/>
          <w:color w:val="000000" w:themeColor="text1"/>
          <w:sz w:val="24"/>
          <w:szCs w:val="24"/>
        </w:rPr>
      </w:pPr>
      <w:r w:rsidRPr="00170F98">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170F98">
        <w:rPr>
          <w:rFonts w:ascii="Arial" w:hAnsi="Arial" w:cs="Arial"/>
          <w:i w:val="0"/>
          <w:color w:val="000000" w:themeColor="text1"/>
          <w:sz w:val="24"/>
          <w:szCs w:val="24"/>
        </w:rPr>
        <w:t xml:space="preserve"> No significant difference in loglinear d’ (A) or reaction time (B) between selective attention directed toward orientation, contrast or shape. Error bars reflect +/- 1 standard error.</w:t>
      </w:r>
    </w:p>
    <w:p w14:paraId="67969F9B" w14:textId="41F065F8" w:rsidR="002E55BD" w:rsidRPr="00170639" w:rsidRDefault="002E55BD" w:rsidP="00170639">
      <w:pPr>
        <w:spacing w:line="276" w:lineRule="auto"/>
        <w:rPr>
          <w:rFonts w:ascii="Arial" w:hAnsi="Arial" w:cs="Arial"/>
          <w:b/>
          <w:bCs/>
        </w:rPr>
      </w:pPr>
      <w:r w:rsidRPr="00170639">
        <w:rPr>
          <w:rFonts w:ascii="Arial" w:hAnsi="Arial" w:cs="Arial"/>
          <w:b/>
          <w:bCs/>
        </w:rPr>
        <w:tab/>
      </w:r>
      <w:r w:rsidRPr="00170639">
        <w:rPr>
          <w:rFonts w:ascii="Arial" w:hAnsi="Arial" w:cs="Arial"/>
          <w:b/>
          <w:bCs/>
        </w:rPr>
        <w:tab/>
      </w:r>
      <w:r w:rsidRPr="00170639">
        <w:rPr>
          <w:rFonts w:ascii="Arial" w:hAnsi="Arial" w:cs="Arial"/>
          <w:b/>
          <w:bCs/>
        </w:rPr>
        <w:tab/>
      </w:r>
      <w:r w:rsidRPr="00170639">
        <w:rPr>
          <w:rFonts w:ascii="Arial" w:hAnsi="Arial" w:cs="Arial"/>
          <w:b/>
          <w:bCs/>
        </w:rPr>
        <w:tab/>
      </w:r>
      <w:r w:rsidRPr="00170639">
        <w:rPr>
          <w:rFonts w:ascii="Arial" w:hAnsi="Arial" w:cs="Arial"/>
          <w:b/>
          <w:bCs/>
        </w:rPr>
        <w:tab/>
      </w:r>
      <w:r w:rsidRPr="00170639">
        <w:rPr>
          <w:rFonts w:ascii="Arial" w:hAnsi="Arial" w:cs="Arial"/>
          <w:b/>
          <w:bCs/>
        </w:rPr>
        <w:tab/>
      </w:r>
      <w:r w:rsidRPr="00170639">
        <w:rPr>
          <w:rFonts w:ascii="Arial" w:hAnsi="Arial" w:cs="Arial"/>
          <w:b/>
          <w:bCs/>
        </w:rPr>
        <w:tab/>
      </w:r>
      <w:r w:rsidRPr="00170639">
        <w:rPr>
          <w:rFonts w:ascii="Arial" w:hAnsi="Arial" w:cs="Arial"/>
          <w:b/>
          <w:bCs/>
        </w:rPr>
        <w:tab/>
      </w:r>
      <w:r w:rsidRPr="00170639">
        <w:rPr>
          <w:rFonts w:ascii="Arial" w:hAnsi="Arial" w:cs="Arial"/>
          <w:b/>
          <w:bCs/>
        </w:rPr>
        <w:tab/>
      </w:r>
      <w:r w:rsidRPr="00170639">
        <w:rPr>
          <w:rFonts w:ascii="Arial" w:hAnsi="Arial" w:cs="Arial"/>
          <w:b/>
          <w:bCs/>
        </w:rPr>
        <w:tab/>
      </w:r>
      <w:r w:rsidR="00232278">
        <w:rPr>
          <w:rFonts w:ascii="Arial" w:hAnsi="Arial" w:cs="Arial"/>
          <w:b/>
          <w:bCs/>
        </w:rPr>
        <w:t xml:space="preserve">        </w:t>
      </w:r>
      <w:r w:rsidR="007B3A25">
        <w:rPr>
          <w:rFonts w:ascii="Arial" w:hAnsi="Arial" w:cs="Arial"/>
          <w:b/>
          <w:bCs/>
        </w:rPr>
        <w:t xml:space="preserve">  </w:t>
      </w:r>
      <w:r w:rsidR="0083451C">
        <w:rPr>
          <w:rFonts w:ascii="Arial" w:hAnsi="Arial" w:cs="Arial"/>
          <w:b/>
          <w:bCs/>
        </w:rPr>
        <w:t>9</w:t>
      </w:r>
      <w:r w:rsidR="007B3A25">
        <w:rPr>
          <w:rFonts w:ascii="Arial" w:hAnsi="Arial" w:cs="Arial"/>
          <w:b/>
          <w:bCs/>
        </w:rPr>
        <w:t>5</w:t>
      </w:r>
    </w:p>
    <w:p w14:paraId="1875D9C6" w14:textId="77777777" w:rsidR="002E55BD" w:rsidRPr="00475CB6" w:rsidRDefault="002E55BD" w:rsidP="00170639">
      <w:pPr>
        <w:spacing w:line="276" w:lineRule="auto"/>
      </w:pPr>
    </w:p>
    <w:p w14:paraId="7C3039F2" w14:textId="37A326F7" w:rsidR="002E55BD" w:rsidRDefault="002E55BD" w:rsidP="00170639">
      <w:pPr>
        <w:pStyle w:val="Caption"/>
        <w:spacing w:line="276" w:lineRule="auto"/>
        <w:ind w:left="567" w:hanging="567"/>
        <w:jc w:val="both"/>
        <w:rPr>
          <w:rFonts w:ascii="Arial" w:hAnsi="Arial" w:cs="Arial"/>
          <w:i w:val="0"/>
          <w:iCs w:val="0"/>
          <w:color w:val="000000" w:themeColor="text1"/>
          <w:sz w:val="24"/>
          <w:szCs w:val="24"/>
          <w:lang w:val="en-US"/>
        </w:rPr>
      </w:pPr>
      <w:r w:rsidRPr="002F3392">
        <w:rPr>
          <w:rFonts w:ascii="Arial" w:hAnsi="Arial" w:cs="Arial"/>
          <w:b/>
          <w:i w:val="0"/>
          <w:color w:val="000000" w:themeColor="text1"/>
          <w:sz w:val="24"/>
          <w:szCs w:val="24"/>
        </w:rPr>
        <w:t>Figure</w:t>
      </w:r>
      <w:r>
        <w:rPr>
          <w:rFonts w:ascii="Arial" w:hAnsi="Arial" w:cs="Arial"/>
          <w:b/>
          <w:i w:val="0"/>
          <w:color w:val="000000" w:themeColor="text1"/>
          <w:sz w:val="24"/>
          <w:szCs w:val="24"/>
        </w:rPr>
        <w:t xml:space="preserv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2F3392">
        <w:rPr>
          <w:rFonts w:ascii="Arial" w:hAnsi="Arial" w:cs="Arial"/>
          <w:i w:val="0"/>
          <w:color w:val="000000" w:themeColor="text1"/>
          <w:sz w:val="24"/>
          <w:szCs w:val="24"/>
        </w:rPr>
        <w:t xml:space="preserve"> </w:t>
      </w:r>
      <w:r w:rsidRPr="002F3392">
        <w:rPr>
          <w:rFonts w:ascii="Arial" w:hAnsi="Arial" w:cs="Arial"/>
          <w:i w:val="0"/>
          <w:iCs w:val="0"/>
          <w:color w:val="000000" w:themeColor="text1"/>
          <w:sz w:val="24"/>
          <w:szCs w:val="24"/>
          <w:lang w:val="en-US"/>
        </w:rPr>
        <w:t xml:space="preserve">Exemplar stimuli and retinotopic maps. A) Example psychophysics/fMRI trial structure B) Example high-contrast phase-reversing checkerboard drifting bar stimulus used to gain estimates of population receptive field size, as in Dumoulin &amp; Wandell (2008). C) Full-field motion stimulus used to help delineate MT+ ROIs, (adapted from </w:t>
      </w:r>
      <w:r w:rsidRPr="002F3392">
        <w:rPr>
          <w:rFonts w:ascii="Arial" w:hAnsi="Arial" w:cs="Arial"/>
          <w:i w:val="0"/>
          <w:noProof/>
          <w:color w:val="000000" w:themeColor="text1"/>
          <w:sz w:val="24"/>
          <w:szCs w:val="24"/>
        </w:rPr>
        <w:t xml:space="preserve">Huk et al., 2002; Fischer et al., 2012; Maloney et al., 2013). </w:t>
      </w:r>
      <w:r w:rsidRPr="002F3392">
        <w:rPr>
          <w:rFonts w:ascii="Arial" w:hAnsi="Arial" w:cs="Arial"/>
          <w:i w:val="0"/>
          <w:iCs w:val="0"/>
          <w:color w:val="000000" w:themeColor="text1"/>
          <w:sz w:val="24"/>
          <w:szCs w:val="24"/>
          <w:lang w:val="en-US"/>
        </w:rPr>
        <w:t>D &amp; E) Exemplar left hemisphere retinotopic maps with ROI border overlays presented on flattened cortical representations for one participant. Visual ROIs were defined on the basis of eccentricity (A) and polar angle (B) in accordance with the processes described in Dumoulin, Wandell &amp; Brewer (2007).</w:t>
      </w:r>
    </w:p>
    <w:p w14:paraId="612C01E2" w14:textId="0396EC94" w:rsidR="002E55BD" w:rsidRPr="00170639" w:rsidRDefault="00232278" w:rsidP="00170639">
      <w:pPr>
        <w:spacing w:line="276" w:lineRule="auto"/>
        <w:rPr>
          <w:rFonts w:ascii="Arial" w:hAnsi="Arial" w:cs="Arial"/>
          <w:b/>
          <w:bCs/>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t xml:space="preserve">         </w:t>
      </w:r>
      <w:r w:rsidRPr="00170639">
        <w:rPr>
          <w:rFonts w:ascii="Arial" w:hAnsi="Arial" w:cs="Arial"/>
          <w:b/>
          <w:bCs/>
          <w:lang w:val="en-US"/>
        </w:rPr>
        <w:t>1</w:t>
      </w:r>
      <w:r w:rsidR="0083451C">
        <w:rPr>
          <w:rFonts w:ascii="Arial" w:hAnsi="Arial" w:cs="Arial"/>
          <w:b/>
          <w:bCs/>
          <w:lang w:val="en-US"/>
        </w:rPr>
        <w:t>1</w:t>
      </w:r>
      <w:r w:rsidR="007B3A25">
        <w:rPr>
          <w:rFonts w:ascii="Arial" w:hAnsi="Arial" w:cs="Arial"/>
          <w:b/>
          <w:bCs/>
          <w:lang w:val="en-US"/>
        </w:rPr>
        <w:t>2</w:t>
      </w:r>
    </w:p>
    <w:p w14:paraId="70511670" w14:textId="77777777" w:rsidR="002E55BD" w:rsidRPr="00475CB6" w:rsidRDefault="002E55BD" w:rsidP="00170639">
      <w:pPr>
        <w:spacing w:line="276" w:lineRule="auto"/>
        <w:rPr>
          <w:lang w:val="en-US"/>
        </w:rPr>
      </w:pPr>
    </w:p>
    <w:p w14:paraId="71D6B0A2" w14:textId="77777777" w:rsidR="002E55BD" w:rsidRDefault="002E55BD" w:rsidP="00170639">
      <w:pPr>
        <w:pStyle w:val="Caption"/>
        <w:keepNext/>
        <w:spacing w:line="276" w:lineRule="auto"/>
        <w:ind w:left="567" w:hanging="567"/>
        <w:jc w:val="both"/>
        <w:rPr>
          <w:rFonts w:ascii="Arial" w:hAnsi="Arial" w:cs="Arial"/>
          <w:i w:val="0"/>
          <w:iCs w:val="0"/>
          <w:color w:val="000000" w:themeColor="text1"/>
          <w:sz w:val="24"/>
          <w:szCs w:val="24"/>
          <w:lang w:val="en-US"/>
        </w:rPr>
      </w:pPr>
      <w:r w:rsidRPr="002F3392">
        <w:rPr>
          <w:rFonts w:ascii="Arial" w:hAnsi="Arial" w:cs="Arial"/>
          <w:b/>
          <w:i w:val="0"/>
          <w:color w:val="000000" w:themeColor="text1"/>
          <w:sz w:val="24"/>
          <w:szCs w:val="24"/>
        </w:rPr>
        <w:t>Figure</w:t>
      </w:r>
      <w:r>
        <w:rPr>
          <w:rFonts w:ascii="Arial" w:hAnsi="Arial" w:cs="Arial"/>
          <w:b/>
          <w:i w:val="0"/>
          <w:color w:val="000000" w:themeColor="text1"/>
          <w:sz w:val="24"/>
          <w:szCs w:val="24"/>
        </w:rPr>
        <w:t xml:space="preserv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2F3392">
        <w:rPr>
          <w:rFonts w:ascii="Arial" w:hAnsi="Arial" w:cs="Arial"/>
          <w:i w:val="0"/>
          <w:color w:val="000000" w:themeColor="text1"/>
          <w:sz w:val="24"/>
          <w:szCs w:val="24"/>
        </w:rPr>
        <w:t xml:space="preserve"> </w:t>
      </w:r>
      <w:r w:rsidRPr="002F3392">
        <w:rPr>
          <w:rFonts w:ascii="Arial" w:hAnsi="Arial" w:cs="Arial"/>
          <w:i w:val="0"/>
          <w:iCs w:val="0"/>
          <w:color w:val="000000" w:themeColor="text1"/>
          <w:sz w:val="24"/>
          <w:szCs w:val="24"/>
          <w:lang w:val="en-US"/>
        </w:rPr>
        <w:t>Univariate responses to both attention and stimulus modulation are weak. A) Mean BOLD modulation due to attention: positive values reflect greater BOLD amplitude during directed attention (averaged across attentional conditions). Data are shown for 5 visual ROIs: V1, V3A/B, hV4, LO-1 and LO-2 as well as a control area (auditory cortex- A1). No areas exhibit significantly larger BOLD modulation the attend vs passive comparison. B) Mean bottom-up stimulus responses to individual modulation events averaged over all attentional conditions. No areas exhibit differential responses to bottom-up stimulus modulations.</w:t>
      </w:r>
      <w:r>
        <w:rPr>
          <w:rFonts w:ascii="Arial" w:hAnsi="Arial" w:cs="Arial"/>
          <w:i w:val="0"/>
          <w:iCs w:val="0"/>
          <w:color w:val="000000" w:themeColor="text1"/>
          <w:sz w:val="24"/>
          <w:szCs w:val="24"/>
          <w:lang w:val="en-US"/>
        </w:rPr>
        <w:t xml:space="preserve"> </w:t>
      </w:r>
      <w:r w:rsidRPr="002F3392">
        <w:rPr>
          <w:rFonts w:ascii="Arial" w:hAnsi="Arial" w:cs="Arial"/>
          <w:i w:val="0"/>
          <w:iCs w:val="0"/>
          <w:color w:val="000000" w:themeColor="text1"/>
          <w:sz w:val="24"/>
          <w:szCs w:val="24"/>
          <w:lang w:val="en-US"/>
        </w:rPr>
        <w:t xml:space="preserve">C) Feature-specific attentional modulations averaged over all modulation types. Area LO-2 shows a slight increase in BOLD amplitude when </w:t>
      </w:r>
      <w:r w:rsidRPr="002F3392">
        <w:rPr>
          <w:rFonts w:ascii="Arial" w:hAnsi="Arial" w:cs="Arial"/>
          <w:i w:val="0"/>
          <w:iCs w:val="0"/>
          <w:color w:val="000000" w:themeColor="text1"/>
          <w:sz w:val="24"/>
          <w:szCs w:val="24"/>
          <w:lang w:val="en-US"/>
        </w:rPr>
        <w:lastRenderedPageBreak/>
        <w:t>subjects attend to shape. All error bars are +/- 1 SEM and significance asterisks indicate Benjamini-Hochberg corrected values.</w:t>
      </w:r>
    </w:p>
    <w:p w14:paraId="5443310F" w14:textId="11C2B1AB" w:rsidR="002E55BD" w:rsidRPr="00170639" w:rsidRDefault="00232278" w:rsidP="00170639">
      <w:pPr>
        <w:spacing w:line="276" w:lineRule="auto"/>
        <w:rPr>
          <w:rFonts w:ascii="Arial" w:hAnsi="Arial" w:cs="Arial"/>
          <w:b/>
          <w:bCs/>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sidRPr="00170639">
        <w:rPr>
          <w:rFonts w:ascii="Arial" w:hAnsi="Arial" w:cs="Arial"/>
          <w:b/>
          <w:bCs/>
          <w:lang w:val="en-US"/>
        </w:rPr>
        <w:t xml:space="preserve">        12</w:t>
      </w:r>
      <w:r w:rsidR="007B3A25">
        <w:rPr>
          <w:rFonts w:ascii="Arial" w:hAnsi="Arial" w:cs="Arial"/>
          <w:b/>
          <w:bCs/>
          <w:lang w:val="en-US"/>
        </w:rPr>
        <w:t>1</w:t>
      </w:r>
    </w:p>
    <w:p w14:paraId="30BDF02E" w14:textId="77777777" w:rsidR="002E55BD" w:rsidRPr="00475CB6" w:rsidRDefault="002E55BD" w:rsidP="00170639">
      <w:pPr>
        <w:spacing w:line="276" w:lineRule="auto"/>
        <w:rPr>
          <w:lang w:val="en-US"/>
        </w:rPr>
      </w:pPr>
    </w:p>
    <w:p w14:paraId="01B3E57D"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014957">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014957">
        <w:rPr>
          <w:rFonts w:ascii="Arial" w:hAnsi="Arial" w:cs="Arial"/>
          <w:i w:val="0"/>
          <w:color w:val="000000" w:themeColor="text1"/>
          <w:sz w:val="24"/>
          <w:szCs w:val="24"/>
        </w:rPr>
        <w:t xml:space="preserve"> Multivariate Support Vector Machine Decoding. Voxel-level responses with individual ROIs are modulated by attentional state, but not by bottom-up changes in stimulus features. A) Overall three-way decoding accuracies. Stimulus change cannot be accurately decoded in an ROI examined. B) Attentional state can be decoded above chance in all ROIs except A1. Error bars reflect +/- 1 SEM</w:t>
      </w:r>
      <w:r>
        <w:rPr>
          <w:rFonts w:ascii="Arial" w:hAnsi="Arial" w:cs="Arial"/>
          <w:i w:val="0"/>
          <w:color w:val="000000" w:themeColor="text1"/>
          <w:sz w:val="24"/>
          <w:szCs w:val="24"/>
        </w:rPr>
        <w:t xml:space="preserve">. </w:t>
      </w:r>
      <w:r w:rsidRPr="00014957">
        <w:rPr>
          <w:rFonts w:ascii="Arial" w:hAnsi="Arial" w:cs="Arial"/>
          <w:i w:val="0"/>
          <w:color w:val="000000" w:themeColor="text1"/>
          <w:sz w:val="24"/>
          <w:szCs w:val="24"/>
        </w:rPr>
        <w:t xml:space="preserve">C) Two-way classification accuracies across pairwise combinations of attentional focus (orientation versus shape, orientation versus contrast and contrast versus shape). Voxel patterns in all areas differ significantly between attention to orientation and shape. </w:t>
      </w:r>
      <w:r>
        <w:rPr>
          <w:rFonts w:ascii="Arial" w:hAnsi="Arial" w:cs="Arial"/>
          <w:i w:val="0"/>
          <w:color w:val="000000" w:themeColor="text1"/>
          <w:sz w:val="24"/>
          <w:szCs w:val="24"/>
        </w:rPr>
        <w:t>S</w:t>
      </w:r>
      <w:r w:rsidRPr="00014957">
        <w:rPr>
          <w:rFonts w:ascii="Arial" w:hAnsi="Arial" w:cs="Arial"/>
          <w:i w:val="0"/>
          <w:color w:val="000000" w:themeColor="text1"/>
          <w:sz w:val="24"/>
          <w:szCs w:val="24"/>
        </w:rPr>
        <w:t>ignificance asterisks indicate Benjamini-Hochberg corrected values.</w:t>
      </w:r>
    </w:p>
    <w:p w14:paraId="6D77988A" w14:textId="654806A0" w:rsidR="002E55BD" w:rsidRPr="00170639" w:rsidRDefault="00232278" w:rsidP="00170639">
      <w:pPr>
        <w:spacing w:line="276" w:lineRule="auto"/>
        <w:rPr>
          <w:rFonts w:ascii="Arial" w:hAnsi="Arial" w:cs="Arial"/>
          <w:b/>
          <w:bCs/>
        </w:rPr>
      </w:pPr>
      <w:r>
        <w:tab/>
      </w:r>
      <w:r>
        <w:tab/>
      </w:r>
      <w:r>
        <w:tab/>
      </w:r>
      <w:r>
        <w:tab/>
      </w:r>
      <w:r>
        <w:tab/>
      </w:r>
      <w:r>
        <w:tab/>
      </w:r>
      <w:r>
        <w:tab/>
      </w:r>
      <w:r>
        <w:tab/>
      </w:r>
      <w:r>
        <w:tab/>
      </w:r>
      <w:r>
        <w:tab/>
        <w:t xml:space="preserve">         </w:t>
      </w:r>
      <w:r w:rsidRPr="00170639">
        <w:rPr>
          <w:rFonts w:ascii="Arial" w:hAnsi="Arial" w:cs="Arial"/>
          <w:b/>
          <w:bCs/>
        </w:rPr>
        <w:t>12</w:t>
      </w:r>
      <w:r w:rsidR="007B3A25">
        <w:rPr>
          <w:rFonts w:ascii="Arial" w:hAnsi="Arial" w:cs="Arial"/>
          <w:b/>
          <w:bCs/>
        </w:rPr>
        <w:t>3</w:t>
      </w:r>
    </w:p>
    <w:p w14:paraId="2023E5D1" w14:textId="77777777" w:rsidR="002E55BD" w:rsidRPr="00475CB6" w:rsidRDefault="002E55BD" w:rsidP="00170639">
      <w:pPr>
        <w:spacing w:line="276" w:lineRule="auto"/>
      </w:pPr>
    </w:p>
    <w:p w14:paraId="1C343AE6"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lang w:val="en-US"/>
        </w:rPr>
      </w:pPr>
      <w:r w:rsidRPr="00014957">
        <w:rPr>
          <w:rFonts w:ascii="Arial" w:hAnsi="Arial" w:cs="Arial"/>
          <w:b/>
          <w:i w:val="0"/>
          <w:color w:val="000000" w:themeColor="text1"/>
          <w:sz w:val="24"/>
          <w:szCs w:val="24"/>
        </w:rPr>
        <w:t>Figure</w:t>
      </w:r>
      <w:r>
        <w:rPr>
          <w:rFonts w:ascii="Arial" w:hAnsi="Arial" w:cs="Arial"/>
          <w:b/>
          <w:i w:val="0"/>
          <w:color w:val="000000" w:themeColor="text1"/>
          <w:sz w:val="24"/>
          <w:szCs w:val="24"/>
        </w:rPr>
        <w:t xml:space="preserv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sidRPr="00014957">
        <w:rPr>
          <w:rFonts w:ascii="Arial" w:hAnsi="Arial" w:cs="Arial"/>
          <w:i w:val="0"/>
          <w:color w:val="000000" w:themeColor="text1"/>
          <w:sz w:val="24"/>
          <w:szCs w:val="24"/>
        </w:rPr>
        <w:t xml:space="preserve"> </w:t>
      </w:r>
      <w:r w:rsidRPr="00014957">
        <w:rPr>
          <w:rFonts w:ascii="Arial" w:hAnsi="Arial" w:cs="Arial"/>
          <w:i w:val="0"/>
          <w:iCs w:val="0"/>
          <w:color w:val="000000" w:themeColor="text1"/>
          <w:sz w:val="24"/>
          <w:szCs w:val="24"/>
          <w:lang w:val="en-US"/>
        </w:rPr>
        <w:t>Group-averaged voxel feature-specific weights as a function of eccentricity (6°) and polar angle (360°) reveal no large-scale biases in voxel weights across location. The gray annulus reflects averaged voxel modulation at 1° intervals across 1.5-2.5° visual space. Deviations from circularity indicate positive (feature-specific) or negative (passive viewing) preferring clusters of voxels. A radial frequency pattern stimulus overlay is provided for reference. Activation is thresholded at +/- 1.7 z-score (p</w:t>
      </w:r>
      <w:r w:rsidRPr="00014957">
        <w:rPr>
          <w:rFonts w:ascii="Arial" w:hAnsi="Arial" w:cs="Arial"/>
          <w:i w:val="0"/>
          <w:color w:val="000000" w:themeColor="text1"/>
          <w:sz w:val="24"/>
          <w:szCs w:val="24"/>
          <w:lang w:val="en-US"/>
        </w:rPr>
        <w:t xml:space="preserve"> &lt;0.05).</w:t>
      </w:r>
    </w:p>
    <w:p w14:paraId="1AC45755" w14:textId="1B85EAE7" w:rsidR="002E55BD" w:rsidRPr="00170639" w:rsidRDefault="00232278" w:rsidP="00170639">
      <w:pPr>
        <w:spacing w:line="276" w:lineRule="auto"/>
        <w:rPr>
          <w:rFonts w:ascii="Arial" w:hAnsi="Arial" w:cs="Arial"/>
          <w:b/>
          <w:bCs/>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t xml:space="preserve">         </w:t>
      </w:r>
      <w:r w:rsidRPr="00170639">
        <w:rPr>
          <w:rFonts w:ascii="Arial" w:hAnsi="Arial" w:cs="Arial"/>
          <w:b/>
          <w:bCs/>
          <w:lang w:val="en-US"/>
        </w:rPr>
        <w:t>1</w:t>
      </w:r>
      <w:r w:rsidR="0083451C">
        <w:rPr>
          <w:rFonts w:ascii="Arial" w:hAnsi="Arial" w:cs="Arial"/>
          <w:b/>
          <w:bCs/>
          <w:lang w:val="en-US"/>
        </w:rPr>
        <w:t>2</w:t>
      </w:r>
      <w:r w:rsidR="007B3A25">
        <w:rPr>
          <w:rFonts w:ascii="Arial" w:hAnsi="Arial" w:cs="Arial"/>
          <w:b/>
          <w:bCs/>
          <w:lang w:val="en-US"/>
        </w:rPr>
        <w:t>6</w:t>
      </w:r>
    </w:p>
    <w:p w14:paraId="7957202E" w14:textId="77777777" w:rsidR="002E55BD" w:rsidRPr="00475CB6" w:rsidRDefault="002E55BD" w:rsidP="00170639">
      <w:pPr>
        <w:spacing w:line="276" w:lineRule="auto"/>
        <w:rPr>
          <w:lang w:val="en-US"/>
        </w:rPr>
      </w:pPr>
    </w:p>
    <w:p w14:paraId="1E7A8FC8" w14:textId="13F18AED"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D4075A">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sidRPr="00D4075A">
        <w:rPr>
          <w:rFonts w:ascii="Arial" w:hAnsi="Arial" w:cs="Arial"/>
          <w:i w:val="0"/>
          <w:color w:val="000000" w:themeColor="text1"/>
          <w:sz w:val="24"/>
          <w:szCs w:val="24"/>
        </w:rPr>
        <w:t xml:space="preserve"> Greater overall connectivity during passive viewing compared to directed attention. A) Group feature-specific averaged attentional modulation connectivity values, indicating significantly greater mean connectivity during passive viewing than in the attentional tasks.</w:t>
      </w:r>
      <w:r w:rsidRPr="00D4075A">
        <w:rPr>
          <w:rFonts w:ascii="Arial" w:hAnsi="Arial" w:cs="Arial"/>
          <w:i w:val="0"/>
          <w:iCs w:val="0"/>
          <w:color w:val="000000" w:themeColor="text1"/>
          <w:sz w:val="24"/>
          <w:szCs w:val="24"/>
          <w:lang w:val="en-US"/>
        </w:rPr>
        <w:t xml:space="preserve"> B) Bootstrapped measures of distance between pairwise combinations of attentional focus conditions, for V1, V3A/B, hV4, LO-1, LO-2 and IPS0 ROIs</w:t>
      </w:r>
      <w:r>
        <w:rPr>
          <w:rFonts w:ascii="Arial" w:hAnsi="Arial" w:cs="Arial"/>
          <w:i w:val="0"/>
          <w:color w:val="000000" w:themeColor="text1"/>
          <w:sz w:val="24"/>
          <w:szCs w:val="24"/>
        </w:rPr>
        <w:t xml:space="preserve">. The matrices </w:t>
      </w:r>
      <w:r w:rsidR="0083451C">
        <w:rPr>
          <w:rFonts w:ascii="Arial" w:hAnsi="Arial" w:cs="Arial"/>
          <w:i w:val="0"/>
          <w:color w:val="000000" w:themeColor="text1"/>
          <w:sz w:val="24"/>
          <w:szCs w:val="24"/>
        </w:rPr>
        <w:t>demonstrate</w:t>
      </w:r>
      <w:r>
        <w:rPr>
          <w:rFonts w:ascii="Arial" w:hAnsi="Arial" w:cs="Arial"/>
          <w:i w:val="0"/>
          <w:color w:val="000000" w:themeColor="text1"/>
          <w:sz w:val="24"/>
          <w:szCs w:val="24"/>
        </w:rPr>
        <w:t xml:space="preserve"> the percentage overlap between the distribution of RMSE scores across 10,000 iterations of randomly-selected samples of the observed data and scrambled correlation ‘noise’ data, for each ROI across multiple pairwise comparisons. </w:t>
      </w:r>
      <w:r w:rsidRPr="009D2FD7">
        <w:rPr>
          <w:rFonts w:ascii="Arial" w:hAnsi="Arial" w:cs="Arial"/>
          <w:i w:val="0"/>
          <w:color w:val="000000" w:themeColor="text1"/>
          <w:sz w:val="24"/>
          <w:szCs w:val="24"/>
        </w:rPr>
        <w:t>Significant</w:t>
      </w:r>
      <w:r>
        <w:rPr>
          <w:rFonts w:ascii="Arial" w:hAnsi="Arial" w:cs="Arial"/>
          <w:i w:val="0"/>
          <w:color w:val="000000" w:themeColor="text1"/>
          <w:sz w:val="24"/>
          <w:szCs w:val="24"/>
        </w:rPr>
        <w:t xml:space="preserve"> overlap (less than 5%) </w:t>
      </w:r>
      <w:r w:rsidRPr="009D2FD7">
        <w:rPr>
          <w:rFonts w:ascii="Arial" w:hAnsi="Arial" w:cs="Arial"/>
          <w:i w:val="0"/>
          <w:color w:val="000000" w:themeColor="text1"/>
          <w:sz w:val="24"/>
          <w:szCs w:val="24"/>
        </w:rPr>
        <w:t>between pairwise combinations of condition are indicated with asterisks.</w:t>
      </w:r>
    </w:p>
    <w:p w14:paraId="5EEAA3ED" w14:textId="411912FD" w:rsidR="002E55BD" w:rsidRPr="00170639" w:rsidRDefault="00232278" w:rsidP="00170639">
      <w:pPr>
        <w:spacing w:line="276" w:lineRule="auto"/>
        <w:rPr>
          <w:rFonts w:ascii="Arial" w:hAnsi="Arial" w:cs="Arial"/>
          <w:b/>
          <w:bCs/>
        </w:rPr>
      </w:pPr>
      <w:r>
        <w:tab/>
      </w:r>
      <w:r>
        <w:tab/>
      </w:r>
      <w:r>
        <w:tab/>
      </w:r>
      <w:r>
        <w:tab/>
      </w:r>
      <w:r>
        <w:tab/>
      </w:r>
      <w:r>
        <w:tab/>
      </w:r>
      <w:r>
        <w:tab/>
      </w:r>
      <w:r>
        <w:tab/>
      </w:r>
      <w:r>
        <w:tab/>
      </w:r>
      <w:r>
        <w:tab/>
        <w:t xml:space="preserve">         </w:t>
      </w:r>
      <w:r w:rsidRPr="00170639">
        <w:rPr>
          <w:rFonts w:ascii="Arial" w:hAnsi="Arial" w:cs="Arial"/>
          <w:b/>
          <w:bCs/>
        </w:rPr>
        <w:t>1</w:t>
      </w:r>
      <w:r w:rsidR="007B3A25">
        <w:rPr>
          <w:rFonts w:ascii="Arial" w:hAnsi="Arial" w:cs="Arial"/>
          <w:b/>
          <w:bCs/>
        </w:rPr>
        <w:t>29</w:t>
      </w:r>
    </w:p>
    <w:p w14:paraId="6A9FA4BF" w14:textId="77777777" w:rsidR="002E55BD" w:rsidRPr="00475CB6" w:rsidRDefault="002E55BD" w:rsidP="00170639">
      <w:pPr>
        <w:spacing w:line="276" w:lineRule="auto"/>
      </w:pPr>
    </w:p>
    <w:p w14:paraId="09801193" w14:textId="4ADEB686" w:rsidR="002E55BD" w:rsidRDefault="002E55BD" w:rsidP="002E55BD">
      <w:pPr>
        <w:pStyle w:val="Caption"/>
        <w:spacing w:line="276" w:lineRule="auto"/>
        <w:ind w:left="567" w:hanging="567"/>
        <w:jc w:val="both"/>
        <w:rPr>
          <w:rFonts w:ascii="Arial" w:hAnsi="Arial" w:cs="Arial"/>
          <w:i w:val="0"/>
          <w:color w:val="000000" w:themeColor="text1"/>
          <w:sz w:val="24"/>
          <w:szCs w:val="24"/>
        </w:rPr>
      </w:pPr>
      <w:r w:rsidRPr="00C87AA3">
        <w:rPr>
          <w:rFonts w:ascii="Arial" w:hAnsi="Arial" w:cs="Arial"/>
          <w:b/>
          <w:i w:val="0"/>
          <w:color w:val="000000" w:themeColor="text1"/>
          <w:sz w:val="24"/>
          <w:szCs w:val="24"/>
        </w:rPr>
        <w:lastRenderedPageBreak/>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C87AA3">
        <w:rPr>
          <w:rFonts w:ascii="Arial" w:hAnsi="Arial" w:cs="Arial"/>
          <w:i w:val="0"/>
          <w:color w:val="000000" w:themeColor="text1"/>
          <w:sz w:val="24"/>
          <w:szCs w:val="24"/>
        </w:rPr>
        <w:t xml:space="preserve"> Chromatic psychophysics and fMRI experimental design. A) demonstrates a single trial timeline within a blue-yellow contrast detection Bayesian staircase procedure. Participants are cued to the onset of the reference and target radial frequency patterns with an audible beep. Participants are instructed to indicate the direction of the change within the target pattern in comparison to the reference stimulus, which can change in one of two directions on each trial. Trial difficulty increases with the number of correct responses. In B) we demonstrate a single trial structure within the fMRI attentional modulation scans. Participants indicate the presence/absence of a change in the attended feature between the target and reference radial frequency patterns. In both experiments, the cued feature of attention is indicated by the central fixation letter. </w:t>
      </w:r>
    </w:p>
    <w:p w14:paraId="5D0D1EE0" w14:textId="7823C7BB" w:rsidR="00232278" w:rsidRPr="00170639" w:rsidRDefault="00232278" w:rsidP="00170639">
      <w:pPr>
        <w:rPr>
          <w:i/>
        </w:rPr>
      </w:pP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t xml:space="preserve">        1</w:t>
      </w:r>
      <w:r w:rsidR="0083451C">
        <w:rPr>
          <w:rFonts w:ascii="Arial" w:eastAsiaTheme="minorHAnsi" w:hAnsi="Arial" w:cs="Arial"/>
          <w:b/>
          <w:iCs/>
          <w:color w:val="000000" w:themeColor="text1"/>
        </w:rPr>
        <w:t>5</w:t>
      </w:r>
      <w:r w:rsidR="007B3A25">
        <w:rPr>
          <w:rFonts w:ascii="Arial" w:eastAsiaTheme="minorHAnsi" w:hAnsi="Arial" w:cs="Arial"/>
          <w:b/>
          <w:iCs/>
          <w:color w:val="000000" w:themeColor="text1"/>
        </w:rPr>
        <w:t>4</w:t>
      </w:r>
    </w:p>
    <w:p w14:paraId="112EF43F" w14:textId="77777777" w:rsidR="002E55BD" w:rsidRDefault="002E55BD" w:rsidP="00170639">
      <w:pPr>
        <w:spacing w:line="276" w:lineRule="auto"/>
      </w:pPr>
    </w:p>
    <w:p w14:paraId="515CBF12" w14:textId="77777777" w:rsidR="002E55BD" w:rsidRDefault="002E55BD" w:rsidP="00170639">
      <w:pPr>
        <w:pStyle w:val="Caption"/>
        <w:spacing w:line="276" w:lineRule="auto"/>
        <w:ind w:left="567" w:hanging="567"/>
        <w:jc w:val="both"/>
        <w:rPr>
          <w:rFonts w:ascii="Arial" w:hAnsi="Arial" w:cs="Arial"/>
          <w:i w:val="0"/>
          <w:iCs w:val="0"/>
          <w:color w:val="000000" w:themeColor="text1"/>
          <w:sz w:val="24"/>
          <w:szCs w:val="24"/>
          <w:lang w:val="en-US"/>
        </w:rPr>
      </w:pPr>
      <w:r w:rsidRPr="00E97A0F">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E97A0F">
        <w:rPr>
          <w:rFonts w:ascii="Arial" w:hAnsi="Arial" w:cs="Arial"/>
          <w:i w:val="0"/>
          <w:color w:val="000000" w:themeColor="text1"/>
          <w:sz w:val="24"/>
          <w:szCs w:val="24"/>
        </w:rPr>
        <w:t xml:space="preserve"> </w:t>
      </w:r>
      <w:r w:rsidRPr="00E97A0F">
        <w:rPr>
          <w:rFonts w:ascii="Arial" w:hAnsi="Arial" w:cs="Arial"/>
          <w:i w:val="0"/>
          <w:iCs w:val="0"/>
          <w:color w:val="000000" w:themeColor="text1"/>
          <w:sz w:val="24"/>
          <w:szCs w:val="24"/>
          <w:lang w:val="en-US"/>
        </w:rPr>
        <w:t>Univariate responses to both attention and stimulus modulation are weak. A) Mean BOLD modulation due to attention: positive values reflect greater BOLD amplitude during directed attention (averaged across orientation, contrast and shape attentional conditions). Data are shown for 5 visual ROIs: V1, V3A/B, hV4, LO-1 and LO-2 as well as a control area (auditory area A1). No areas exhibit a significant increase in activity in the attend vs passive comparison. B) Mean bottom-up stimulus responses to individual modulation events averaged over all attentional conditions. No areas exhibit differential responses to stimulus modulations. C) Feature-specific attentional modulations averaged over all modulation types. Areas hV4 and LO-2 show significant differences in BOLD amplitude when directing attention toward different visual features. All error bars are +/- 1 SEM and significance asterisks indicate Benjamini-Hochberg corrected values.</w:t>
      </w:r>
    </w:p>
    <w:p w14:paraId="1BE23C74" w14:textId="0369D07B" w:rsidR="002E55BD" w:rsidRDefault="00232278" w:rsidP="00170639">
      <w:pPr>
        <w:spacing w:line="276" w:lineRule="auto"/>
        <w:rPr>
          <w:rFonts w:ascii="Arial" w:hAnsi="Arial" w:cs="Arial"/>
          <w:b/>
          <w:bCs/>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t xml:space="preserve">         </w:t>
      </w:r>
      <w:r w:rsidRPr="00170639">
        <w:rPr>
          <w:rFonts w:ascii="Arial" w:hAnsi="Arial" w:cs="Arial"/>
          <w:b/>
          <w:bCs/>
          <w:lang w:val="en-US"/>
        </w:rPr>
        <w:t>1</w:t>
      </w:r>
      <w:r w:rsidR="0083451C">
        <w:rPr>
          <w:rFonts w:ascii="Arial" w:hAnsi="Arial" w:cs="Arial"/>
          <w:b/>
          <w:bCs/>
          <w:lang w:val="en-US"/>
        </w:rPr>
        <w:t>6</w:t>
      </w:r>
      <w:r w:rsidR="007B3A25">
        <w:rPr>
          <w:rFonts w:ascii="Arial" w:hAnsi="Arial" w:cs="Arial"/>
          <w:b/>
          <w:bCs/>
          <w:lang w:val="en-US"/>
        </w:rPr>
        <w:t>5</w:t>
      </w:r>
    </w:p>
    <w:p w14:paraId="0D6FA2A7" w14:textId="77777777" w:rsidR="007B3A25" w:rsidRPr="00475CB6" w:rsidRDefault="007B3A25" w:rsidP="00170639">
      <w:pPr>
        <w:spacing w:line="276" w:lineRule="auto"/>
        <w:rPr>
          <w:lang w:val="en-US"/>
        </w:rPr>
      </w:pPr>
    </w:p>
    <w:p w14:paraId="5135F459" w14:textId="77777777" w:rsidR="002E55BD" w:rsidRDefault="002E55BD" w:rsidP="00170639">
      <w:pPr>
        <w:pStyle w:val="Caption"/>
        <w:spacing w:line="276" w:lineRule="auto"/>
        <w:ind w:left="567" w:hanging="567"/>
        <w:jc w:val="both"/>
        <w:rPr>
          <w:rFonts w:ascii="Arial" w:hAnsi="Arial" w:cs="Arial"/>
          <w:i w:val="0"/>
          <w:iCs w:val="0"/>
          <w:color w:val="000000" w:themeColor="text1"/>
          <w:sz w:val="24"/>
          <w:szCs w:val="24"/>
          <w:lang w:val="en-US"/>
        </w:rPr>
      </w:pPr>
      <w:r w:rsidRPr="00E97A0F">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E97A0F">
        <w:rPr>
          <w:rFonts w:ascii="Arial" w:hAnsi="Arial" w:cs="Arial"/>
          <w:i w:val="0"/>
          <w:color w:val="000000" w:themeColor="text1"/>
          <w:sz w:val="24"/>
          <w:szCs w:val="24"/>
        </w:rPr>
        <w:t xml:space="preserve"> </w:t>
      </w:r>
      <w:r w:rsidRPr="00E97A0F">
        <w:rPr>
          <w:rFonts w:ascii="Arial" w:hAnsi="Arial" w:cs="Arial"/>
          <w:i w:val="0"/>
          <w:iCs w:val="0"/>
          <w:color w:val="000000" w:themeColor="text1"/>
          <w:sz w:val="24"/>
          <w:szCs w:val="24"/>
          <w:lang w:val="en-US"/>
        </w:rPr>
        <w:t xml:space="preserve">Univariate responses to chromatic stimuli exhibit attentional modulation, and BOLD signal modulation is significantly weaker with attention to blue-yellow stimuli than red-green. A) Mean BOLD modulation due to attention: positive values reflect greater BOLD amplitude during directed attention (averaged across orientation, contrast and shape attentional conditions). Data are shown for 5 visual ROIs: V1, V3A/B, hV4, LO-1 and LO-2 as well as a control area (auditory area A1). Almost all visual ROIs in every comparison exhibit significant increases in activity in the attend vs passive comparison. B) </w:t>
      </w:r>
      <w:proofErr w:type="spellStart"/>
      <w:r w:rsidRPr="00E97A0F">
        <w:rPr>
          <w:rFonts w:ascii="Arial" w:hAnsi="Arial" w:cs="Arial"/>
          <w:i w:val="0"/>
          <w:iCs w:val="0"/>
          <w:color w:val="000000" w:themeColor="text1"/>
          <w:sz w:val="24"/>
          <w:szCs w:val="24"/>
          <w:lang w:val="en-US"/>
        </w:rPr>
        <w:t>Colour</w:t>
      </w:r>
      <w:proofErr w:type="spellEnd"/>
      <w:r w:rsidRPr="00E97A0F">
        <w:rPr>
          <w:rFonts w:ascii="Arial" w:hAnsi="Arial" w:cs="Arial"/>
          <w:i w:val="0"/>
          <w:iCs w:val="0"/>
          <w:color w:val="000000" w:themeColor="text1"/>
          <w:sz w:val="24"/>
          <w:szCs w:val="24"/>
          <w:lang w:val="en-US"/>
        </w:rPr>
        <w:t xml:space="preserve">-specific attentional modulations averaged over all low-level visual feature modulation types. All visual ROIs show significantly lower signal modulation with blue-yellow stimulus chromaticies. All error bars are +/- </w:t>
      </w:r>
      <w:r w:rsidRPr="00E97A0F">
        <w:rPr>
          <w:rFonts w:ascii="Arial" w:hAnsi="Arial" w:cs="Arial"/>
          <w:i w:val="0"/>
          <w:iCs w:val="0"/>
          <w:color w:val="000000" w:themeColor="text1"/>
          <w:sz w:val="24"/>
          <w:szCs w:val="24"/>
          <w:lang w:val="en-US"/>
        </w:rPr>
        <w:lastRenderedPageBreak/>
        <w:t>1 SEM and significance asterisks indicate Benjamini-Hochberg corrected values.</w:t>
      </w:r>
    </w:p>
    <w:p w14:paraId="1DEBDBBE" w14:textId="5EC51BC9" w:rsidR="002E55BD" w:rsidRPr="00170639" w:rsidRDefault="00232278" w:rsidP="00170639">
      <w:pPr>
        <w:spacing w:line="276" w:lineRule="auto"/>
        <w:rPr>
          <w:rFonts w:ascii="Arial" w:hAnsi="Arial" w:cs="Arial"/>
          <w:b/>
          <w:bCs/>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t xml:space="preserve">         </w:t>
      </w:r>
      <w:r w:rsidRPr="00170639">
        <w:rPr>
          <w:rFonts w:ascii="Arial" w:hAnsi="Arial" w:cs="Arial"/>
          <w:b/>
          <w:bCs/>
          <w:lang w:val="en-US"/>
        </w:rPr>
        <w:t>1</w:t>
      </w:r>
      <w:r w:rsidR="007B3A25">
        <w:rPr>
          <w:rFonts w:ascii="Arial" w:hAnsi="Arial" w:cs="Arial"/>
          <w:b/>
          <w:bCs/>
          <w:lang w:val="en-US"/>
        </w:rPr>
        <w:t>68</w:t>
      </w:r>
    </w:p>
    <w:p w14:paraId="7C59C097" w14:textId="77777777" w:rsidR="002E55BD" w:rsidRPr="00475CB6" w:rsidRDefault="002E55BD" w:rsidP="00170639">
      <w:pPr>
        <w:spacing w:line="276" w:lineRule="auto"/>
        <w:rPr>
          <w:lang w:val="en-US"/>
        </w:rPr>
      </w:pPr>
    </w:p>
    <w:p w14:paraId="1A3E6661"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lang w:val="en-US"/>
        </w:rPr>
      </w:pPr>
      <w:r w:rsidRPr="00567DA4">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i w:val="0"/>
          <w:color w:val="000000" w:themeColor="text1"/>
          <w:sz w:val="24"/>
          <w:szCs w:val="24"/>
        </w:rPr>
        <w:t xml:space="preserve"> </w:t>
      </w:r>
      <w:r w:rsidRPr="00567DA4">
        <w:rPr>
          <w:rFonts w:ascii="Arial" w:hAnsi="Arial" w:cs="Arial"/>
          <w:i w:val="0"/>
          <w:iCs w:val="0"/>
          <w:color w:val="000000" w:themeColor="text1"/>
          <w:sz w:val="24"/>
          <w:szCs w:val="24"/>
          <w:lang w:val="en-US"/>
        </w:rPr>
        <w:t>Feature-specific multivariate Support Vector Machine Decoding and Group-averaged voxel feature-specific weights as a function of eccentricity (6°) and polar angle (360°). Voxel-level responses with individual ROIs are modulated by attentional state. A) Overall three-way decoding accuracies. Attentional state can be decoded above chance in all ROIs except A1.</w:t>
      </w:r>
      <w:r w:rsidRPr="000F7CA8">
        <w:rPr>
          <w:rFonts w:ascii="Arial" w:hAnsi="Arial" w:cs="Arial"/>
          <w:i w:val="0"/>
          <w:iCs w:val="0"/>
          <w:color w:val="000000" w:themeColor="text1"/>
          <w:sz w:val="24"/>
          <w:szCs w:val="24"/>
          <w:lang w:val="en-US"/>
        </w:rPr>
        <w:t xml:space="preserve"> </w:t>
      </w:r>
      <w:r w:rsidRPr="00567DA4">
        <w:rPr>
          <w:rFonts w:ascii="Arial" w:hAnsi="Arial" w:cs="Arial"/>
          <w:i w:val="0"/>
          <w:iCs w:val="0"/>
          <w:color w:val="000000" w:themeColor="text1"/>
          <w:sz w:val="24"/>
          <w:szCs w:val="24"/>
          <w:lang w:val="en-US"/>
        </w:rPr>
        <w:t>Error bars reflect +/- 1 SEM</w:t>
      </w:r>
      <w:r>
        <w:rPr>
          <w:rFonts w:ascii="Arial" w:hAnsi="Arial" w:cs="Arial"/>
          <w:i w:val="0"/>
          <w:iCs w:val="0"/>
          <w:color w:val="000000" w:themeColor="text1"/>
          <w:sz w:val="24"/>
          <w:szCs w:val="24"/>
          <w:lang w:val="en-US"/>
        </w:rPr>
        <w:t xml:space="preserve">. </w:t>
      </w:r>
      <w:r w:rsidRPr="00567DA4">
        <w:rPr>
          <w:rFonts w:ascii="Arial" w:hAnsi="Arial" w:cs="Arial"/>
          <w:i w:val="0"/>
          <w:iCs w:val="0"/>
          <w:color w:val="000000" w:themeColor="text1"/>
          <w:sz w:val="24"/>
          <w:szCs w:val="24"/>
          <w:lang w:val="en-US"/>
        </w:rPr>
        <w:t>B) Two-way classification accuracies across pairwise combinations of attentional focus (orientation versus shape, orientation versus contrast and contrast versus shape). Voxel patterns in all areas differ significantly between attention to orientation and shape.</w:t>
      </w:r>
      <w:r>
        <w:rPr>
          <w:rFonts w:ascii="Arial" w:hAnsi="Arial" w:cs="Arial"/>
          <w:i w:val="0"/>
          <w:iCs w:val="0"/>
          <w:color w:val="000000" w:themeColor="text1"/>
          <w:sz w:val="24"/>
          <w:szCs w:val="24"/>
          <w:lang w:val="en-US"/>
        </w:rPr>
        <w:t xml:space="preserve"> S</w:t>
      </w:r>
      <w:r w:rsidRPr="00567DA4">
        <w:rPr>
          <w:rFonts w:ascii="Arial" w:hAnsi="Arial" w:cs="Arial"/>
          <w:i w:val="0"/>
          <w:iCs w:val="0"/>
          <w:color w:val="000000" w:themeColor="text1"/>
          <w:sz w:val="24"/>
          <w:szCs w:val="24"/>
          <w:lang w:val="en-US"/>
        </w:rPr>
        <w:t xml:space="preserve">ignificance asterisks indicate Benjamini-Hochberg corrected values. C) Spatial </w:t>
      </w:r>
      <w:proofErr w:type="spellStart"/>
      <w:r w:rsidRPr="00567DA4">
        <w:rPr>
          <w:rFonts w:ascii="Arial" w:hAnsi="Arial" w:cs="Arial"/>
          <w:i w:val="0"/>
          <w:iCs w:val="0"/>
          <w:color w:val="000000" w:themeColor="text1"/>
          <w:sz w:val="24"/>
          <w:szCs w:val="24"/>
          <w:lang w:val="en-US"/>
        </w:rPr>
        <w:t>backprojection</w:t>
      </w:r>
      <w:proofErr w:type="spellEnd"/>
      <w:r w:rsidRPr="00567DA4">
        <w:rPr>
          <w:rFonts w:ascii="Arial" w:hAnsi="Arial" w:cs="Arial"/>
          <w:i w:val="0"/>
          <w:iCs w:val="0"/>
          <w:color w:val="000000" w:themeColor="text1"/>
          <w:sz w:val="24"/>
          <w:szCs w:val="24"/>
          <w:lang w:val="en-US"/>
        </w:rPr>
        <w:t xml:space="preserve"> analyses reveal no large-scale biases in voxel weights across location. The gray annulus reflects averaged voxel modulation at 1° intervals across 1.5-2.5° visual space. Deviations from circularity indicate positive (feature-specific) or negative (passive viewing) preferring clusters of voxels. An RFP stimulus overlay is provided for reference. Activation is thresholded at +/- 1.7 z-score (p</w:t>
      </w:r>
      <w:r w:rsidRPr="00567DA4">
        <w:rPr>
          <w:rFonts w:ascii="Arial" w:hAnsi="Arial" w:cs="Arial"/>
          <w:i w:val="0"/>
          <w:color w:val="000000" w:themeColor="text1"/>
          <w:sz w:val="24"/>
          <w:szCs w:val="24"/>
          <w:lang w:val="en-US"/>
        </w:rPr>
        <w:t xml:space="preserve"> &lt;.05).</w:t>
      </w:r>
    </w:p>
    <w:p w14:paraId="66EA6516" w14:textId="72025E46" w:rsidR="002E55BD" w:rsidRPr="00170639" w:rsidRDefault="00232278" w:rsidP="00170639">
      <w:pPr>
        <w:spacing w:line="276" w:lineRule="auto"/>
        <w:rPr>
          <w:rFonts w:ascii="Arial" w:hAnsi="Arial" w:cs="Arial"/>
          <w:b/>
          <w:bCs/>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t xml:space="preserve">         </w:t>
      </w:r>
      <w:r w:rsidRPr="00170639">
        <w:rPr>
          <w:rFonts w:ascii="Arial" w:hAnsi="Arial" w:cs="Arial"/>
          <w:b/>
          <w:bCs/>
          <w:lang w:val="en-US"/>
        </w:rPr>
        <w:t>17</w:t>
      </w:r>
      <w:r w:rsidR="007B3A25">
        <w:rPr>
          <w:rFonts w:ascii="Arial" w:hAnsi="Arial" w:cs="Arial"/>
          <w:b/>
          <w:bCs/>
          <w:lang w:val="en-US"/>
        </w:rPr>
        <w:t>2</w:t>
      </w:r>
    </w:p>
    <w:p w14:paraId="4934F2A1" w14:textId="77777777" w:rsidR="002E55BD" w:rsidRPr="00475CB6" w:rsidRDefault="002E55BD" w:rsidP="00170639">
      <w:pPr>
        <w:spacing w:line="276" w:lineRule="auto"/>
        <w:rPr>
          <w:lang w:val="en-US"/>
        </w:rPr>
      </w:pPr>
    </w:p>
    <w:p w14:paraId="0F4CEB13"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lang w:val="en-US"/>
        </w:rPr>
      </w:pPr>
      <w:r w:rsidRPr="0068545F">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sidRPr="0068545F">
        <w:rPr>
          <w:rFonts w:ascii="Arial" w:hAnsi="Arial" w:cs="Arial"/>
          <w:i w:val="0"/>
          <w:color w:val="000000" w:themeColor="text1"/>
          <w:sz w:val="24"/>
          <w:szCs w:val="24"/>
        </w:rPr>
        <w:t xml:space="preserve"> </w:t>
      </w:r>
      <w:proofErr w:type="spellStart"/>
      <w:r w:rsidRPr="0068545F">
        <w:rPr>
          <w:rFonts w:ascii="Arial" w:hAnsi="Arial" w:cs="Arial"/>
          <w:i w:val="0"/>
          <w:iCs w:val="0"/>
          <w:color w:val="000000" w:themeColor="text1"/>
          <w:sz w:val="24"/>
          <w:szCs w:val="24"/>
          <w:lang w:val="en-US"/>
        </w:rPr>
        <w:t>Colour</w:t>
      </w:r>
      <w:proofErr w:type="spellEnd"/>
      <w:r w:rsidRPr="0068545F">
        <w:rPr>
          <w:rFonts w:ascii="Arial" w:hAnsi="Arial" w:cs="Arial"/>
          <w:i w:val="0"/>
          <w:iCs w:val="0"/>
          <w:color w:val="000000" w:themeColor="text1"/>
          <w:sz w:val="24"/>
          <w:szCs w:val="24"/>
          <w:lang w:val="en-US"/>
        </w:rPr>
        <w:t>-specific Multivariate Support Vector Machine Decoding and Group-averaged voxel feature-specific weights as a function of eccentricity (6°) and polar angle (360°). Voxel-level responses with individual ROIs are modulated by attentional state. A) Overall three-way decoding accuracies. Chromatic attentional state can be decoded above chance in all ROIs except LO-2 and A1.  Error bars reflect +/- 1 SEM</w:t>
      </w:r>
      <w:r>
        <w:rPr>
          <w:rFonts w:ascii="Arial" w:hAnsi="Arial" w:cs="Arial"/>
          <w:i w:val="0"/>
          <w:iCs w:val="0"/>
          <w:color w:val="000000" w:themeColor="text1"/>
          <w:sz w:val="24"/>
          <w:szCs w:val="24"/>
          <w:lang w:val="en-US"/>
        </w:rPr>
        <w:t xml:space="preserve">. </w:t>
      </w:r>
      <w:r w:rsidRPr="0068545F">
        <w:rPr>
          <w:rFonts w:ascii="Arial" w:hAnsi="Arial" w:cs="Arial"/>
          <w:i w:val="0"/>
          <w:iCs w:val="0"/>
          <w:color w:val="000000" w:themeColor="text1"/>
          <w:sz w:val="24"/>
          <w:szCs w:val="24"/>
          <w:lang w:val="en-US"/>
        </w:rPr>
        <w:t xml:space="preserve">B) Two-way classification accuracies across pairwise combinations of attentional focus (red-green versus blue-yellow, red-green versus achromatic and blue-yellow versus achromatic). Voxel patterns in all almost areas differ significantly between attention to red-green and achromatic-defined stimuli, with successful classifications also evident for red-green versus blue-yellow-defined stimuli and blue-yellow versus achromatic activation comparisons. </w:t>
      </w:r>
      <w:r>
        <w:rPr>
          <w:rFonts w:ascii="Arial" w:hAnsi="Arial" w:cs="Arial"/>
          <w:i w:val="0"/>
          <w:iCs w:val="0"/>
          <w:color w:val="000000" w:themeColor="text1"/>
          <w:sz w:val="24"/>
          <w:szCs w:val="24"/>
          <w:lang w:val="en-US"/>
        </w:rPr>
        <w:t>S</w:t>
      </w:r>
      <w:r w:rsidRPr="0068545F">
        <w:rPr>
          <w:rFonts w:ascii="Arial" w:hAnsi="Arial" w:cs="Arial"/>
          <w:i w:val="0"/>
          <w:iCs w:val="0"/>
          <w:color w:val="000000" w:themeColor="text1"/>
          <w:sz w:val="24"/>
          <w:szCs w:val="24"/>
          <w:lang w:val="en-US"/>
        </w:rPr>
        <w:t xml:space="preserve">ignificance asterisks indicate Benjamini-Hochberg corrected values. C) Spatial </w:t>
      </w:r>
      <w:proofErr w:type="spellStart"/>
      <w:r w:rsidRPr="0068545F">
        <w:rPr>
          <w:rFonts w:ascii="Arial" w:hAnsi="Arial" w:cs="Arial"/>
          <w:i w:val="0"/>
          <w:iCs w:val="0"/>
          <w:color w:val="000000" w:themeColor="text1"/>
          <w:sz w:val="24"/>
          <w:szCs w:val="24"/>
          <w:lang w:val="en-US"/>
        </w:rPr>
        <w:t>backprojection</w:t>
      </w:r>
      <w:proofErr w:type="spellEnd"/>
      <w:r w:rsidRPr="0068545F">
        <w:rPr>
          <w:rFonts w:ascii="Arial" w:hAnsi="Arial" w:cs="Arial"/>
          <w:i w:val="0"/>
          <w:iCs w:val="0"/>
          <w:color w:val="000000" w:themeColor="text1"/>
          <w:sz w:val="24"/>
          <w:szCs w:val="24"/>
          <w:lang w:val="en-US"/>
        </w:rPr>
        <w:t xml:space="preserve"> analyses reveal no large-scale biases in voxel weights (chromatic preference) across location. The gray annulus reflects averaged voxel modulation at 1° intervals across 1.5-2.5° visual space. Deviations from circularity indicate positive (feature-specific) or negative (passive viewing) preferring clusters of voxels. An RFP stimulus overlay is </w:t>
      </w:r>
      <w:r w:rsidRPr="0068545F">
        <w:rPr>
          <w:rFonts w:ascii="Arial" w:hAnsi="Arial" w:cs="Arial"/>
          <w:i w:val="0"/>
          <w:iCs w:val="0"/>
          <w:color w:val="000000" w:themeColor="text1"/>
          <w:sz w:val="24"/>
          <w:szCs w:val="24"/>
          <w:lang w:val="en-US"/>
        </w:rPr>
        <w:lastRenderedPageBreak/>
        <w:t>provided for reference. Activation is thresholded at +/- 1.7 z-score (p</w:t>
      </w:r>
      <w:r w:rsidRPr="0068545F">
        <w:rPr>
          <w:rFonts w:ascii="Arial" w:hAnsi="Arial" w:cs="Arial"/>
          <w:i w:val="0"/>
          <w:color w:val="000000" w:themeColor="text1"/>
          <w:sz w:val="24"/>
          <w:szCs w:val="24"/>
          <w:lang w:val="en-US"/>
        </w:rPr>
        <w:t xml:space="preserve"> &lt;.05).</w:t>
      </w:r>
    </w:p>
    <w:p w14:paraId="14E2F08D" w14:textId="53BF9822" w:rsidR="002E55BD" w:rsidRPr="00170639" w:rsidRDefault="00232278" w:rsidP="00170639">
      <w:pPr>
        <w:spacing w:line="276" w:lineRule="auto"/>
        <w:rPr>
          <w:rFonts w:ascii="Arial" w:hAnsi="Arial" w:cs="Arial"/>
          <w:b/>
          <w:bCs/>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t xml:space="preserve">         </w:t>
      </w:r>
      <w:r w:rsidRPr="00170639">
        <w:rPr>
          <w:rFonts w:ascii="Arial" w:hAnsi="Arial" w:cs="Arial"/>
          <w:b/>
          <w:bCs/>
          <w:lang w:val="en-US"/>
        </w:rPr>
        <w:t>1</w:t>
      </w:r>
      <w:r w:rsidR="0083451C">
        <w:rPr>
          <w:rFonts w:ascii="Arial" w:hAnsi="Arial" w:cs="Arial"/>
          <w:b/>
          <w:bCs/>
          <w:lang w:val="en-US"/>
        </w:rPr>
        <w:t>7</w:t>
      </w:r>
      <w:r w:rsidR="007B3A25">
        <w:rPr>
          <w:rFonts w:ascii="Arial" w:hAnsi="Arial" w:cs="Arial"/>
          <w:b/>
          <w:bCs/>
          <w:lang w:val="en-US"/>
        </w:rPr>
        <w:t>5</w:t>
      </w:r>
    </w:p>
    <w:p w14:paraId="613310FC" w14:textId="77777777" w:rsidR="002E55BD" w:rsidRPr="00475CB6" w:rsidRDefault="002E55BD" w:rsidP="00170639">
      <w:pPr>
        <w:spacing w:line="276" w:lineRule="auto"/>
        <w:rPr>
          <w:lang w:val="en-US"/>
        </w:rPr>
      </w:pPr>
    </w:p>
    <w:p w14:paraId="7F1F837C" w14:textId="55D038CC"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9D2FD7">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sidRPr="009D2FD7">
        <w:rPr>
          <w:rFonts w:ascii="Arial" w:hAnsi="Arial" w:cs="Arial"/>
          <w:i w:val="0"/>
          <w:color w:val="000000" w:themeColor="text1"/>
          <w:sz w:val="24"/>
          <w:szCs w:val="24"/>
        </w:rPr>
        <w:t xml:space="preserve"> Greater overall connectivity during passive viewing compared to directed attention. A) Group feature-specific averaged attentional modulation</w:t>
      </w:r>
      <w:r>
        <w:rPr>
          <w:rFonts w:ascii="Arial" w:hAnsi="Arial" w:cs="Arial"/>
          <w:i w:val="0"/>
          <w:color w:val="000000" w:themeColor="text1"/>
          <w:sz w:val="24"/>
          <w:szCs w:val="24"/>
        </w:rPr>
        <w:t xml:space="preserve"> </w:t>
      </w:r>
      <w:r w:rsidRPr="009D2FD7">
        <w:rPr>
          <w:rFonts w:ascii="Arial" w:hAnsi="Arial" w:cs="Arial"/>
          <w:i w:val="0"/>
          <w:color w:val="000000" w:themeColor="text1"/>
          <w:sz w:val="24"/>
          <w:szCs w:val="24"/>
        </w:rPr>
        <w:t xml:space="preserve">connectivity values, indicating significantly greater mean connectivity during passive viewing in the attentional tasks. B) Bootstrapped measures of distance between pairwise combinations of attentional focus conditions, for V1, V3A/B, hV4, LO-1, LO-2 and IPS0 ROIs. </w:t>
      </w:r>
      <w:r>
        <w:rPr>
          <w:rFonts w:ascii="Arial" w:hAnsi="Arial" w:cs="Arial"/>
          <w:i w:val="0"/>
          <w:color w:val="000000" w:themeColor="text1"/>
          <w:sz w:val="24"/>
          <w:szCs w:val="24"/>
        </w:rPr>
        <w:t xml:space="preserve">The figure demonstrates the percentage overlap between the distribution of RMSE scores across 10,000 iterations of randomly-selected samples of the observed </w:t>
      </w:r>
      <w:r w:rsidR="0083451C">
        <w:rPr>
          <w:rFonts w:ascii="Arial" w:hAnsi="Arial" w:cs="Arial"/>
          <w:i w:val="0"/>
          <w:color w:val="000000" w:themeColor="text1"/>
          <w:sz w:val="24"/>
          <w:szCs w:val="24"/>
        </w:rPr>
        <w:t>data and</w:t>
      </w:r>
      <w:r>
        <w:rPr>
          <w:rFonts w:ascii="Arial" w:hAnsi="Arial" w:cs="Arial"/>
          <w:i w:val="0"/>
          <w:color w:val="000000" w:themeColor="text1"/>
          <w:sz w:val="24"/>
          <w:szCs w:val="24"/>
        </w:rPr>
        <w:t xml:space="preserve"> scrambled correlation ‘noise’ data for each ROI across multiple pairwise comparisons. </w:t>
      </w:r>
      <w:r w:rsidRPr="009D2FD7">
        <w:rPr>
          <w:rFonts w:ascii="Arial" w:hAnsi="Arial" w:cs="Arial"/>
          <w:i w:val="0"/>
          <w:color w:val="000000" w:themeColor="text1"/>
          <w:sz w:val="24"/>
          <w:szCs w:val="24"/>
        </w:rPr>
        <w:t>Significant</w:t>
      </w:r>
      <w:r>
        <w:rPr>
          <w:rFonts w:ascii="Arial" w:hAnsi="Arial" w:cs="Arial"/>
          <w:i w:val="0"/>
          <w:color w:val="000000" w:themeColor="text1"/>
          <w:sz w:val="24"/>
          <w:szCs w:val="24"/>
        </w:rPr>
        <w:t xml:space="preserve"> overlap (less than 5%) </w:t>
      </w:r>
      <w:r w:rsidRPr="009D2FD7">
        <w:rPr>
          <w:rFonts w:ascii="Arial" w:hAnsi="Arial" w:cs="Arial"/>
          <w:i w:val="0"/>
          <w:color w:val="000000" w:themeColor="text1"/>
          <w:sz w:val="24"/>
          <w:szCs w:val="24"/>
        </w:rPr>
        <w:t>between pairwise combinations of condition are indicated with asterisks.</w:t>
      </w:r>
    </w:p>
    <w:p w14:paraId="77043A7C" w14:textId="795BE165" w:rsidR="002E55BD" w:rsidRPr="00170639" w:rsidRDefault="00232278" w:rsidP="00170639">
      <w:pPr>
        <w:tabs>
          <w:tab w:val="left" w:pos="3614"/>
        </w:tabs>
        <w:spacing w:line="276" w:lineRule="auto"/>
        <w:rPr>
          <w:rFonts w:ascii="Arial" w:hAnsi="Arial" w:cs="Arial"/>
          <w:b/>
          <w:bCs/>
        </w:rPr>
      </w:pPr>
      <w:r>
        <w:tab/>
      </w:r>
      <w:r>
        <w:tab/>
      </w:r>
      <w:r>
        <w:tab/>
      </w:r>
      <w:r>
        <w:tab/>
      </w:r>
      <w:r>
        <w:tab/>
      </w:r>
      <w:r>
        <w:tab/>
        <w:t xml:space="preserve">         </w:t>
      </w:r>
      <w:r w:rsidRPr="00170639">
        <w:rPr>
          <w:rFonts w:ascii="Arial" w:hAnsi="Arial" w:cs="Arial"/>
          <w:b/>
          <w:bCs/>
        </w:rPr>
        <w:t>1</w:t>
      </w:r>
      <w:r w:rsidR="007B3A25">
        <w:rPr>
          <w:rFonts w:ascii="Arial" w:hAnsi="Arial" w:cs="Arial"/>
          <w:b/>
          <w:bCs/>
        </w:rPr>
        <w:t>78</w:t>
      </w:r>
    </w:p>
    <w:p w14:paraId="78448C6C" w14:textId="77777777" w:rsidR="002E55BD" w:rsidRPr="00475CB6" w:rsidRDefault="002E55BD" w:rsidP="00170639">
      <w:pPr>
        <w:spacing w:line="276" w:lineRule="auto"/>
      </w:pPr>
    </w:p>
    <w:p w14:paraId="78CC024B"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034C2E">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7</w:t>
      </w:r>
      <w:r>
        <w:rPr>
          <w:rFonts w:ascii="Arial" w:hAnsi="Arial" w:cs="Arial"/>
          <w:b/>
          <w:i w:val="0"/>
          <w:color w:val="000000" w:themeColor="text1"/>
          <w:sz w:val="24"/>
          <w:szCs w:val="24"/>
        </w:rPr>
        <w:fldChar w:fldCharType="end"/>
      </w:r>
      <w:r w:rsidRPr="00034C2E">
        <w:rPr>
          <w:rFonts w:ascii="Arial" w:hAnsi="Arial" w:cs="Arial"/>
          <w:i w:val="0"/>
          <w:color w:val="000000" w:themeColor="text1"/>
          <w:sz w:val="24"/>
          <w:szCs w:val="24"/>
        </w:rPr>
        <w:t xml:space="preserve"> Greater overall connectivity during passive viewing compared to directed attention in all stimulus chromaticity conditions. A) Group feature-specific averaged attentional modulation on connectivity values, indicating significantly greater mean connectivity during passive viewing in the attentional tasks. B)</w:t>
      </w:r>
      <w:r>
        <w:rPr>
          <w:rFonts w:ascii="Arial" w:hAnsi="Arial" w:cs="Arial"/>
          <w:i w:val="0"/>
          <w:color w:val="000000" w:themeColor="text1"/>
          <w:sz w:val="24"/>
          <w:szCs w:val="24"/>
        </w:rPr>
        <w:t xml:space="preserve"> </w:t>
      </w:r>
      <w:r w:rsidRPr="009D2FD7">
        <w:rPr>
          <w:rFonts w:ascii="Arial" w:hAnsi="Arial" w:cs="Arial"/>
          <w:i w:val="0"/>
          <w:color w:val="000000" w:themeColor="text1"/>
          <w:sz w:val="24"/>
          <w:szCs w:val="24"/>
        </w:rPr>
        <w:t xml:space="preserve">Bootstrapped measures of distance between pairwise combinations of attentional focus conditions, for V1, V3A/B, hV4, LO-1, LO-2 and IPS0 ROIs. </w:t>
      </w:r>
      <w:r>
        <w:rPr>
          <w:rFonts w:ascii="Arial" w:hAnsi="Arial" w:cs="Arial"/>
          <w:i w:val="0"/>
          <w:color w:val="000000" w:themeColor="text1"/>
          <w:sz w:val="24"/>
          <w:szCs w:val="24"/>
        </w:rPr>
        <w:t xml:space="preserve">The figure demonstrates the percentage overlap between the distribution of RMSE scores across 10,000 iterations of randomly-selected samples of the observed data and scrambled correlation ‘noise’ data, for each ROI across multiple pairwise comparisons. </w:t>
      </w:r>
      <w:r w:rsidRPr="009D2FD7">
        <w:rPr>
          <w:rFonts w:ascii="Arial" w:hAnsi="Arial" w:cs="Arial"/>
          <w:i w:val="0"/>
          <w:color w:val="000000" w:themeColor="text1"/>
          <w:sz w:val="24"/>
          <w:szCs w:val="24"/>
        </w:rPr>
        <w:t>Significant</w:t>
      </w:r>
      <w:r>
        <w:rPr>
          <w:rFonts w:ascii="Arial" w:hAnsi="Arial" w:cs="Arial"/>
          <w:i w:val="0"/>
          <w:color w:val="000000" w:themeColor="text1"/>
          <w:sz w:val="24"/>
          <w:szCs w:val="24"/>
        </w:rPr>
        <w:t xml:space="preserve"> overlap (less than 5%) </w:t>
      </w:r>
      <w:r w:rsidRPr="009D2FD7">
        <w:rPr>
          <w:rFonts w:ascii="Arial" w:hAnsi="Arial" w:cs="Arial"/>
          <w:i w:val="0"/>
          <w:color w:val="000000" w:themeColor="text1"/>
          <w:sz w:val="24"/>
          <w:szCs w:val="24"/>
        </w:rPr>
        <w:t>between pairwise combinations of condition are indicated with asterisks.</w:t>
      </w:r>
    </w:p>
    <w:p w14:paraId="4580E936" w14:textId="1AC61334" w:rsidR="002E55BD" w:rsidRPr="00170639" w:rsidRDefault="00232278" w:rsidP="00170639">
      <w:pPr>
        <w:spacing w:line="276" w:lineRule="auto"/>
        <w:rPr>
          <w:rFonts w:ascii="Arial" w:hAnsi="Arial" w:cs="Arial"/>
          <w:b/>
          <w:bCs/>
        </w:rPr>
      </w:pPr>
      <w:r>
        <w:tab/>
      </w:r>
      <w:r>
        <w:tab/>
      </w:r>
      <w:r>
        <w:tab/>
      </w:r>
      <w:r>
        <w:tab/>
      </w:r>
      <w:r>
        <w:tab/>
      </w:r>
      <w:r>
        <w:tab/>
      </w:r>
      <w:r>
        <w:tab/>
      </w:r>
      <w:r>
        <w:tab/>
      </w:r>
      <w:r>
        <w:tab/>
      </w:r>
      <w:r>
        <w:tab/>
        <w:t xml:space="preserve">         </w:t>
      </w:r>
      <w:r>
        <w:rPr>
          <w:rFonts w:ascii="Arial" w:hAnsi="Arial" w:cs="Arial"/>
          <w:b/>
          <w:bCs/>
        </w:rPr>
        <w:t>1</w:t>
      </w:r>
      <w:r w:rsidR="0083451C">
        <w:rPr>
          <w:rFonts w:ascii="Arial" w:hAnsi="Arial" w:cs="Arial"/>
          <w:b/>
          <w:bCs/>
        </w:rPr>
        <w:t>8</w:t>
      </w:r>
      <w:r w:rsidR="007B3A25">
        <w:rPr>
          <w:rFonts w:ascii="Arial" w:hAnsi="Arial" w:cs="Arial"/>
          <w:b/>
          <w:bCs/>
        </w:rPr>
        <w:t>0</w:t>
      </w:r>
    </w:p>
    <w:p w14:paraId="7D7FA118" w14:textId="77777777" w:rsidR="002E55BD" w:rsidRPr="00475CB6" w:rsidRDefault="002E55BD" w:rsidP="00170639">
      <w:pPr>
        <w:spacing w:line="276" w:lineRule="auto"/>
      </w:pPr>
    </w:p>
    <w:p w14:paraId="245405D0" w14:textId="0718D364" w:rsidR="002E55BD" w:rsidRDefault="002E55BD" w:rsidP="002E55BD">
      <w:pPr>
        <w:pStyle w:val="Caption"/>
        <w:spacing w:line="276" w:lineRule="auto"/>
        <w:ind w:left="567" w:hanging="567"/>
        <w:jc w:val="both"/>
        <w:rPr>
          <w:rFonts w:ascii="Arial" w:hAnsi="Arial" w:cs="Arial"/>
          <w:i w:val="0"/>
          <w:color w:val="000000" w:themeColor="text1"/>
          <w:sz w:val="24"/>
          <w:szCs w:val="24"/>
        </w:rPr>
      </w:pPr>
      <w:r w:rsidRPr="00FA5FDE">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FA5FDE">
        <w:rPr>
          <w:rFonts w:ascii="Arial" w:hAnsi="Arial" w:cs="Arial"/>
          <w:i w:val="0"/>
          <w:color w:val="000000" w:themeColor="text1"/>
          <w:sz w:val="24"/>
          <w:szCs w:val="24"/>
        </w:rPr>
        <w:t xml:space="preserve"> Naturalistic fMRI Attentional Modulation Experimental Design. At the start of each 30 second block an audio cue directed participants attention towards a particular stimulus feature. Participants freely viewed the Pixar movie </w:t>
      </w:r>
      <w:r w:rsidRPr="00FA5FDE">
        <w:rPr>
          <w:rFonts w:ascii="Arial" w:hAnsi="Arial" w:cs="Arial"/>
          <w:color w:val="000000" w:themeColor="text1"/>
          <w:sz w:val="24"/>
          <w:szCs w:val="24"/>
        </w:rPr>
        <w:t>Frozen</w:t>
      </w:r>
      <w:r w:rsidRPr="00FA5FDE">
        <w:rPr>
          <w:rFonts w:ascii="Arial" w:hAnsi="Arial" w:cs="Arial"/>
          <w:i w:val="0"/>
          <w:color w:val="000000" w:themeColor="text1"/>
          <w:sz w:val="24"/>
          <w:szCs w:val="24"/>
        </w:rPr>
        <w:t xml:space="preserve"> (individual frames shown here for demonstration) and responded whenever they identified the feature of cued attentional focus. The order of attention cues and movie clips were randomised across participants. </w:t>
      </w:r>
    </w:p>
    <w:p w14:paraId="5E725F7E" w14:textId="6F3645FE" w:rsidR="00232278" w:rsidRPr="00170639" w:rsidRDefault="00232278" w:rsidP="00170639">
      <w:pPr>
        <w:rPr>
          <w:i/>
        </w:rPr>
      </w:pP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t xml:space="preserve">        </w:t>
      </w:r>
      <w:r w:rsidR="0083451C">
        <w:rPr>
          <w:rFonts w:ascii="Arial" w:eastAsiaTheme="minorHAnsi" w:hAnsi="Arial" w:cs="Arial"/>
          <w:b/>
          <w:iCs/>
          <w:color w:val="000000" w:themeColor="text1"/>
        </w:rPr>
        <w:t>19</w:t>
      </w:r>
      <w:r w:rsidR="007B3A25">
        <w:rPr>
          <w:rFonts w:ascii="Arial" w:eastAsiaTheme="minorHAnsi" w:hAnsi="Arial" w:cs="Arial"/>
          <w:b/>
          <w:iCs/>
          <w:color w:val="000000" w:themeColor="text1"/>
        </w:rPr>
        <w:t>6</w:t>
      </w:r>
    </w:p>
    <w:p w14:paraId="49FA10AE" w14:textId="77777777" w:rsidR="002E55BD" w:rsidRPr="00475CB6" w:rsidRDefault="002E55BD" w:rsidP="00170639">
      <w:pPr>
        <w:spacing w:line="276" w:lineRule="auto"/>
      </w:pPr>
    </w:p>
    <w:p w14:paraId="195EAD9E"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591FA4">
        <w:rPr>
          <w:rFonts w:ascii="Arial" w:hAnsi="Arial" w:cs="Arial"/>
          <w:b/>
          <w:i w:val="0"/>
          <w:color w:val="000000" w:themeColor="text1"/>
          <w:sz w:val="24"/>
          <w:szCs w:val="24"/>
        </w:rPr>
        <w:lastRenderedPageBreak/>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591FA4">
        <w:rPr>
          <w:rFonts w:ascii="Arial" w:hAnsi="Arial" w:cs="Arial"/>
          <w:i w:val="0"/>
          <w:color w:val="000000" w:themeColor="text1"/>
          <w:sz w:val="24"/>
          <w:szCs w:val="24"/>
        </w:rPr>
        <w:t xml:space="preserve"> Univariate differences in attentional modulation are predominantly driven by faces. Data demonstrates feature-specific attentional modulations in BOLD signal. Data are shown for 8 visual ROIs as well as a control area (auditory cortex- A1). Regions V3A/B, hV4 and LO-2 exhibit significantly reduced BOLD signal amplitude during attention to faces in comparison to low-level visual features. Visual areas V3A/B and LO-2 show significantly increased modulation during attention to orientation and shape respectively. All error bars reflect +/- 1 SEM and significance asterisks indicate Benjamini-Hochberg corrected values.  </w:t>
      </w:r>
    </w:p>
    <w:p w14:paraId="60374809" w14:textId="6D48C645" w:rsidR="002E55BD" w:rsidRPr="00170639" w:rsidRDefault="00232278" w:rsidP="00170639">
      <w:pPr>
        <w:spacing w:line="276" w:lineRule="auto"/>
        <w:rPr>
          <w:rFonts w:ascii="Arial" w:hAnsi="Arial" w:cs="Arial"/>
          <w:b/>
          <w:bCs/>
        </w:rPr>
      </w:pPr>
      <w:r>
        <w:tab/>
      </w:r>
      <w:r>
        <w:tab/>
      </w:r>
      <w:r>
        <w:tab/>
      </w:r>
      <w:r>
        <w:tab/>
      </w:r>
      <w:r>
        <w:tab/>
      </w:r>
      <w:r>
        <w:tab/>
      </w:r>
      <w:r>
        <w:tab/>
      </w:r>
      <w:r>
        <w:tab/>
      </w:r>
      <w:r>
        <w:tab/>
      </w:r>
      <w:r>
        <w:tab/>
        <w:t xml:space="preserve">         </w:t>
      </w:r>
      <w:r w:rsidRPr="00170639">
        <w:rPr>
          <w:rFonts w:ascii="Arial" w:hAnsi="Arial" w:cs="Arial"/>
          <w:b/>
          <w:bCs/>
        </w:rPr>
        <w:t>2</w:t>
      </w:r>
      <w:r w:rsidR="0083451C">
        <w:rPr>
          <w:rFonts w:ascii="Arial" w:hAnsi="Arial" w:cs="Arial"/>
          <w:b/>
          <w:bCs/>
        </w:rPr>
        <w:t>0</w:t>
      </w:r>
      <w:r w:rsidR="007B3A25">
        <w:rPr>
          <w:rFonts w:ascii="Arial" w:hAnsi="Arial" w:cs="Arial"/>
          <w:b/>
          <w:bCs/>
        </w:rPr>
        <w:t>5</w:t>
      </w:r>
    </w:p>
    <w:p w14:paraId="43D35F9B" w14:textId="77777777" w:rsidR="002E55BD" w:rsidRPr="00475CB6" w:rsidRDefault="002E55BD" w:rsidP="00170639">
      <w:pPr>
        <w:spacing w:line="276" w:lineRule="auto"/>
      </w:pPr>
    </w:p>
    <w:p w14:paraId="1F078B16"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F20EF0">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F20EF0">
        <w:rPr>
          <w:rFonts w:ascii="Arial" w:hAnsi="Arial" w:cs="Arial"/>
          <w:i w:val="0"/>
          <w:color w:val="000000" w:themeColor="text1"/>
          <w:sz w:val="24"/>
          <w:szCs w:val="24"/>
        </w:rPr>
        <w:t xml:space="preserve"> Weak evidence of feature-specific attentional modulation within low-level visual feature dimensions. Within the orientation analysis (A), in hV4, LO-1 and LO-2, we identify significantly greater modulation to horizontal than to vertically-oriented stimuli. In LO-2, evidence of significantly greater modulation during attention to diagonally- than vertically-oriented stimuli </w:t>
      </w:r>
      <w:proofErr w:type="gramStart"/>
      <w:r w:rsidRPr="00F20EF0">
        <w:rPr>
          <w:rFonts w:ascii="Arial" w:hAnsi="Arial" w:cs="Arial"/>
          <w:i w:val="0"/>
          <w:color w:val="000000" w:themeColor="text1"/>
          <w:sz w:val="24"/>
          <w:szCs w:val="24"/>
        </w:rPr>
        <w:t>is</w:t>
      </w:r>
      <w:proofErr w:type="gramEnd"/>
      <w:r w:rsidRPr="00F20EF0">
        <w:rPr>
          <w:rFonts w:ascii="Arial" w:hAnsi="Arial" w:cs="Arial"/>
          <w:i w:val="0"/>
          <w:color w:val="000000" w:themeColor="text1"/>
          <w:sz w:val="24"/>
          <w:szCs w:val="24"/>
        </w:rPr>
        <w:t xml:space="preserve"> also evident. In the chromatic analysis (B) in all 9 ROIs examined, we identify no significant difference in BOLD signal modulation during attention to red, green or blue stimuli. Within the shape analysis (C), </w:t>
      </w:r>
      <w:r>
        <w:rPr>
          <w:rFonts w:ascii="Arial" w:hAnsi="Arial" w:cs="Arial"/>
          <w:i w:val="0"/>
          <w:color w:val="000000" w:themeColor="text1"/>
          <w:sz w:val="24"/>
          <w:szCs w:val="24"/>
        </w:rPr>
        <w:t>w</w:t>
      </w:r>
      <w:r w:rsidRPr="00F20EF0">
        <w:rPr>
          <w:rFonts w:ascii="Arial" w:hAnsi="Arial" w:cs="Arial"/>
          <w:i w:val="0"/>
          <w:color w:val="000000" w:themeColor="text1"/>
          <w:sz w:val="24"/>
          <w:szCs w:val="24"/>
        </w:rPr>
        <w:t xml:space="preserve">e demonstrate significantly reduced modulation during attention to circular than to square or triangular stimuli. In the STS, significantly reduced modulation during triangular than circular attention is also evident. All error bars reflect +/- 1 SEM and significance asterisks indicate Benjamini-Hochberg corrected values.  </w:t>
      </w:r>
    </w:p>
    <w:p w14:paraId="7F6F934B" w14:textId="5916796A" w:rsidR="002E55BD" w:rsidRPr="00170639" w:rsidRDefault="00232278" w:rsidP="00170639">
      <w:pPr>
        <w:spacing w:line="276" w:lineRule="auto"/>
        <w:rPr>
          <w:rFonts w:ascii="Arial" w:hAnsi="Arial" w:cs="Arial"/>
          <w:b/>
          <w:bCs/>
        </w:rPr>
      </w:pPr>
      <w:r>
        <w:tab/>
      </w:r>
      <w:r>
        <w:tab/>
      </w:r>
      <w:r>
        <w:tab/>
      </w:r>
      <w:r>
        <w:tab/>
      </w:r>
      <w:r>
        <w:tab/>
      </w:r>
      <w:r>
        <w:tab/>
      </w:r>
      <w:r>
        <w:tab/>
      </w:r>
      <w:r>
        <w:tab/>
      </w:r>
      <w:r>
        <w:tab/>
      </w:r>
      <w:r>
        <w:tab/>
        <w:t xml:space="preserve">         </w:t>
      </w:r>
      <w:r w:rsidRPr="00170639">
        <w:rPr>
          <w:rFonts w:ascii="Arial" w:hAnsi="Arial" w:cs="Arial"/>
          <w:b/>
          <w:bCs/>
        </w:rPr>
        <w:t>2</w:t>
      </w:r>
      <w:r w:rsidR="007B3A25">
        <w:rPr>
          <w:rFonts w:ascii="Arial" w:hAnsi="Arial" w:cs="Arial"/>
          <w:b/>
          <w:bCs/>
        </w:rPr>
        <w:t>09</w:t>
      </w:r>
    </w:p>
    <w:p w14:paraId="7672AF4F" w14:textId="77777777" w:rsidR="002E55BD" w:rsidRPr="00475CB6" w:rsidRDefault="002E55BD" w:rsidP="00170639">
      <w:pPr>
        <w:spacing w:line="276" w:lineRule="auto"/>
      </w:pPr>
    </w:p>
    <w:p w14:paraId="28BC6EB3"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287C67">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sidRPr="00287C67">
        <w:rPr>
          <w:rFonts w:ascii="Arial" w:hAnsi="Arial" w:cs="Arial"/>
          <w:i w:val="0"/>
          <w:color w:val="000000" w:themeColor="text1"/>
          <w:sz w:val="24"/>
          <w:szCs w:val="24"/>
        </w:rPr>
        <w:t xml:space="preserve"> Multivariate Support Vector Machine decoding. Simultaneous classification of face, orientation, contrast and shape attention data reveal attentional state can be accurately decoded in almost all visual ROIs examined. Error bars reflect +/- 1 SEM and significance asterisks indicate Benjamini-Hochberg corrected values. </w:t>
      </w:r>
    </w:p>
    <w:p w14:paraId="5FEF8C63" w14:textId="0BD0B976" w:rsidR="002E55BD" w:rsidRPr="00170639" w:rsidRDefault="00232278" w:rsidP="00170639">
      <w:pPr>
        <w:spacing w:line="276" w:lineRule="auto"/>
        <w:rPr>
          <w:rFonts w:ascii="Arial" w:hAnsi="Arial" w:cs="Arial"/>
          <w:b/>
          <w:bCs/>
        </w:rPr>
      </w:pPr>
      <w:r>
        <w:tab/>
      </w:r>
      <w:r>
        <w:tab/>
      </w:r>
      <w:r>
        <w:tab/>
      </w:r>
      <w:r>
        <w:tab/>
      </w:r>
      <w:r>
        <w:tab/>
      </w:r>
      <w:r>
        <w:tab/>
      </w:r>
      <w:r>
        <w:tab/>
      </w:r>
      <w:r>
        <w:tab/>
      </w:r>
      <w:r>
        <w:tab/>
      </w:r>
      <w:r>
        <w:tab/>
        <w:t xml:space="preserve">         </w:t>
      </w:r>
      <w:r w:rsidRPr="00170639">
        <w:rPr>
          <w:rFonts w:ascii="Arial" w:hAnsi="Arial" w:cs="Arial"/>
          <w:b/>
          <w:bCs/>
        </w:rPr>
        <w:t>21</w:t>
      </w:r>
      <w:r w:rsidR="007B3A25">
        <w:rPr>
          <w:rFonts w:ascii="Arial" w:hAnsi="Arial" w:cs="Arial"/>
          <w:b/>
          <w:bCs/>
        </w:rPr>
        <w:t>1</w:t>
      </w:r>
    </w:p>
    <w:p w14:paraId="03E9971F" w14:textId="77777777" w:rsidR="002E55BD" w:rsidRPr="00475CB6" w:rsidRDefault="002E55BD" w:rsidP="00170639">
      <w:pPr>
        <w:spacing w:line="276" w:lineRule="auto"/>
      </w:pPr>
    </w:p>
    <w:p w14:paraId="34A4DD1B" w14:textId="7CB7320A" w:rsidR="002E55BD" w:rsidRDefault="002E55BD" w:rsidP="002E55BD">
      <w:pPr>
        <w:pStyle w:val="Caption"/>
        <w:spacing w:line="276" w:lineRule="auto"/>
        <w:ind w:left="567" w:hanging="567"/>
        <w:jc w:val="both"/>
        <w:rPr>
          <w:rFonts w:ascii="Arial" w:hAnsi="Arial" w:cs="Arial"/>
          <w:i w:val="0"/>
          <w:color w:val="000000" w:themeColor="text1"/>
          <w:sz w:val="24"/>
          <w:szCs w:val="24"/>
        </w:rPr>
      </w:pPr>
      <w:r w:rsidRPr="006A6E96">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sidRPr="006A6E96">
        <w:rPr>
          <w:rFonts w:ascii="Arial" w:hAnsi="Arial" w:cs="Arial"/>
          <w:i w:val="0"/>
          <w:color w:val="000000" w:themeColor="text1"/>
          <w:sz w:val="24"/>
          <w:szCs w:val="24"/>
        </w:rPr>
        <w:t xml:space="preserve"> Two-way support vector machine decoding. Within all visual ROIs examined, successful classification was predominantly evident between attention to face and attention to low-level visual feature conditions. Within V3A/B and hV4, voxel patterns differ significantly between attention to orientation and attention to shape conditions. </w:t>
      </w:r>
      <w:r>
        <w:rPr>
          <w:rFonts w:ascii="Arial" w:hAnsi="Arial" w:cs="Arial"/>
          <w:i w:val="0"/>
          <w:color w:val="000000" w:themeColor="text1"/>
          <w:sz w:val="24"/>
          <w:szCs w:val="24"/>
        </w:rPr>
        <w:t>S</w:t>
      </w:r>
      <w:r w:rsidRPr="006A6E96">
        <w:rPr>
          <w:rFonts w:ascii="Arial" w:hAnsi="Arial" w:cs="Arial"/>
          <w:i w:val="0"/>
          <w:color w:val="000000" w:themeColor="text1"/>
          <w:sz w:val="24"/>
          <w:szCs w:val="24"/>
        </w:rPr>
        <w:t>ignificance asterisks indicate Benjamini-Hochberg corrected values.</w:t>
      </w:r>
    </w:p>
    <w:p w14:paraId="1B07B3BB" w14:textId="5EC3F587" w:rsidR="0083451C" w:rsidRPr="0083451C" w:rsidRDefault="0083451C" w:rsidP="0083451C">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t xml:space="preserve"> </w:t>
      </w:r>
      <w:r w:rsidR="004E6D8A">
        <w:rPr>
          <w:rFonts w:ascii="Arial" w:eastAsiaTheme="minorHAnsi" w:hAnsi="Arial" w:cs="Arial"/>
          <w:b/>
          <w:iCs/>
          <w:color w:val="000000" w:themeColor="text1"/>
        </w:rPr>
        <w:t xml:space="preserve">       21</w:t>
      </w:r>
      <w:r w:rsidR="007B3A25">
        <w:rPr>
          <w:rFonts w:ascii="Arial" w:eastAsiaTheme="minorHAnsi" w:hAnsi="Arial" w:cs="Arial"/>
          <w:b/>
          <w:iCs/>
          <w:color w:val="000000" w:themeColor="text1"/>
        </w:rPr>
        <w:t>2</w:t>
      </w:r>
    </w:p>
    <w:p w14:paraId="33C3353E" w14:textId="77777777" w:rsidR="002E55BD" w:rsidRPr="006A6E96" w:rsidRDefault="002E55BD" w:rsidP="00170639">
      <w:pPr>
        <w:pStyle w:val="Caption"/>
        <w:spacing w:line="276" w:lineRule="auto"/>
        <w:ind w:left="567" w:hanging="567"/>
        <w:jc w:val="both"/>
        <w:rPr>
          <w:rFonts w:ascii="Arial" w:hAnsi="Arial" w:cs="Arial"/>
          <w:i w:val="0"/>
          <w:color w:val="000000" w:themeColor="text1"/>
          <w:sz w:val="24"/>
          <w:szCs w:val="24"/>
        </w:rPr>
      </w:pPr>
      <w:r w:rsidRPr="006A6E96">
        <w:rPr>
          <w:rFonts w:ascii="Arial" w:hAnsi="Arial" w:cs="Arial"/>
          <w:i w:val="0"/>
          <w:color w:val="000000" w:themeColor="text1"/>
          <w:sz w:val="24"/>
          <w:szCs w:val="24"/>
        </w:rPr>
        <w:t xml:space="preserve"> </w:t>
      </w:r>
    </w:p>
    <w:p w14:paraId="62DE5C98"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291DCE">
        <w:rPr>
          <w:rFonts w:ascii="Arial" w:hAnsi="Arial" w:cs="Arial"/>
          <w:b/>
          <w:i w:val="0"/>
          <w:color w:val="000000" w:themeColor="text1"/>
          <w:sz w:val="24"/>
          <w:szCs w:val="24"/>
        </w:rPr>
        <w:lastRenderedPageBreak/>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sidRPr="00291DCE">
        <w:rPr>
          <w:rFonts w:ascii="Arial" w:hAnsi="Arial" w:cs="Arial"/>
          <w:i w:val="0"/>
          <w:color w:val="000000" w:themeColor="text1"/>
          <w:sz w:val="24"/>
          <w:szCs w:val="24"/>
        </w:rPr>
        <w:t xml:space="preserve"> 3x3 feature multivariate support vector machine decoding. Across orientation (A), colour (B) shape (C) low-level feature analysis conditions, no significant classification of attentional state was evident </w:t>
      </w:r>
      <w:r>
        <w:rPr>
          <w:rFonts w:ascii="Arial" w:hAnsi="Arial" w:cs="Arial"/>
          <w:i w:val="0"/>
          <w:color w:val="000000" w:themeColor="text1"/>
          <w:sz w:val="24"/>
          <w:szCs w:val="24"/>
        </w:rPr>
        <w:t>within</w:t>
      </w:r>
      <w:r w:rsidRPr="00291DCE">
        <w:rPr>
          <w:rFonts w:ascii="Arial" w:hAnsi="Arial" w:cs="Arial"/>
          <w:i w:val="0"/>
          <w:color w:val="000000" w:themeColor="text1"/>
          <w:sz w:val="24"/>
          <w:szCs w:val="24"/>
        </w:rPr>
        <w:t xml:space="preserve"> multiclass or </w:t>
      </w:r>
      <w:r>
        <w:rPr>
          <w:rFonts w:ascii="Arial" w:hAnsi="Arial" w:cs="Arial"/>
          <w:i w:val="0"/>
          <w:color w:val="000000" w:themeColor="text1"/>
          <w:sz w:val="24"/>
          <w:szCs w:val="24"/>
        </w:rPr>
        <w:t>pairwise support vector machine decoding</w:t>
      </w:r>
      <w:r w:rsidRPr="00291DCE">
        <w:rPr>
          <w:rFonts w:ascii="Arial" w:hAnsi="Arial" w:cs="Arial"/>
          <w:i w:val="0"/>
          <w:color w:val="000000" w:themeColor="text1"/>
          <w:sz w:val="24"/>
          <w:szCs w:val="24"/>
        </w:rPr>
        <w:t xml:space="preserve">. Error bars reflect +/- 1 SEM. </w:t>
      </w:r>
    </w:p>
    <w:p w14:paraId="07932198" w14:textId="3E5D2B79" w:rsidR="002E55BD" w:rsidRPr="00170639" w:rsidRDefault="00232278" w:rsidP="00170639">
      <w:pPr>
        <w:tabs>
          <w:tab w:val="left" w:pos="3388"/>
        </w:tabs>
        <w:spacing w:line="276" w:lineRule="auto"/>
        <w:rPr>
          <w:rFonts w:ascii="Arial" w:hAnsi="Arial" w:cs="Arial"/>
          <w:b/>
          <w:bCs/>
        </w:rPr>
      </w:pPr>
      <w:r>
        <w:tab/>
      </w:r>
      <w:r>
        <w:tab/>
      </w:r>
      <w:r>
        <w:tab/>
      </w:r>
      <w:r>
        <w:tab/>
      </w:r>
      <w:r>
        <w:tab/>
      </w:r>
      <w:r>
        <w:tab/>
      </w:r>
      <w:r>
        <w:tab/>
        <w:t xml:space="preserve">         </w:t>
      </w:r>
      <w:r w:rsidRPr="00170639">
        <w:rPr>
          <w:rFonts w:ascii="Arial" w:hAnsi="Arial" w:cs="Arial"/>
          <w:b/>
          <w:bCs/>
        </w:rPr>
        <w:t>2</w:t>
      </w:r>
      <w:r w:rsidR="0083451C">
        <w:rPr>
          <w:rFonts w:ascii="Arial" w:hAnsi="Arial" w:cs="Arial"/>
          <w:b/>
          <w:bCs/>
        </w:rPr>
        <w:t>1</w:t>
      </w:r>
      <w:r w:rsidR="007B3A25">
        <w:rPr>
          <w:rFonts w:ascii="Arial" w:hAnsi="Arial" w:cs="Arial"/>
          <w:b/>
          <w:bCs/>
        </w:rPr>
        <w:t>5</w:t>
      </w:r>
    </w:p>
    <w:p w14:paraId="327C66B0" w14:textId="77777777" w:rsidR="002E55BD" w:rsidRPr="00475CB6" w:rsidRDefault="002E55BD" w:rsidP="00170639">
      <w:pPr>
        <w:spacing w:line="276" w:lineRule="auto"/>
      </w:pPr>
    </w:p>
    <w:p w14:paraId="697C36B1" w14:textId="77777777" w:rsidR="002E55BD" w:rsidRDefault="002E55BD" w:rsidP="00170639">
      <w:pPr>
        <w:pStyle w:val="Caption"/>
        <w:spacing w:line="276" w:lineRule="auto"/>
        <w:ind w:left="567" w:hanging="567"/>
        <w:jc w:val="both"/>
        <w:rPr>
          <w:rFonts w:ascii="Arial" w:hAnsi="Arial" w:cs="Arial"/>
          <w:i w:val="0"/>
          <w:color w:val="000000" w:themeColor="text1"/>
          <w:sz w:val="24"/>
          <w:szCs w:val="24"/>
        </w:rPr>
      </w:pPr>
      <w:r w:rsidRPr="005858E6">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7</w:t>
      </w:r>
      <w:r>
        <w:rPr>
          <w:rFonts w:ascii="Arial" w:hAnsi="Arial" w:cs="Arial"/>
          <w:b/>
          <w:i w:val="0"/>
          <w:color w:val="000000" w:themeColor="text1"/>
          <w:sz w:val="24"/>
          <w:szCs w:val="24"/>
        </w:rPr>
        <w:fldChar w:fldCharType="end"/>
      </w:r>
      <w:r w:rsidRPr="005858E6">
        <w:rPr>
          <w:rFonts w:ascii="Arial" w:hAnsi="Arial" w:cs="Arial"/>
          <w:i w:val="0"/>
          <w:color w:val="000000" w:themeColor="text1"/>
          <w:sz w:val="24"/>
          <w:szCs w:val="24"/>
        </w:rPr>
        <w:t xml:space="preserve"> Greater overall connectivity during passive viewing and attention directed to faces than attention directed to low-level stimulus features. A) indicates group feature-specific averaged attentional modulation connectivity values. These correlation matrices indicate significantly greater positive connectivity during attention to faces and passive viewing</w:t>
      </w:r>
      <w:r>
        <w:rPr>
          <w:rFonts w:ascii="Arial" w:hAnsi="Arial" w:cs="Arial"/>
          <w:i w:val="0"/>
          <w:color w:val="000000" w:themeColor="text1"/>
          <w:sz w:val="24"/>
          <w:szCs w:val="24"/>
        </w:rPr>
        <w:t xml:space="preserve">. </w:t>
      </w:r>
      <w:r w:rsidRPr="009D2FD7">
        <w:rPr>
          <w:rFonts w:ascii="Arial" w:hAnsi="Arial" w:cs="Arial"/>
          <w:i w:val="0"/>
          <w:color w:val="000000" w:themeColor="text1"/>
          <w:sz w:val="24"/>
          <w:szCs w:val="24"/>
        </w:rPr>
        <w:t xml:space="preserve">B) Bootstrapped measures of distance between pairwise combinations of attentional focus conditions, for V1, V3A/B, hV4, LO-1, LO-2 and IPS0 ROIs. </w:t>
      </w:r>
      <w:r>
        <w:rPr>
          <w:rFonts w:ascii="Arial" w:hAnsi="Arial" w:cs="Arial"/>
          <w:i w:val="0"/>
          <w:color w:val="000000" w:themeColor="text1"/>
          <w:sz w:val="24"/>
          <w:szCs w:val="24"/>
        </w:rPr>
        <w:t xml:space="preserve">The figure demonstrates the percentage overlap between the distribution of RMSE scores across 10,000 iterations of randomly-selected samples of the observed data and scrambled correlation ‘noise’ data, for each ROI across multiple pairwise comparisons. </w:t>
      </w:r>
      <w:r w:rsidRPr="009D2FD7">
        <w:rPr>
          <w:rFonts w:ascii="Arial" w:hAnsi="Arial" w:cs="Arial"/>
          <w:i w:val="0"/>
          <w:color w:val="000000" w:themeColor="text1"/>
          <w:sz w:val="24"/>
          <w:szCs w:val="24"/>
        </w:rPr>
        <w:t>Significant</w:t>
      </w:r>
      <w:r>
        <w:rPr>
          <w:rFonts w:ascii="Arial" w:hAnsi="Arial" w:cs="Arial"/>
          <w:i w:val="0"/>
          <w:color w:val="000000" w:themeColor="text1"/>
          <w:sz w:val="24"/>
          <w:szCs w:val="24"/>
        </w:rPr>
        <w:t xml:space="preserve"> overlap (less than 5%) </w:t>
      </w:r>
      <w:r w:rsidRPr="009D2FD7">
        <w:rPr>
          <w:rFonts w:ascii="Arial" w:hAnsi="Arial" w:cs="Arial"/>
          <w:i w:val="0"/>
          <w:color w:val="000000" w:themeColor="text1"/>
          <w:sz w:val="24"/>
          <w:szCs w:val="24"/>
        </w:rPr>
        <w:t>between pairwise combinations of condition are indicated with asterisks.</w:t>
      </w:r>
    </w:p>
    <w:p w14:paraId="5D4B0C73" w14:textId="3381E665" w:rsidR="002E55BD" w:rsidRPr="00170639" w:rsidRDefault="00232278" w:rsidP="00170639">
      <w:pPr>
        <w:spacing w:line="276" w:lineRule="auto"/>
        <w:rPr>
          <w:rFonts w:ascii="Arial" w:hAnsi="Arial" w:cs="Arial"/>
          <w:b/>
          <w:bCs/>
        </w:rPr>
      </w:pPr>
      <w:r>
        <w:tab/>
      </w:r>
      <w:r>
        <w:tab/>
      </w:r>
      <w:r>
        <w:tab/>
      </w:r>
      <w:r>
        <w:tab/>
      </w:r>
      <w:r>
        <w:tab/>
      </w:r>
      <w:r>
        <w:tab/>
      </w:r>
      <w:r>
        <w:tab/>
      </w:r>
      <w:r>
        <w:tab/>
      </w:r>
      <w:r>
        <w:tab/>
      </w:r>
      <w:r>
        <w:tab/>
        <w:t xml:space="preserve">         </w:t>
      </w:r>
      <w:r w:rsidRPr="00170639">
        <w:rPr>
          <w:rFonts w:ascii="Arial" w:hAnsi="Arial" w:cs="Arial"/>
          <w:b/>
          <w:bCs/>
        </w:rPr>
        <w:t>2</w:t>
      </w:r>
      <w:r w:rsidR="007B3A25">
        <w:rPr>
          <w:rFonts w:ascii="Arial" w:hAnsi="Arial" w:cs="Arial"/>
          <w:b/>
          <w:bCs/>
        </w:rPr>
        <w:t>18</w:t>
      </w:r>
    </w:p>
    <w:p w14:paraId="2329840D" w14:textId="77777777" w:rsidR="002E55BD" w:rsidRPr="00475CB6" w:rsidRDefault="002E55BD" w:rsidP="00170639">
      <w:pPr>
        <w:spacing w:line="276" w:lineRule="auto"/>
      </w:pPr>
    </w:p>
    <w:p w14:paraId="0ABBAC42" w14:textId="524FC013" w:rsidR="002E55BD" w:rsidRDefault="002E55BD" w:rsidP="002E55BD">
      <w:pPr>
        <w:pStyle w:val="Caption"/>
        <w:spacing w:line="276" w:lineRule="auto"/>
        <w:ind w:left="567" w:hanging="567"/>
        <w:jc w:val="both"/>
        <w:rPr>
          <w:rFonts w:ascii="Arial" w:hAnsi="Arial" w:cs="Arial"/>
          <w:i w:val="0"/>
          <w:color w:val="000000" w:themeColor="text1"/>
          <w:sz w:val="24"/>
          <w:szCs w:val="24"/>
        </w:rPr>
      </w:pPr>
      <w:r w:rsidRPr="00C37FB8">
        <w:rPr>
          <w:rFonts w:ascii="Arial" w:hAnsi="Arial" w:cs="Arial"/>
          <w:b/>
          <w:i w:val="0"/>
          <w:color w:val="000000" w:themeColor="text1"/>
          <w:sz w:val="24"/>
          <w:szCs w:val="24"/>
        </w:rPr>
        <w:t xml:space="preserve">Figure </w:t>
      </w:r>
      <w:r w:rsidRPr="00C37FB8">
        <w:rPr>
          <w:rFonts w:ascii="Arial" w:hAnsi="Arial" w:cs="Arial"/>
          <w:b/>
          <w:i w:val="0"/>
          <w:color w:val="000000" w:themeColor="text1"/>
          <w:sz w:val="24"/>
          <w:szCs w:val="24"/>
        </w:rPr>
        <w:fldChar w:fldCharType="begin"/>
      </w:r>
      <w:r w:rsidRPr="00C37FB8">
        <w:rPr>
          <w:rFonts w:ascii="Arial" w:hAnsi="Arial" w:cs="Arial"/>
          <w:b/>
          <w:i w:val="0"/>
          <w:color w:val="000000" w:themeColor="text1"/>
          <w:sz w:val="24"/>
          <w:szCs w:val="24"/>
        </w:rPr>
        <w:instrText xml:space="preserve"> STYLEREF 1 \s </w:instrText>
      </w:r>
      <w:r w:rsidRPr="00C37FB8">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sidRPr="00C37FB8">
        <w:rPr>
          <w:rFonts w:ascii="Arial" w:hAnsi="Arial" w:cs="Arial"/>
          <w:b/>
          <w:i w:val="0"/>
          <w:color w:val="000000" w:themeColor="text1"/>
          <w:sz w:val="24"/>
          <w:szCs w:val="24"/>
        </w:rPr>
        <w:fldChar w:fldCharType="end"/>
      </w:r>
      <w:r w:rsidRPr="00C37FB8">
        <w:rPr>
          <w:rFonts w:ascii="Arial" w:hAnsi="Arial" w:cs="Arial"/>
          <w:b/>
          <w:i w:val="0"/>
          <w:color w:val="000000" w:themeColor="text1"/>
          <w:sz w:val="24"/>
          <w:szCs w:val="24"/>
        </w:rPr>
        <w:t>.</w:t>
      </w:r>
      <w:r w:rsidRPr="00C37FB8">
        <w:rPr>
          <w:rFonts w:ascii="Arial" w:hAnsi="Arial" w:cs="Arial"/>
          <w:b/>
          <w:i w:val="0"/>
          <w:color w:val="000000" w:themeColor="text1"/>
          <w:sz w:val="24"/>
          <w:szCs w:val="24"/>
        </w:rPr>
        <w:fldChar w:fldCharType="begin"/>
      </w:r>
      <w:r w:rsidRPr="00C37FB8">
        <w:rPr>
          <w:rFonts w:ascii="Arial" w:hAnsi="Arial" w:cs="Arial"/>
          <w:b/>
          <w:i w:val="0"/>
          <w:color w:val="000000" w:themeColor="text1"/>
          <w:sz w:val="24"/>
          <w:szCs w:val="24"/>
        </w:rPr>
        <w:instrText xml:space="preserve"> SEQ Figure \* ARABIC \s 1 </w:instrText>
      </w:r>
      <w:r w:rsidRPr="00C37FB8">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8</w:t>
      </w:r>
      <w:r w:rsidRPr="00C37FB8">
        <w:rPr>
          <w:rFonts w:ascii="Arial" w:hAnsi="Arial" w:cs="Arial"/>
          <w:b/>
          <w:i w:val="0"/>
          <w:color w:val="000000" w:themeColor="text1"/>
          <w:sz w:val="24"/>
          <w:szCs w:val="24"/>
        </w:rPr>
        <w:fldChar w:fldCharType="end"/>
      </w:r>
      <w:r w:rsidRPr="00C37FB8">
        <w:rPr>
          <w:rFonts w:ascii="Arial" w:hAnsi="Arial" w:cs="Arial"/>
          <w:i w:val="0"/>
          <w:color w:val="000000" w:themeColor="text1"/>
          <w:sz w:val="24"/>
          <w:szCs w:val="24"/>
        </w:rPr>
        <w:t xml:space="preserve"> 3x3 feature timeseries connectivity analyses. Group averaged feature-specific attentional modulation connectivity values, and partial correlation bootstrapped measures indicate significantly different patterns of connectivity across visual ROIs as a function of attentional task.  In the orientation analysis, we identify significantly reduced correlation between ROIs during attention to diagonal than horizontal or vertically-oriented stimuli, and this different is present in connectivity with almost all visual ROIs (A). In the chromatic analysis (B), we identify significantly greater positive connectivity between ROIs during attention to red than to green or blue stimuli in almost all ROIs (excluding V3A/B). In C) we demonstrate significantly greater positive correlation between visual ROIs during attention to square than to circular- or triangular-shapes. This difference was apparent in all visual ROI RMSE partial correlations. Significant differences between pairwise combination of condition are indicated with asterisks. </w:t>
      </w:r>
    </w:p>
    <w:p w14:paraId="588873A4" w14:textId="0E9068CC" w:rsidR="00232278" w:rsidRPr="00170639" w:rsidRDefault="00232278" w:rsidP="00170639">
      <w:pPr>
        <w:rPr>
          <w:i/>
        </w:rPr>
      </w:pP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r>
      <w:r>
        <w:rPr>
          <w:rFonts w:ascii="Arial" w:eastAsiaTheme="minorHAnsi" w:hAnsi="Arial" w:cs="Arial"/>
          <w:b/>
          <w:iCs/>
          <w:color w:val="000000" w:themeColor="text1"/>
        </w:rPr>
        <w:tab/>
        <w:t xml:space="preserve">        22</w:t>
      </w:r>
      <w:r w:rsidR="007B3A25">
        <w:rPr>
          <w:rFonts w:ascii="Arial" w:eastAsiaTheme="minorHAnsi" w:hAnsi="Arial" w:cs="Arial"/>
          <w:b/>
          <w:iCs/>
          <w:color w:val="000000" w:themeColor="text1"/>
        </w:rPr>
        <w:t>1</w:t>
      </w:r>
    </w:p>
    <w:p w14:paraId="6CF1F01A" w14:textId="02E3D64D" w:rsidR="00232278" w:rsidRDefault="00232278" w:rsidP="00170639">
      <w:pPr>
        <w:rPr>
          <w:i/>
        </w:rPr>
      </w:pPr>
    </w:p>
    <w:p w14:paraId="79A0F514" w14:textId="77777777" w:rsidR="00AE6937" w:rsidRPr="00170639" w:rsidRDefault="00AE6937" w:rsidP="00170639">
      <w:pPr>
        <w:rPr>
          <w:i/>
        </w:rPr>
      </w:pPr>
    </w:p>
    <w:p w14:paraId="39A1BD5D" w14:textId="6862A8A7" w:rsidR="003C36C6" w:rsidRPr="003C36C6" w:rsidRDefault="003C36C6" w:rsidP="00170639">
      <w:pPr>
        <w:pStyle w:val="Heading1"/>
        <w:spacing w:line="360" w:lineRule="auto"/>
      </w:pPr>
      <w:bookmarkStart w:id="26" w:name="_Toc11930013"/>
      <w:bookmarkStart w:id="27" w:name="_Toc16075327"/>
      <w:bookmarkStart w:id="28" w:name="_Toc16236955"/>
      <w:bookmarkEnd w:id="11"/>
      <w:r>
        <w:rPr>
          <w:rFonts w:ascii="Arial" w:hAnsi="Arial" w:cs="Arial"/>
          <w:b/>
          <w:color w:val="000000" w:themeColor="text1"/>
          <w:sz w:val="44"/>
          <w:szCs w:val="44"/>
        </w:rPr>
        <w:lastRenderedPageBreak/>
        <w:t>List of Equations</w:t>
      </w:r>
      <w:bookmarkEnd w:id="26"/>
      <w:bookmarkEnd w:id="27"/>
      <w:bookmarkEnd w:id="28"/>
    </w:p>
    <w:p w14:paraId="610A5621" w14:textId="68D0E94C" w:rsidR="004E41A6" w:rsidRDefault="004E41A6" w:rsidP="002E55BD">
      <w:pPr>
        <w:spacing w:line="276" w:lineRule="auto"/>
        <w:rPr>
          <w:rFonts w:ascii="Arial" w:hAnsi="Arial" w:cs="Arial"/>
          <w:iCs/>
          <w:color w:val="000000" w:themeColor="text1"/>
        </w:rPr>
      </w:pPr>
      <w:r w:rsidRPr="002F4BDC">
        <w:rPr>
          <w:rFonts w:ascii="Arial" w:hAnsi="Arial" w:cs="Arial"/>
          <w:b/>
          <w:iCs/>
          <w:color w:val="000000" w:themeColor="text1"/>
        </w:rPr>
        <w:t xml:space="preserve">Equation </w:t>
      </w:r>
      <w:r w:rsidRPr="002F4BDC">
        <w:rPr>
          <w:rFonts w:ascii="Arial" w:hAnsi="Arial" w:cs="Arial"/>
          <w:b/>
          <w:iCs/>
          <w:color w:val="000000" w:themeColor="text1"/>
        </w:rPr>
        <w:fldChar w:fldCharType="begin"/>
      </w:r>
      <w:r w:rsidRPr="002F4BDC">
        <w:rPr>
          <w:rFonts w:ascii="Arial" w:hAnsi="Arial" w:cs="Arial"/>
          <w:b/>
          <w:iCs/>
          <w:color w:val="000000" w:themeColor="text1"/>
        </w:rPr>
        <w:instrText xml:space="preserve"> STYLEREF 1 \s </w:instrText>
      </w:r>
      <w:r w:rsidRPr="002F4BDC">
        <w:rPr>
          <w:rFonts w:ascii="Arial" w:hAnsi="Arial" w:cs="Arial"/>
          <w:b/>
          <w:iCs/>
          <w:color w:val="000000" w:themeColor="text1"/>
        </w:rPr>
        <w:fldChar w:fldCharType="separate"/>
      </w:r>
      <w:r>
        <w:rPr>
          <w:rFonts w:ascii="Arial" w:hAnsi="Arial" w:cs="Arial"/>
          <w:b/>
          <w:iCs/>
          <w:noProof/>
          <w:color w:val="000000" w:themeColor="text1"/>
        </w:rPr>
        <w:t>2</w:t>
      </w:r>
      <w:r w:rsidRPr="002F4BDC">
        <w:rPr>
          <w:rFonts w:ascii="Arial" w:hAnsi="Arial" w:cs="Arial"/>
          <w:b/>
          <w:iCs/>
          <w:color w:val="000000" w:themeColor="text1"/>
        </w:rPr>
        <w:fldChar w:fldCharType="end"/>
      </w:r>
      <w:r w:rsidRPr="002F4BDC">
        <w:rPr>
          <w:rFonts w:ascii="Arial" w:hAnsi="Arial" w:cs="Arial"/>
          <w:b/>
          <w:iCs/>
          <w:color w:val="000000" w:themeColor="text1"/>
        </w:rPr>
        <w:t>.</w:t>
      </w:r>
      <w:r w:rsidRPr="002F4BDC">
        <w:rPr>
          <w:rFonts w:ascii="Arial" w:hAnsi="Arial" w:cs="Arial"/>
          <w:b/>
          <w:iCs/>
          <w:color w:val="000000" w:themeColor="text1"/>
        </w:rPr>
        <w:fldChar w:fldCharType="begin"/>
      </w:r>
      <w:r w:rsidRPr="002F4BDC">
        <w:rPr>
          <w:rFonts w:ascii="Arial" w:hAnsi="Arial" w:cs="Arial"/>
          <w:b/>
          <w:iCs/>
          <w:color w:val="000000" w:themeColor="text1"/>
        </w:rPr>
        <w:instrText xml:space="preserve"> SEQ Equation \* ARABIC \s 1 </w:instrText>
      </w:r>
      <w:r w:rsidRPr="002F4BDC">
        <w:rPr>
          <w:rFonts w:ascii="Arial" w:hAnsi="Arial" w:cs="Arial"/>
          <w:b/>
          <w:iCs/>
          <w:color w:val="000000" w:themeColor="text1"/>
        </w:rPr>
        <w:fldChar w:fldCharType="separate"/>
      </w:r>
      <w:r>
        <w:rPr>
          <w:rFonts w:ascii="Arial" w:hAnsi="Arial" w:cs="Arial"/>
          <w:b/>
          <w:iCs/>
          <w:noProof/>
          <w:color w:val="000000" w:themeColor="text1"/>
        </w:rPr>
        <w:t>1</w:t>
      </w:r>
      <w:r w:rsidRPr="002F4BDC">
        <w:rPr>
          <w:rFonts w:ascii="Arial" w:hAnsi="Arial" w:cs="Arial"/>
          <w:b/>
          <w:iCs/>
          <w:color w:val="000000" w:themeColor="text1"/>
        </w:rPr>
        <w:fldChar w:fldCharType="end"/>
      </w:r>
      <w:r w:rsidRPr="002F4BDC">
        <w:rPr>
          <w:rFonts w:ascii="Arial" w:hAnsi="Arial" w:cs="Arial"/>
          <w:iCs/>
          <w:color w:val="000000" w:themeColor="text1"/>
        </w:rPr>
        <w:t xml:space="preserve"> Equation for the calculation of a RF pattern</w:t>
      </w:r>
    </w:p>
    <w:p w14:paraId="3192F0C3" w14:textId="1EAAE906" w:rsidR="00FF67F5" w:rsidRPr="00170639" w:rsidRDefault="00FF67F5" w:rsidP="00170639">
      <w:pPr>
        <w:spacing w:line="276" w:lineRule="auto"/>
        <w:rPr>
          <w:rFonts w:ascii="Arial" w:hAnsi="Arial" w:cs="Arial"/>
          <w:b/>
          <w:bCs/>
          <w:iCs/>
          <w:color w:val="000000" w:themeColor="text1"/>
        </w:rPr>
      </w:pPr>
      <w:r>
        <w:rPr>
          <w:rFonts w:ascii="Arial" w:hAnsi="Arial" w:cs="Arial"/>
          <w:iCs/>
          <w:color w:val="000000" w:themeColor="text1"/>
        </w:rPr>
        <w:tab/>
      </w:r>
      <w:r>
        <w:rPr>
          <w:rFonts w:ascii="Arial" w:hAnsi="Arial" w:cs="Arial"/>
          <w:iCs/>
          <w:color w:val="000000" w:themeColor="text1"/>
        </w:rPr>
        <w:tab/>
      </w:r>
      <w:r>
        <w:rPr>
          <w:rFonts w:ascii="Arial" w:hAnsi="Arial" w:cs="Arial"/>
          <w:iCs/>
          <w:color w:val="000000" w:themeColor="text1"/>
        </w:rPr>
        <w:tab/>
      </w:r>
      <w:r>
        <w:rPr>
          <w:rFonts w:ascii="Arial" w:hAnsi="Arial" w:cs="Arial"/>
          <w:iCs/>
          <w:color w:val="000000" w:themeColor="text1"/>
        </w:rPr>
        <w:tab/>
      </w:r>
      <w:r>
        <w:rPr>
          <w:rFonts w:ascii="Arial" w:hAnsi="Arial" w:cs="Arial"/>
          <w:iCs/>
          <w:color w:val="000000" w:themeColor="text1"/>
        </w:rPr>
        <w:tab/>
      </w:r>
      <w:r>
        <w:rPr>
          <w:rFonts w:ascii="Arial" w:hAnsi="Arial" w:cs="Arial"/>
          <w:iCs/>
          <w:color w:val="000000" w:themeColor="text1"/>
        </w:rPr>
        <w:tab/>
      </w:r>
      <w:r>
        <w:rPr>
          <w:rFonts w:ascii="Arial" w:hAnsi="Arial" w:cs="Arial"/>
          <w:iCs/>
          <w:color w:val="000000" w:themeColor="text1"/>
        </w:rPr>
        <w:tab/>
      </w:r>
      <w:r>
        <w:rPr>
          <w:rFonts w:ascii="Arial" w:hAnsi="Arial" w:cs="Arial"/>
          <w:iCs/>
          <w:color w:val="000000" w:themeColor="text1"/>
        </w:rPr>
        <w:tab/>
      </w:r>
      <w:r>
        <w:rPr>
          <w:rFonts w:ascii="Arial" w:hAnsi="Arial" w:cs="Arial"/>
          <w:iCs/>
          <w:color w:val="000000" w:themeColor="text1"/>
        </w:rPr>
        <w:tab/>
      </w:r>
      <w:r>
        <w:rPr>
          <w:rFonts w:ascii="Arial" w:hAnsi="Arial" w:cs="Arial"/>
          <w:iCs/>
          <w:color w:val="000000" w:themeColor="text1"/>
        </w:rPr>
        <w:tab/>
        <w:t xml:space="preserve">          </w:t>
      </w:r>
      <w:r w:rsidRPr="00170639">
        <w:rPr>
          <w:rFonts w:ascii="Arial" w:hAnsi="Arial" w:cs="Arial"/>
          <w:b/>
          <w:bCs/>
          <w:iCs/>
          <w:color w:val="000000" w:themeColor="text1"/>
        </w:rPr>
        <w:t>5</w:t>
      </w:r>
      <w:r w:rsidR="007B3A25">
        <w:rPr>
          <w:rFonts w:ascii="Arial" w:hAnsi="Arial" w:cs="Arial"/>
          <w:b/>
          <w:bCs/>
          <w:iCs/>
          <w:color w:val="000000" w:themeColor="text1"/>
        </w:rPr>
        <w:t>3</w:t>
      </w:r>
    </w:p>
    <w:p w14:paraId="5A640F8D" w14:textId="77777777" w:rsidR="002E55BD" w:rsidRDefault="002E55BD" w:rsidP="00170639">
      <w:pPr>
        <w:spacing w:line="276" w:lineRule="auto"/>
        <w:rPr>
          <w:rFonts w:ascii="Arial" w:hAnsi="Arial" w:cs="Arial"/>
          <w:iCs/>
          <w:color w:val="000000" w:themeColor="text1"/>
        </w:rPr>
      </w:pPr>
    </w:p>
    <w:p w14:paraId="649709FA" w14:textId="58C39AEE" w:rsidR="004E41A6" w:rsidRDefault="004E41A6" w:rsidP="002E55BD">
      <w:pPr>
        <w:pStyle w:val="Caption"/>
        <w:spacing w:line="276" w:lineRule="auto"/>
        <w:jc w:val="both"/>
        <w:rPr>
          <w:rFonts w:ascii="Arial" w:hAnsi="Arial" w:cs="Arial"/>
          <w:i w:val="0"/>
          <w:color w:val="000000" w:themeColor="text1"/>
          <w:sz w:val="24"/>
          <w:szCs w:val="24"/>
        </w:rPr>
      </w:pPr>
      <w:r w:rsidRPr="007D7E3B">
        <w:rPr>
          <w:rFonts w:ascii="Arial" w:hAnsi="Arial" w:cs="Arial"/>
          <w:b/>
          <w:i w:val="0"/>
          <w:color w:val="000000" w:themeColor="text1"/>
          <w:sz w:val="24"/>
          <w:szCs w:val="24"/>
        </w:rPr>
        <w:t xml:space="preserve">Equation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Equation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7D7E3B">
        <w:rPr>
          <w:rFonts w:ascii="Arial" w:hAnsi="Arial" w:cs="Arial"/>
          <w:i w:val="0"/>
          <w:color w:val="000000" w:themeColor="text1"/>
          <w:sz w:val="24"/>
          <w:szCs w:val="24"/>
        </w:rPr>
        <w:t xml:space="preserve"> Equation for the spatiotemporal linear model of the fMRI response  </w:t>
      </w:r>
    </w:p>
    <w:p w14:paraId="631B6F54" w14:textId="6007EA72" w:rsidR="00FF67F5" w:rsidRPr="00170639" w:rsidRDefault="00FF67F5" w:rsidP="00170639">
      <w:pPr>
        <w:rPr>
          <w:rFonts w:ascii="Arial" w:hAnsi="Arial" w:cs="Arial"/>
          <w:b/>
          <w:bCs/>
          <w:i/>
        </w:rPr>
      </w:pPr>
      <w:r>
        <w:tab/>
      </w:r>
      <w:r>
        <w:tab/>
      </w:r>
      <w:r>
        <w:tab/>
      </w:r>
      <w:r>
        <w:tab/>
      </w:r>
      <w:r>
        <w:tab/>
      </w:r>
      <w:r>
        <w:tab/>
      </w:r>
      <w:r>
        <w:tab/>
      </w:r>
      <w:r>
        <w:tab/>
      </w:r>
      <w:r>
        <w:tab/>
      </w:r>
      <w:r>
        <w:tab/>
        <w:t xml:space="preserve">           </w:t>
      </w:r>
      <w:r w:rsidR="007B3A25">
        <w:rPr>
          <w:rFonts w:ascii="Arial" w:hAnsi="Arial" w:cs="Arial"/>
          <w:b/>
          <w:bCs/>
        </w:rPr>
        <w:t>69</w:t>
      </w:r>
    </w:p>
    <w:p w14:paraId="0C9F32B8" w14:textId="77777777" w:rsidR="002E55BD" w:rsidRPr="00170639" w:rsidRDefault="002E55BD" w:rsidP="00170639">
      <w:pPr>
        <w:spacing w:line="276" w:lineRule="auto"/>
        <w:rPr>
          <w:i/>
        </w:rPr>
      </w:pPr>
    </w:p>
    <w:p w14:paraId="11669B6F" w14:textId="4330CF60" w:rsidR="004E41A6" w:rsidRDefault="004E41A6" w:rsidP="002E55BD">
      <w:pPr>
        <w:pStyle w:val="Caption"/>
        <w:spacing w:line="276" w:lineRule="auto"/>
        <w:rPr>
          <w:rFonts w:ascii="Arial" w:hAnsi="Arial" w:cs="Arial"/>
          <w:i w:val="0"/>
          <w:color w:val="000000" w:themeColor="text1"/>
          <w:sz w:val="24"/>
          <w:szCs w:val="24"/>
        </w:rPr>
      </w:pPr>
      <w:r w:rsidRPr="0079656C">
        <w:rPr>
          <w:rFonts w:ascii="Arial" w:hAnsi="Arial" w:cs="Arial"/>
          <w:b/>
          <w:i w:val="0"/>
          <w:color w:val="000000" w:themeColor="text1"/>
          <w:sz w:val="24"/>
          <w:szCs w:val="24"/>
        </w:rPr>
        <w:t xml:space="preserve">Equation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Equation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79656C">
        <w:rPr>
          <w:rFonts w:ascii="Arial" w:hAnsi="Arial" w:cs="Arial"/>
          <w:i w:val="0"/>
          <w:color w:val="000000" w:themeColor="text1"/>
          <w:sz w:val="24"/>
          <w:szCs w:val="24"/>
        </w:rPr>
        <w:t xml:space="preserve"> Equation for the Gaussian model of pRF used to calculate </w:t>
      </w:r>
      <w:r>
        <w:rPr>
          <w:rFonts w:ascii="Arial" w:hAnsi="Arial" w:cs="Arial"/>
          <w:i w:val="0"/>
          <w:color w:val="000000" w:themeColor="text1"/>
          <w:sz w:val="24"/>
          <w:szCs w:val="24"/>
        </w:rPr>
        <w:t>p(t)</w:t>
      </w:r>
    </w:p>
    <w:p w14:paraId="42907D20" w14:textId="41FCD724" w:rsidR="00FF67F5" w:rsidRPr="00170639" w:rsidRDefault="00FF67F5" w:rsidP="00170639">
      <w:pPr>
        <w:rPr>
          <w:rFonts w:ascii="Arial" w:hAnsi="Arial" w:cs="Arial"/>
          <w:b/>
          <w:bCs/>
          <w:i/>
        </w:rPr>
      </w:pPr>
      <w:r>
        <w:tab/>
      </w:r>
      <w:r>
        <w:tab/>
      </w:r>
      <w:r>
        <w:tab/>
      </w:r>
      <w:r>
        <w:tab/>
      </w:r>
      <w:r>
        <w:tab/>
      </w:r>
      <w:r>
        <w:tab/>
      </w:r>
      <w:r>
        <w:tab/>
      </w:r>
      <w:r>
        <w:tab/>
      </w:r>
      <w:r>
        <w:tab/>
      </w:r>
      <w:r>
        <w:tab/>
        <w:t xml:space="preserve">           </w:t>
      </w:r>
      <w:r w:rsidR="007B3A25">
        <w:rPr>
          <w:rFonts w:ascii="Arial" w:hAnsi="Arial" w:cs="Arial"/>
          <w:b/>
          <w:bCs/>
        </w:rPr>
        <w:t>69</w:t>
      </w:r>
    </w:p>
    <w:p w14:paraId="28659C1C" w14:textId="77777777" w:rsidR="004E41A6" w:rsidRPr="00027E75" w:rsidRDefault="004E41A6" w:rsidP="00170639">
      <w:pPr>
        <w:spacing w:line="276" w:lineRule="auto"/>
      </w:pPr>
    </w:p>
    <w:p w14:paraId="0CEA7BB2" w14:textId="77777777" w:rsidR="00847C3C" w:rsidRDefault="00847C3C" w:rsidP="00170639">
      <w:pPr>
        <w:spacing w:line="276" w:lineRule="auto"/>
      </w:pPr>
    </w:p>
    <w:p w14:paraId="1A980627" w14:textId="77777777" w:rsidR="00847C3C" w:rsidRDefault="00847C3C" w:rsidP="00170639">
      <w:pPr>
        <w:spacing w:line="276" w:lineRule="auto"/>
      </w:pPr>
    </w:p>
    <w:p w14:paraId="5530B945" w14:textId="77777777" w:rsidR="00847C3C" w:rsidRDefault="00847C3C" w:rsidP="00170639">
      <w:pPr>
        <w:spacing w:line="276" w:lineRule="auto"/>
      </w:pPr>
    </w:p>
    <w:p w14:paraId="49406142" w14:textId="77777777" w:rsidR="00847C3C" w:rsidRDefault="00847C3C" w:rsidP="00170639">
      <w:pPr>
        <w:spacing w:line="276" w:lineRule="auto"/>
      </w:pPr>
    </w:p>
    <w:p w14:paraId="45E00EF9" w14:textId="77777777" w:rsidR="00847C3C" w:rsidRDefault="00847C3C" w:rsidP="00170639">
      <w:pPr>
        <w:spacing w:line="276" w:lineRule="auto"/>
      </w:pPr>
    </w:p>
    <w:p w14:paraId="3FAB32CF" w14:textId="77777777" w:rsidR="00847C3C" w:rsidRDefault="00847C3C" w:rsidP="00847C3C"/>
    <w:p w14:paraId="25C90C90" w14:textId="77777777" w:rsidR="00847C3C" w:rsidRDefault="00847C3C" w:rsidP="00847C3C"/>
    <w:p w14:paraId="2CF3B03A" w14:textId="77777777" w:rsidR="00847C3C" w:rsidRDefault="00847C3C" w:rsidP="00847C3C"/>
    <w:p w14:paraId="1BBC7897" w14:textId="77777777" w:rsidR="00847C3C" w:rsidRDefault="00847C3C" w:rsidP="00847C3C"/>
    <w:p w14:paraId="286AF254" w14:textId="77777777" w:rsidR="00847C3C" w:rsidRDefault="00847C3C" w:rsidP="00847C3C"/>
    <w:p w14:paraId="29DF4035" w14:textId="77777777" w:rsidR="00847C3C" w:rsidRDefault="00847C3C" w:rsidP="00847C3C"/>
    <w:p w14:paraId="74AEF3DD" w14:textId="77777777" w:rsidR="00847C3C" w:rsidRDefault="00847C3C" w:rsidP="00847C3C"/>
    <w:p w14:paraId="76CE517B" w14:textId="77777777" w:rsidR="00847C3C" w:rsidRDefault="00847C3C" w:rsidP="00847C3C"/>
    <w:p w14:paraId="6418C09C" w14:textId="77777777" w:rsidR="00847C3C" w:rsidRDefault="00847C3C" w:rsidP="00847C3C"/>
    <w:p w14:paraId="24A2144A" w14:textId="77777777" w:rsidR="00847C3C" w:rsidRDefault="00847C3C" w:rsidP="00847C3C"/>
    <w:p w14:paraId="78F118C5" w14:textId="77777777" w:rsidR="003C36C6" w:rsidRDefault="003C36C6" w:rsidP="00847C3C"/>
    <w:p w14:paraId="54503F1E" w14:textId="77777777" w:rsidR="003C36C6" w:rsidRDefault="003C36C6" w:rsidP="00847C3C"/>
    <w:p w14:paraId="25923DFD" w14:textId="77777777" w:rsidR="003C36C6" w:rsidRDefault="003C36C6" w:rsidP="00847C3C"/>
    <w:p w14:paraId="7660CF73" w14:textId="77777777" w:rsidR="003C36C6" w:rsidRDefault="003C36C6" w:rsidP="00847C3C"/>
    <w:p w14:paraId="7B0365FC" w14:textId="77777777" w:rsidR="003C36C6" w:rsidRDefault="003C36C6" w:rsidP="00847C3C"/>
    <w:p w14:paraId="4C6C7473" w14:textId="77777777" w:rsidR="003C36C6" w:rsidRDefault="003C36C6" w:rsidP="00847C3C"/>
    <w:p w14:paraId="77BC3C03" w14:textId="77777777" w:rsidR="003C36C6" w:rsidRDefault="003C36C6" w:rsidP="00847C3C"/>
    <w:p w14:paraId="0B572FEF" w14:textId="77777777" w:rsidR="003C36C6" w:rsidRDefault="003C36C6" w:rsidP="00847C3C"/>
    <w:p w14:paraId="2AD6AC95" w14:textId="77777777" w:rsidR="003C36C6" w:rsidRDefault="003C36C6" w:rsidP="00847C3C"/>
    <w:p w14:paraId="08A791EB" w14:textId="1E945B8E" w:rsidR="003C36C6" w:rsidRDefault="003C36C6" w:rsidP="00847C3C"/>
    <w:p w14:paraId="3C89166D" w14:textId="722E2FA5" w:rsidR="00AE6937" w:rsidRDefault="00AE6937" w:rsidP="00847C3C"/>
    <w:p w14:paraId="70E6BF94" w14:textId="77777777" w:rsidR="00AE6937" w:rsidRDefault="00AE6937" w:rsidP="00847C3C"/>
    <w:p w14:paraId="1F95AA48" w14:textId="77777777" w:rsidR="003C36C6" w:rsidRDefault="003C36C6" w:rsidP="00847C3C"/>
    <w:p w14:paraId="4BB251B0" w14:textId="77777777" w:rsidR="003C36C6" w:rsidRDefault="003C36C6" w:rsidP="00847C3C"/>
    <w:p w14:paraId="12F4BC5C" w14:textId="77777777" w:rsidR="003C36C6" w:rsidRDefault="003C36C6" w:rsidP="00847C3C"/>
    <w:p w14:paraId="51EACCB8" w14:textId="77777777" w:rsidR="003C36C6" w:rsidRDefault="003C36C6" w:rsidP="00847C3C"/>
    <w:p w14:paraId="37BC8AA2" w14:textId="77777777" w:rsidR="003C36C6" w:rsidRDefault="003C36C6" w:rsidP="00847C3C"/>
    <w:p w14:paraId="571F2FE2" w14:textId="77777777" w:rsidR="003C36C6" w:rsidRDefault="003C36C6" w:rsidP="00847C3C"/>
    <w:p w14:paraId="627CD26E" w14:textId="77777777" w:rsidR="003C36C6" w:rsidRDefault="003C36C6" w:rsidP="00847C3C"/>
    <w:p w14:paraId="1B9BCE96" w14:textId="77777777" w:rsidR="00847C3C" w:rsidRDefault="00847C3C" w:rsidP="00847C3C">
      <w:bookmarkStart w:id="29" w:name="_GoBack"/>
      <w:bookmarkEnd w:id="29"/>
    </w:p>
    <w:p w14:paraId="4351155A" w14:textId="77777777" w:rsidR="00707B52" w:rsidRDefault="00707B52" w:rsidP="00707B52">
      <w:pPr>
        <w:pStyle w:val="Heading1"/>
        <w:rPr>
          <w:rFonts w:ascii="Arial" w:hAnsi="Arial" w:cs="Arial"/>
          <w:b/>
          <w:color w:val="000000" w:themeColor="text1"/>
          <w:sz w:val="44"/>
          <w:szCs w:val="44"/>
        </w:rPr>
      </w:pPr>
      <w:bookmarkStart w:id="30" w:name="_Toc11926782"/>
      <w:bookmarkStart w:id="31" w:name="_Toc11930008"/>
      <w:bookmarkStart w:id="32" w:name="_Toc16075328"/>
      <w:bookmarkStart w:id="33" w:name="_Toc16236956"/>
      <w:r w:rsidRPr="00707B52">
        <w:rPr>
          <w:rFonts w:ascii="Arial" w:hAnsi="Arial" w:cs="Arial"/>
          <w:b/>
          <w:color w:val="000000" w:themeColor="text1"/>
          <w:sz w:val="44"/>
          <w:szCs w:val="44"/>
        </w:rPr>
        <w:lastRenderedPageBreak/>
        <w:t>Acknowledgements</w:t>
      </w:r>
      <w:bookmarkEnd w:id="30"/>
      <w:bookmarkEnd w:id="31"/>
      <w:bookmarkEnd w:id="32"/>
      <w:bookmarkEnd w:id="33"/>
    </w:p>
    <w:p w14:paraId="18ACF4C4" w14:textId="77777777" w:rsidR="00AB32B5" w:rsidRDefault="00AB32B5" w:rsidP="00CC7DCB">
      <w:pPr>
        <w:spacing w:line="480" w:lineRule="auto"/>
      </w:pPr>
    </w:p>
    <w:p w14:paraId="3E36B93A" w14:textId="77777777" w:rsidR="00AB32B5" w:rsidRDefault="00AB32B5" w:rsidP="00CC7DCB">
      <w:pPr>
        <w:spacing w:line="480" w:lineRule="auto"/>
        <w:rPr>
          <w:rFonts w:ascii="Arial" w:hAnsi="Arial" w:cs="Arial"/>
        </w:rPr>
      </w:pPr>
      <w:r>
        <w:rPr>
          <w:rFonts w:ascii="Arial" w:hAnsi="Arial" w:cs="Arial"/>
        </w:rPr>
        <w:t xml:space="preserve">I would first like to </w:t>
      </w:r>
      <w:r w:rsidR="00E30700">
        <w:rPr>
          <w:rFonts w:ascii="Arial" w:hAnsi="Arial" w:cs="Arial"/>
        </w:rPr>
        <w:t xml:space="preserve">offer my thanks and gratitude to my supervisor, Professor Alex Wade. Throughout the past three years he has offered excellent guidance, enthusiasm and </w:t>
      </w:r>
      <w:r w:rsidR="004A3960">
        <w:rPr>
          <w:rFonts w:ascii="Arial" w:hAnsi="Arial" w:cs="Arial"/>
        </w:rPr>
        <w:t>a lot of</w:t>
      </w:r>
      <w:r w:rsidR="00E30700">
        <w:rPr>
          <w:rFonts w:ascii="Arial" w:hAnsi="Arial" w:cs="Arial"/>
        </w:rPr>
        <w:t xml:space="preserve"> patience, </w:t>
      </w:r>
      <w:r w:rsidR="004A3960">
        <w:rPr>
          <w:rFonts w:ascii="Arial" w:hAnsi="Arial" w:cs="Arial"/>
        </w:rPr>
        <w:t xml:space="preserve">ensuring my PhD has been highly enjoyable from start to finish. Thank you for your encouragement and the time you have taken to teach me things vital </w:t>
      </w:r>
      <w:r w:rsidR="003B4B4C">
        <w:rPr>
          <w:rFonts w:ascii="Arial" w:hAnsi="Arial" w:cs="Arial"/>
        </w:rPr>
        <w:t xml:space="preserve">both </w:t>
      </w:r>
      <w:r w:rsidR="004A3960">
        <w:rPr>
          <w:rFonts w:ascii="Arial" w:hAnsi="Arial" w:cs="Arial"/>
        </w:rPr>
        <w:t xml:space="preserve">for completion of my PhD and the future.  </w:t>
      </w:r>
    </w:p>
    <w:p w14:paraId="546CBE7C" w14:textId="77777777" w:rsidR="004A3960" w:rsidRDefault="004A3960" w:rsidP="00CC7DCB">
      <w:pPr>
        <w:spacing w:line="480" w:lineRule="auto"/>
        <w:rPr>
          <w:rFonts w:ascii="Arial" w:hAnsi="Arial" w:cs="Arial"/>
        </w:rPr>
      </w:pPr>
    </w:p>
    <w:p w14:paraId="6AD481C5" w14:textId="77777777" w:rsidR="004A3960" w:rsidRDefault="004A3960" w:rsidP="00CC7DCB">
      <w:pPr>
        <w:spacing w:line="480" w:lineRule="auto"/>
        <w:rPr>
          <w:rFonts w:ascii="Arial" w:hAnsi="Arial" w:cs="Arial"/>
        </w:rPr>
      </w:pPr>
      <w:r>
        <w:rPr>
          <w:rFonts w:ascii="Arial" w:hAnsi="Arial" w:cs="Arial"/>
        </w:rPr>
        <w:t>I would also like to thank the members of my TAP, Dr Daniel Baker and Dr Cade McCall as well as my Supervision Panel Chair Dr Rob Jenkins, for their</w:t>
      </w:r>
      <w:r w:rsidR="003B4B4C">
        <w:rPr>
          <w:rFonts w:ascii="Arial" w:hAnsi="Arial" w:cs="Arial"/>
        </w:rPr>
        <w:t xml:space="preserve"> very</w:t>
      </w:r>
      <w:r>
        <w:rPr>
          <w:rFonts w:ascii="Arial" w:hAnsi="Arial" w:cs="Arial"/>
        </w:rPr>
        <w:t xml:space="preserve"> </w:t>
      </w:r>
      <w:r w:rsidR="003B4B4C">
        <w:rPr>
          <w:rFonts w:ascii="Arial" w:hAnsi="Arial" w:cs="Arial"/>
        </w:rPr>
        <w:t xml:space="preserve">helpful </w:t>
      </w:r>
      <w:r>
        <w:rPr>
          <w:rFonts w:ascii="Arial" w:hAnsi="Arial" w:cs="Arial"/>
        </w:rPr>
        <w:t>advice and insight. You have all improve</w:t>
      </w:r>
      <w:r w:rsidR="003B4B4C">
        <w:rPr>
          <w:rFonts w:ascii="Arial" w:hAnsi="Arial" w:cs="Arial"/>
        </w:rPr>
        <w:t>d</w:t>
      </w:r>
      <w:r>
        <w:rPr>
          <w:rFonts w:ascii="Arial" w:hAnsi="Arial" w:cs="Arial"/>
        </w:rPr>
        <w:t xml:space="preserve"> my confidence and helped to form interesting new avenues of analysis. </w:t>
      </w:r>
    </w:p>
    <w:p w14:paraId="758363E4" w14:textId="77777777" w:rsidR="004A3960" w:rsidRDefault="004A3960" w:rsidP="00CC7DCB">
      <w:pPr>
        <w:spacing w:line="480" w:lineRule="auto"/>
        <w:rPr>
          <w:rFonts w:ascii="Arial" w:hAnsi="Arial" w:cs="Arial"/>
        </w:rPr>
      </w:pPr>
    </w:p>
    <w:p w14:paraId="4C9C0F73" w14:textId="77777777" w:rsidR="004A3960" w:rsidRDefault="004A3960" w:rsidP="00CC7DCB">
      <w:pPr>
        <w:spacing w:line="480" w:lineRule="auto"/>
        <w:rPr>
          <w:rFonts w:ascii="Arial" w:hAnsi="Arial" w:cs="Arial"/>
        </w:rPr>
      </w:pPr>
      <w:r>
        <w:rPr>
          <w:rFonts w:ascii="Arial" w:hAnsi="Arial" w:cs="Arial"/>
        </w:rPr>
        <w:t xml:space="preserve">I would also like to thank Theo </w:t>
      </w:r>
      <w:r w:rsidRPr="004A3960">
        <w:rPr>
          <w:rFonts w:ascii="Arial" w:hAnsi="Arial" w:cs="Arial"/>
        </w:rPr>
        <w:t>Karapanagiotidis</w:t>
      </w:r>
      <w:r>
        <w:rPr>
          <w:rFonts w:ascii="Arial" w:hAnsi="Arial" w:cs="Arial"/>
        </w:rPr>
        <w:t xml:space="preserve">, </w:t>
      </w:r>
      <w:r w:rsidR="004F7655">
        <w:rPr>
          <w:rFonts w:ascii="Arial" w:hAnsi="Arial" w:cs="Arial"/>
        </w:rPr>
        <w:t xml:space="preserve">Dr Mark Hymers, </w:t>
      </w:r>
      <w:r>
        <w:rPr>
          <w:rFonts w:ascii="Arial" w:hAnsi="Arial" w:cs="Arial"/>
        </w:rPr>
        <w:t>Dr Andre Gouws</w:t>
      </w:r>
      <w:r w:rsidR="004F7655">
        <w:rPr>
          <w:rFonts w:ascii="Arial" w:hAnsi="Arial" w:cs="Arial"/>
        </w:rPr>
        <w:t>,</w:t>
      </w:r>
      <w:r>
        <w:rPr>
          <w:rFonts w:ascii="Arial" w:hAnsi="Arial" w:cs="Arial"/>
        </w:rPr>
        <w:t xml:space="preserve"> and Dr Richard Vernon for their assistance in helping me to understand complicated connectivity analyses, aligning particularly tricky brains and the creation of radial frequency patterns. Your help has most definitely helped to elevate the quality of my work</w:t>
      </w:r>
      <w:r w:rsidR="003B4B4C">
        <w:rPr>
          <w:rFonts w:ascii="Arial" w:hAnsi="Arial" w:cs="Arial"/>
        </w:rPr>
        <w:t xml:space="preserve"> and I am truly grateful</w:t>
      </w:r>
      <w:r>
        <w:rPr>
          <w:rFonts w:ascii="Arial" w:hAnsi="Arial" w:cs="Arial"/>
        </w:rPr>
        <w:t xml:space="preserve">. </w:t>
      </w:r>
    </w:p>
    <w:p w14:paraId="1A097EBA" w14:textId="77777777" w:rsidR="004A3960" w:rsidRDefault="004A3960" w:rsidP="00CC7DCB">
      <w:pPr>
        <w:spacing w:line="480" w:lineRule="auto"/>
        <w:rPr>
          <w:rFonts w:ascii="Arial" w:hAnsi="Arial" w:cs="Arial"/>
        </w:rPr>
      </w:pPr>
    </w:p>
    <w:p w14:paraId="794F7823" w14:textId="77777777" w:rsidR="001B0CEA" w:rsidRDefault="004A3960" w:rsidP="00CC7DCB">
      <w:pPr>
        <w:spacing w:line="480" w:lineRule="auto"/>
        <w:rPr>
          <w:rFonts w:ascii="Arial" w:hAnsi="Arial" w:cs="Arial"/>
        </w:rPr>
      </w:pPr>
      <w:r>
        <w:rPr>
          <w:rFonts w:ascii="Arial" w:hAnsi="Arial" w:cs="Arial"/>
        </w:rPr>
        <w:t xml:space="preserve">I have had the privilege of meeting many great researchers during my PhD, </w:t>
      </w:r>
      <w:r w:rsidR="001B0CEA">
        <w:rPr>
          <w:rFonts w:ascii="Arial" w:hAnsi="Arial" w:cs="Arial"/>
        </w:rPr>
        <w:t>ensuring these three years have been highly enjoyable</w:t>
      </w:r>
      <w:r>
        <w:rPr>
          <w:rFonts w:ascii="Arial" w:hAnsi="Arial" w:cs="Arial"/>
        </w:rPr>
        <w:t xml:space="preserve">. I would like to thank Marc Himmelberg, </w:t>
      </w:r>
      <w:r w:rsidR="001B0CEA">
        <w:rPr>
          <w:rFonts w:ascii="Arial" w:hAnsi="Arial" w:cs="Arial"/>
        </w:rPr>
        <w:t>Mar</w:t>
      </w:r>
      <w:r w:rsidR="003B4B4C">
        <w:rPr>
          <w:rFonts w:ascii="Arial" w:hAnsi="Arial" w:cs="Arial"/>
        </w:rPr>
        <w:t>k</w:t>
      </w:r>
      <w:r w:rsidR="001B0CEA">
        <w:rPr>
          <w:rFonts w:ascii="Arial" w:hAnsi="Arial" w:cs="Arial"/>
        </w:rPr>
        <w:t xml:space="preserve"> Carey, Milena Kaestner, Stephanie Wake, Martin Scott and Anika Smith for</w:t>
      </w:r>
      <w:r w:rsidR="003B4B4C">
        <w:rPr>
          <w:rFonts w:ascii="Arial" w:hAnsi="Arial" w:cs="Arial"/>
        </w:rPr>
        <w:t xml:space="preserve"> your camaraderie and for</w:t>
      </w:r>
      <w:r w:rsidR="001B0CEA">
        <w:rPr>
          <w:rFonts w:ascii="Arial" w:hAnsi="Arial" w:cs="Arial"/>
        </w:rPr>
        <w:t xml:space="preserve"> helping to keep me working hard</w:t>
      </w:r>
      <w:r w:rsidR="003B4B4C">
        <w:rPr>
          <w:rFonts w:ascii="Arial" w:hAnsi="Arial" w:cs="Arial"/>
        </w:rPr>
        <w:t xml:space="preserve">- </w:t>
      </w:r>
      <w:r w:rsidR="001B0CEA">
        <w:rPr>
          <w:rFonts w:ascii="Arial" w:hAnsi="Arial" w:cs="Arial"/>
        </w:rPr>
        <w:t xml:space="preserve">I’m very lucky to have met you all. </w:t>
      </w:r>
    </w:p>
    <w:p w14:paraId="78C0DD5C" w14:textId="77777777" w:rsidR="004F7655" w:rsidRDefault="001B0CEA" w:rsidP="00CC7DCB">
      <w:pPr>
        <w:spacing w:line="480" w:lineRule="auto"/>
        <w:rPr>
          <w:rFonts w:ascii="Arial" w:hAnsi="Arial" w:cs="Arial"/>
        </w:rPr>
      </w:pPr>
      <w:r>
        <w:rPr>
          <w:rFonts w:ascii="Arial" w:hAnsi="Arial" w:cs="Arial"/>
        </w:rPr>
        <w:lastRenderedPageBreak/>
        <w:t>Last, but not least, I would like to thank my family; my Mum and Jodie, Kyle, Zoe and Shaun for their help and support, even though you don’t always understand what I do. Mum</w:t>
      </w:r>
      <w:r w:rsidR="009278FF">
        <w:rPr>
          <w:rFonts w:ascii="Arial" w:hAnsi="Arial" w:cs="Arial"/>
        </w:rPr>
        <w:t>, thank you</w:t>
      </w:r>
      <w:r>
        <w:rPr>
          <w:rFonts w:ascii="Arial" w:hAnsi="Arial" w:cs="Arial"/>
        </w:rPr>
        <w:t xml:space="preserve"> for your love</w:t>
      </w:r>
      <w:r w:rsidR="003B4B4C">
        <w:rPr>
          <w:rFonts w:ascii="Arial" w:hAnsi="Arial" w:cs="Arial"/>
        </w:rPr>
        <w:t xml:space="preserve">, </w:t>
      </w:r>
      <w:r w:rsidR="00E875A5">
        <w:rPr>
          <w:rFonts w:ascii="Arial" w:hAnsi="Arial" w:cs="Arial"/>
        </w:rPr>
        <w:t>encouragement</w:t>
      </w:r>
      <w:r>
        <w:rPr>
          <w:rFonts w:ascii="Arial" w:hAnsi="Arial" w:cs="Arial"/>
        </w:rPr>
        <w:t xml:space="preserve"> </w:t>
      </w:r>
      <w:r w:rsidR="003B4B4C">
        <w:rPr>
          <w:rFonts w:ascii="Arial" w:hAnsi="Arial" w:cs="Arial"/>
        </w:rPr>
        <w:t xml:space="preserve">and inspiration </w:t>
      </w:r>
      <w:r>
        <w:rPr>
          <w:rFonts w:ascii="Arial" w:hAnsi="Arial" w:cs="Arial"/>
        </w:rPr>
        <w:t>throughout my (very long) education</w:t>
      </w:r>
      <w:r w:rsidR="009278FF">
        <w:rPr>
          <w:rFonts w:ascii="Arial" w:hAnsi="Arial" w:cs="Arial"/>
        </w:rPr>
        <w:t xml:space="preserve">- </w:t>
      </w:r>
      <w:r>
        <w:rPr>
          <w:rFonts w:ascii="Arial" w:hAnsi="Arial" w:cs="Arial"/>
        </w:rPr>
        <w:t>I wouldn’t have been able to complete this PhD (and finally get an ‘adult’ job!) without you. Finally, I would like to thank my husband Mladen Sormaz</w:t>
      </w:r>
      <w:r w:rsidR="003B4B4C">
        <w:rPr>
          <w:rFonts w:ascii="Arial" w:hAnsi="Arial" w:cs="Arial"/>
        </w:rPr>
        <w:t xml:space="preserve"> </w:t>
      </w:r>
      <w:r>
        <w:rPr>
          <w:rFonts w:ascii="Arial" w:hAnsi="Arial" w:cs="Arial"/>
        </w:rPr>
        <w:t>for your constant support</w:t>
      </w:r>
      <w:r w:rsidR="004F7655">
        <w:rPr>
          <w:rFonts w:ascii="Arial" w:hAnsi="Arial" w:cs="Arial"/>
        </w:rPr>
        <w:t>, love</w:t>
      </w:r>
      <w:r>
        <w:rPr>
          <w:rFonts w:ascii="Arial" w:hAnsi="Arial" w:cs="Arial"/>
        </w:rPr>
        <w:t xml:space="preserve"> and advice, </w:t>
      </w:r>
      <w:r w:rsidR="004F7655">
        <w:rPr>
          <w:rFonts w:ascii="Arial" w:hAnsi="Arial" w:cs="Arial"/>
        </w:rPr>
        <w:t xml:space="preserve">your continual entertainment </w:t>
      </w:r>
      <w:r w:rsidR="003B4B4C">
        <w:rPr>
          <w:rFonts w:ascii="Arial" w:hAnsi="Arial" w:cs="Arial"/>
        </w:rPr>
        <w:t xml:space="preserve">and for always being there. I am very lucky to have you by my side. </w:t>
      </w:r>
    </w:p>
    <w:p w14:paraId="19F8FC00" w14:textId="77777777" w:rsidR="004F7655" w:rsidRDefault="004F7655" w:rsidP="004A3960">
      <w:pPr>
        <w:spacing w:line="360" w:lineRule="auto"/>
        <w:rPr>
          <w:rFonts w:ascii="Arial" w:hAnsi="Arial" w:cs="Arial"/>
        </w:rPr>
      </w:pPr>
    </w:p>
    <w:p w14:paraId="7FE83CED" w14:textId="77777777" w:rsidR="004F7655" w:rsidRDefault="004F7655" w:rsidP="00CC7DCB">
      <w:pPr>
        <w:spacing w:line="480" w:lineRule="auto"/>
        <w:rPr>
          <w:rFonts w:ascii="Arial" w:hAnsi="Arial" w:cs="Arial"/>
        </w:rPr>
      </w:pPr>
      <w:r>
        <w:rPr>
          <w:rFonts w:ascii="Arial" w:hAnsi="Arial" w:cs="Arial"/>
        </w:rPr>
        <w:t>I would like to dedicate this thesis to my Dad, Gary Newson, who sadly is no longer here to see me complete my 21 years of education. Thank you so much for your hard work and dedication, which allowed me to attend university and pursue my passion</w:t>
      </w:r>
      <w:r w:rsidR="003B4B4C">
        <w:rPr>
          <w:rFonts w:ascii="Arial" w:hAnsi="Arial" w:cs="Arial"/>
        </w:rPr>
        <w:t xml:space="preserve"> for learning</w:t>
      </w:r>
      <w:r>
        <w:rPr>
          <w:rFonts w:ascii="Arial" w:hAnsi="Arial" w:cs="Arial"/>
        </w:rPr>
        <w:t xml:space="preserve">. Thank you </w:t>
      </w:r>
      <w:r w:rsidR="003B4B4C">
        <w:rPr>
          <w:rFonts w:ascii="Arial" w:hAnsi="Arial" w:cs="Arial"/>
        </w:rPr>
        <w:t xml:space="preserve">for your endless love and support. You have taught me the importance of strength and bravery and I am so proud to call you and Mum my parents. I hope I have made you proud too. </w:t>
      </w:r>
    </w:p>
    <w:p w14:paraId="0B764165" w14:textId="77777777" w:rsidR="001B0CEA" w:rsidRDefault="004F7655" w:rsidP="00CC7DCB">
      <w:pPr>
        <w:spacing w:line="480" w:lineRule="auto"/>
        <w:rPr>
          <w:rFonts w:ascii="Arial" w:hAnsi="Arial" w:cs="Arial"/>
        </w:rPr>
      </w:pPr>
      <w:r>
        <w:rPr>
          <w:rFonts w:ascii="Arial" w:hAnsi="Arial" w:cs="Arial"/>
        </w:rPr>
        <w:t xml:space="preserve"> </w:t>
      </w:r>
    </w:p>
    <w:p w14:paraId="52B76561" w14:textId="77777777" w:rsidR="004A3960" w:rsidRDefault="004A3960" w:rsidP="00CC7DCB">
      <w:pPr>
        <w:spacing w:line="480" w:lineRule="auto"/>
        <w:rPr>
          <w:rFonts w:ascii="Arial" w:hAnsi="Arial" w:cs="Arial"/>
        </w:rPr>
      </w:pPr>
    </w:p>
    <w:p w14:paraId="60B92216" w14:textId="77777777" w:rsidR="004A3960" w:rsidRDefault="004A3960" w:rsidP="00CC7DCB">
      <w:pPr>
        <w:spacing w:line="480" w:lineRule="auto"/>
        <w:rPr>
          <w:rFonts w:ascii="Arial" w:hAnsi="Arial" w:cs="Arial"/>
        </w:rPr>
      </w:pPr>
      <w:r>
        <w:rPr>
          <w:rFonts w:ascii="Arial" w:hAnsi="Arial" w:cs="Arial"/>
        </w:rPr>
        <w:t xml:space="preserve"> </w:t>
      </w:r>
    </w:p>
    <w:p w14:paraId="395D9CC1" w14:textId="77777777" w:rsidR="004A3960" w:rsidRDefault="004A3960" w:rsidP="00CC7DCB">
      <w:pPr>
        <w:spacing w:line="480" w:lineRule="auto"/>
        <w:rPr>
          <w:rFonts w:ascii="Arial" w:hAnsi="Arial" w:cs="Arial"/>
        </w:rPr>
      </w:pPr>
    </w:p>
    <w:p w14:paraId="57536E21" w14:textId="77777777" w:rsidR="004A3960" w:rsidRPr="004A3960" w:rsidRDefault="004A3960" w:rsidP="004A3960">
      <w:pPr>
        <w:spacing w:line="360" w:lineRule="auto"/>
        <w:rPr>
          <w:rFonts w:ascii="Arial" w:hAnsi="Arial" w:cs="Arial"/>
        </w:rPr>
      </w:pPr>
    </w:p>
    <w:p w14:paraId="36B4D5E9" w14:textId="77777777" w:rsidR="004A3960" w:rsidRPr="00AB32B5" w:rsidRDefault="004A3960" w:rsidP="00E30700">
      <w:pPr>
        <w:spacing w:line="360" w:lineRule="auto"/>
        <w:rPr>
          <w:rFonts w:ascii="Arial" w:hAnsi="Arial" w:cs="Arial"/>
        </w:rPr>
      </w:pPr>
    </w:p>
    <w:p w14:paraId="527F1107" w14:textId="77777777" w:rsidR="00707B52" w:rsidRPr="00707B52" w:rsidRDefault="00707B52" w:rsidP="00707B52">
      <w:pPr>
        <w:rPr>
          <w:sz w:val="44"/>
          <w:szCs w:val="44"/>
        </w:rPr>
      </w:pPr>
    </w:p>
    <w:p w14:paraId="6FBD1B06" w14:textId="77777777" w:rsidR="00707B52" w:rsidRDefault="00707B52" w:rsidP="00847C3C"/>
    <w:p w14:paraId="44C29B15" w14:textId="77777777" w:rsidR="00707B52" w:rsidRDefault="00707B52" w:rsidP="00847C3C"/>
    <w:p w14:paraId="78C44FAA" w14:textId="77777777" w:rsidR="00707B52" w:rsidRDefault="00707B52" w:rsidP="00847C3C"/>
    <w:p w14:paraId="1E312133" w14:textId="77777777" w:rsidR="00707B52" w:rsidRDefault="00707B52" w:rsidP="00847C3C"/>
    <w:p w14:paraId="5DD35F7E" w14:textId="77777777" w:rsidR="00707B52" w:rsidRDefault="00707B52" w:rsidP="00707B52">
      <w:pPr>
        <w:pStyle w:val="Heading1"/>
        <w:rPr>
          <w:rFonts w:ascii="Arial" w:hAnsi="Arial" w:cs="Arial"/>
          <w:b/>
          <w:color w:val="000000" w:themeColor="text1"/>
          <w:sz w:val="44"/>
          <w:szCs w:val="44"/>
        </w:rPr>
      </w:pPr>
      <w:bookmarkStart w:id="34" w:name="_Toc11926783"/>
      <w:bookmarkStart w:id="35" w:name="_Toc11930009"/>
      <w:bookmarkStart w:id="36" w:name="_Toc16075329"/>
      <w:bookmarkStart w:id="37" w:name="_Toc16236957"/>
      <w:r w:rsidRPr="00707B52">
        <w:rPr>
          <w:rFonts w:ascii="Arial" w:hAnsi="Arial" w:cs="Arial"/>
          <w:b/>
          <w:color w:val="000000" w:themeColor="text1"/>
          <w:sz w:val="44"/>
          <w:szCs w:val="44"/>
        </w:rPr>
        <w:lastRenderedPageBreak/>
        <w:t>Declaration</w:t>
      </w:r>
      <w:bookmarkEnd w:id="34"/>
      <w:bookmarkEnd w:id="35"/>
      <w:bookmarkEnd w:id="36"/>
      <w:bookmarkEnd w:id="37"/>
    </w:p>
    <w:p w14:paraId="110346EF" w14:textId="77777777" w:rsidR="003B4B4C" w:rsidRDefault="003B4B4C" w:rsidP="00E875A5">
      <w:pPr>
        <w:spacing w:line="480" w:lineRule="auto"/>
        <w:rPr>
          <w:rFonts w:ascii="Arial" w:hAnsi="Arial" w:cs="Arial"/>
        </w:rPr>
      </w:pPr>
    </w:p>
    <w:p w14:paraId="45C4F05A" w14:textId="77777777" w:rsidR="00E875A5" w:rsidRDefault="00E875A5" w:rsidP="00CC7DCB">
      <w:pPr>
        <w:spacing w:line="480" w:lineRule="auto"/>
        <w:rPr>
          <w:rFonts w:ascii="Arial" w:hAnsi="Arial" w:cs="Arial"/>
        </w:rPr>
      </w:pPr>
      <w:r>
        <w:rPr>
          <w:rFonts w:ascii="Arial" w:hAnsi="Arial" w:cs="Arial"/>
        </w:rPr>
        <w:t xml:space="preserve">I declare that the work presented in this thesis is original and I am the sole author. This work was carried out under the supervision of Professor Alex Wade. This work has not been submitted to this or any other University for a degree. </w:t>
      </w:r>
      <w:r w:rsidR="00CC7DCB">
        <w:rPr>
          <w:rFonts w:ascii="Arial" w:hAnsi="Arial" w:cs="Arial"/>
        </w:rPr>
        <w:t>All sources are acknowledged as References.</w:t>
      </w:r>
    </w:p>
    <w:p w14:paraId="2F458902" w14:textId="77777777" w:rsidR="00E875A5" w:rsidRDefault="00E875A5" w:rsidP="00E875A5">
      <w:pPr>
        <w:spacing w:line="480" w:lineRule="auto"/>
        <w:rPr>
          <w:rFonts w:ascii="Arial" w:hAnsi="Arial" w:cs="Arial"/>
        </w:rPr>
      </w:pPr>
    </w:p>
    <w:p w14:paraId="19A5E32D" w14:textId="77777777" w:rsidR="00B038B4" w:rsidRDefault="00E875A5" w:rsidP="00E875A5">
      <w:pPr>
        <w:spacing w:line="480" w:lineRule="auto"/>
        <w:rPr>
          <w:rFonts w:ascii="Arial" w:hAnsi="Arial" w:cs="Arial"/>
        </w:rPr>
      </w:pPr>
      <w:r>
        <w:rPr>
          <w:rFonts w:ascii="Arial" w:hAnsi="Arial" w:cs="Arial"/>
        </w:rPr>
        <w:t xml:space="preserve">fMRI data presented in Chapter 6 were collected with MSc project students (Bethany Adams and Rachel Gordon), who I co-supervised on the project. </w:t>
      </w:r>
      <w:r w:rsidR="00B038B4">
        <w:rPr>
          <w:rFonts w:ascii="Arial" w:hAnsi="Arial" w:cs="Arial"/>
        </w:rPr>
        <w:t xml:space="preserve">All of the reported data analyses, experimental design, creation of the stimuli and all other data collection were performed by </w:t>
      </w:r>
      <w:proofErr w:type="gramStart"/>
      <w:r w:rsidR="00B038B4">
        <w:rPr>
          <w:rFonts w:ascii="Arial" w:hAnsi="Arial" w:cs="Arial"/>
        </w:rPr>
        <w:t>myself</w:t>
      </w:r>
      <w:proofErr w:type="gramEnd"/>
      <w:r w:rsidR="00B038B4">
        <w:rPr>
          <w:rFonts w:ascii="Arial" w:hAnsi="Arial" w:cs="Arial"/>
        </w:rPr>
        <w:t xml:space="preserve">, under supervision </w:t>
      </w:r>
      <w:r w:rsidR="00B70517">
        <w:rPr>
          <w:rFonts w:ascii="Arial" w:hAnsi="Arial" w:cs="Arial"/>
        </w:rPr>
        <w:t>of</w:t>
      </w:r>
      <w:r w:rsidR="00B038B4">
        <w:rPr>
          <w:rFonts w:ascii="Arial" w:hAnsi="Arial" w:cs="Arial"/>
        </w:rPr>
        <w:t xml:space="preserve"> Professor Alex Wade.</w:t>
      </w:r>
    </w:p>
    <w:p w14:paraId="0C08F9D6" w14:textId="77777777" w:rsidR="00B038B4" w:rsidRDefault="00B038B4" w:rsidP="00E875A5">
      <w:pPr>
        <w:spacing w:line="480" w:lineRule="auto"/>
        <w:rPr>
          <w:rFonts w:ascii="Arial" w:hAnsi="Arial" w:cs="Arial"/>
        </w:rPr>
      </w:pPr>
    </w:p>
    <w:p w14:paraId="4F653AF7" w14:textId="77777777" w:rsidR="00B038B4" w:rsidRDefault="00B038B4" w:rsidP="00E875A5">
      <w:pPr>
        <w:spacing w:line="480" w:lineRule="auto"/>
        <w:rPr>
          <w:rFonts w:ascii="Arial" w:hAnsi="Arial" w:cs="Arial"/>
        </w:rPr>
      </w:pPr>
      <w:r>
        <w:rPr>
          <w:rFonts w:ascii="Arial" w:hAnsi="Arial" w:cs="Arial"/>
        </w:rPr>
        <w:t xml:space="preserve">Data in Chapters 3 and 4 were presented in a preliminary, incomplete form at the </w:t>
      </w:r>
      <w:r w:rsidRPr="00243F32">
        <w:rPr>
          <w:rFonts w:ascii="Arial" w:hAnsi="Arial" w:cs="Arial"/>
          <w:i/>
          <w:iCs/>
        </w:rPr>
        <w:t>Vision: A Platform for Linking Circuits, Behaviour &amp; Perception</w:t>
      </w:r>
      <w:r>
        <w:rPr>
          <w:rFonts w:ascii="Arial" w:hAnsi="Arial" w:cs="Arial"/>
        </w:rPr>
        <w:t xml:space="preserve">, summer school at Cold Spring Harbor Laboratory, New York, USA (June 2017). </w:t>
      </w:r>
    </w:p>
    <w:p w14:paraId="799406B8" w14:textId="77777777" w:rsidR="00B038B4" w:rsidRDefault="00B038B4" w:rsidP="00E875A5">
      <w:pPr>
        <w:spacing w:line="480" w:lineRule="auto"/>
        <w:rPr>
          <w:rFonts w:ascii="Arial" w:hAnsi="Arial" w:cs="Arial"/>
        </w:rPr>
      </w:pPr>
    </w:p>
    <w:p w14:paraId="3ED2BDC0" w14:textId="77777777" w:rsidR="00B038B4" w:rsidRDefault="00B038B4" w:rsidP="00E875A5">
      <w:pPr>
        <w:spacing w:line="480" w:lineRule="auto"/>
        <w:rPr>
          <w:rFonts w:ascii="Arial" w:hAnsi="Arial" w:cs="Arial"/>
        </w:rPr>
      </w:pPr>
      <w:r>
        <w:rPr>
          <w:rFonts w:ascii="Arial" w:hAnsi="Arial" w:cs="Arial"/>
        </w:rPr>
        <w:t>Data presented in Chapter 4 are included in:</w:t>
      </w:r>
    </w:p>
    <w:p w14:paraId="35C640CC" w14:textId="22B894E2" w:rsidR="00B038B4" w:rsidRDefault="00B038B4" w:rsidP="00B038B4">
      <w:pPr>
        <w:spacing w:line="480" w:lineRule="auto"/>
        <w:rPr>
          <w:rFonts w:ascii="Arial" w:hAnsi="Arial" w:cs="Arial"/>
          <w:color w:val="000000" w:themeColor="text1"/>
        </w:rPr>
      </w:pPr>
      <w:r w:rsidRPr="00CC7DCB">
        <w:rPr>
          <w:rFonts w:ascii="Arial" w:hAnsi="Arial" w:cs="Arial"/>
          <w:color w:val="000000" w:themeColor="text1"/>
        </w:rPr>
        <w:t>Wailes-Newson, K.H. &amp;</w:t>
      </w:r>
      <w:r w:rsidRPr="00B038B4">
        <w:rPr>
          <w:rFonts w:ascii="Arial" w:hAnsi="Arial" w:cs="Arial"/>
          <w:color w:val="000000" w:themeColor="text1"/>
        </w:rPr>
        <w:t xml:space="preserve"> Wade A.R. (2019). Feature-specific patterns of attention and functional connectivity in human visual cortex. </w:t>
      </w:r>
      <w:r w:rsidR="00EC75C7">
        <w:rPr>
          <w:rFonts w:ascii="Arial" w:hAnsi="Arial" w:cs="Arial"/>
          <w:i/>
          <w:iCs/>
          <w:color w:val="000000" w:themeColor="text1"/>
        </w:rPr>
        <w:t>Neuroimage</w:t>
      </w:r>
      <w:r w:rsidRPr="00B038B4">
        <w:rPr>
          <w:rFonts w:ascii="Arial" w:hAnsi="Arial" w:cs="Arial"/>
          <w:i/>
          <w:iCs/>
          <w:color w:val="000000" w:themeColor="text1"/>
        </w:rPr>
        <w:t xml:space="preserve"> </w:t>
      </w:r>
      <w:r w:rsidRPr="00B038B4">
        <w:rPr>
          <w:rFonts w:ascii="Arial" w:hAnsi="Arial" w:cs="Arial"/>
          <w:color w:val="000000" w:themeColor="text1"/>
        </w:rPr>
        <w:t>(</w:t>
      </w:r>
      <w:r w:rsidR="00BA382A">
        <w:rPr>
          <w:rFonts w:ascii="Arial" w:hAnsi="Arial" w:cs="Arial"/>
          <w:color w:val="000000" w:themeColor="text1"/>
        </w:rPr>
        <w:t>submitted</w:t>
      </w:r>
      <w:r w:rsidRPr="00B038B4">
        <w:rPr>
          <w:rFonts w:ascii="Arial" w:hAnsi="Arial" w:cs="Arial"/>
          <w:color w:val="000000" w:themeColor="text1"/>
        </w:rPr>
        <w:t xml:space="preserve">). </w:t>
      </w:r>
    </w:p>
    <w:p w14:paraId="11B0A7FB" w14:textId="77777777" w:rsidR="00B038B4" w:rsidRDefault="00B038B4" w:rsidP="00B038B4">
      <w:pPr>
        <w:spacing w:line="480" w:lineRule="auto"/>
        <w:rPr>
          <w:rFonts w:ascii="Arial" w:hAnsi="Arial" w:cs="Arial"/>
          <w:color w:val="000000" w:themeColor="text1"/>
        </w:rPr>
      </w:pPr>
    </w:p>
    <w:p w14:paraId="412901CE" w14:textId="77777777" w:rsidR="00B038B4" w:rsidRPr="00CC7DCB" w:rsidRDefault="00B038B4" w:rsidP="00CC7DCB">
      <w:pPr>
        <w:spacing w:line="480" w:lineRule="auto"/>
        <w:rPr>
          <w:rFonts w:ascii="Arial" w:hAnsi="Arial" w:cs="Arial"/>
          <w:color w:val="000000" w:themeColor="text1"/>
        </w:rPr>
      </w:pPr>
      <w:r>
        <w:rPr>
          <w:rFonts w:ascii="Arial" w:hAnsi="Arial" w:cs="Arial"/>
          <w:color w:val="000000" w:themeColor="text1"/>
        </w:rPr>
        <w:t xml:space="preserve">Data presented in Chapter 5 were presented in a preliminary, incomplete form at the </w:t>
      </w:r>
      <w:r w:rsidRPr="00243F32">
        <w:rPr>
          <w:rFonts w:ascii="Arial" w:hAnsi="Arial" w:cs="Arial"/>
          <w:i/>
          <w:iCs/>
          <w:color w:val="000000" w:themeColor="text1"/>
        </w:rPr>
        <w:t>Computational Neuroscience: Vision</w:t>
      </w:r>
      <w:r>
        <w:rPr>
          <w:rFonts w:ascii="Arial" w:hAnsi="Arial" w:cs="Arial"/>
          <w:color w:val="000000" w:themeColor="text1"/>
        </w:rPr>
        <w:t xml:space="preserve"> summer school at Cold Spring Harbor Laboratory, New York, USA (July 2018). </w:t>
      </w:r>
    </w:p>
    <w:p w14:paraId="5D370976" w14:textId="77777777" w:rsidR="000C73FA" w:rsidRPr="00225AB0" w:rsidRDefault="00335017" w:rsidP="00335017">
      <w:pPr>
        <w:pStyle w:val="Heading1"/>
        <w:numPr>
          <w:ilvl w:val="0"/>
          <w:numId w:val="10"/>
        </w:numPr>
        <w:ind w:left="284"/>
        <w:rPr>
          <w:rFonts w:ascii="Arial" w:hAnsi="Arial" w:cs="Arial"/>
          <w:b/>
          <w:color w:val="000000" w:themeColor="text1"/>
          <w:sz w:val="44"/>
          <w:szCs w:val="44"/>
        </w:rPr>
      </w:pPr>
      <w:bookmarkStart w:id="38" w:name="_Toc11153894"/>
      <w:bookmarkStart w:id="39" w:name="_Toc11753600"/>
      <w:bookmarkStart w:id="40" w:name="_Toc11926786"/>
      <w:bookmarkStart w:id="41" w:name="_Toc11930014"/>
      <w:bookmarkStart w:id="42" w:name="_Toc16075330"/>
      <w:bookmarkStart w:id="43" w:name="_Toc16236958"/>
      <w:r>
        <w:rPr>
          <w:rFonts w:ascii="Arial" w:hAnsi="Arial" w:cs="Arial"/>
          <w:b/>
          <w:color w:val="000000" w:themeColor="text1"/>
          <w:sz w:val="44"/>
          <w:szCs w:val="44"/>
        </w:rPr>
        <w:lastRenderedPageBreak/>
        <w:t>I</w:t>
      </w:r>
      <w:r w:rsidR="000C73FA" w:rsidRPr="00225AB0">
        <w:rPr>
          <w:rFonts w:ascii="Arial" w:hAnsi="Arial" w:cs="Arial"/>
          <w:b/>
          <w:color w:val="000000" w:themeColor="text1"/>
          <w:sz w:val="44"/>
          <w:szCs w:val="44"/>
        </w:rPr>
        <w:t>ntroduction</w:t>
      </w:r>
      <w:bookmarkEnd w:id="38"/>
      <w:bookmarkEnd w:id="39"/>
      <w:bookmarkEnd w:id="40"/>
      <w:bookmarkEnd w:id="41"/>
      <w:bookmarkEnd w:id="42"/>
      <w:bookmarkEnd w:id="43"/>
    </w:p>
    <w:p w14:paraId="2372D49A" w14:textId="77777777" w:rsidR="00892C2F" w:rsidRPr="00225AB0" w:rsidRDefault="00892C2F" w:rsidP="00892C2F">
      <w:pPr>
        <w:rPr>
          <w:rFonts w:ascii="Arial" w:hAnsi="Arial" w:cs="Arial"/>
        </w:rPr>
      </w:pPr>
    </w:p>
    <w:p w14:paraId="0752DE88" w14:textId="77777777" w:rsidR="00D36AFF" w:rsidRPr="00225AB0" w:rsidRDefault="00D36AFF" w:rsidP="00D36AFF">
      <w:pPr>
        <w:rPr>
          <w:rFonts w:ascii="Arial" w:hAnsi="Arial" w:cs="Arial"/>
        </w:rPr>
      </w:pPr>
    </w:p>
    <w:p w14:paraId="112FBEEE" w14:textId="77777777" w:rsidR="000C73FA" w:rsidRPr="00225AB0" w:rsidRDefault="000C73FA" w:rsidP="001811CC">
      <w:pPr>
        <w:pStyle w:val="Heading2"/>
        <w:numPr>
          <w:ilvl w:val="1"/>
          <w:numId w:val="2"/>
        </w:numPr>
        <w:rPr>
          <w:rFonts w:ascii="Arial" w:hAnsi="Arial" w:cs="Arial"/>
          <w:b/>
          <w:color w:val="000000" w:themeColor="text1"/>
          <w:sz w:val="28"/>
          <w:szCs w:val="28"/>
        </w:rPr>
      </w:pPr>
      <w:bookmarkStart w:id="44" w:name="_Toc11147944"/>
      <w:bookmarkStart w:id="45" w:name="_Toc11153895"/>
      <w:bookmarkStart w:id="46" w:name="_Toc11753601"/>
      <w:bookmarkStart w:id="47" w:name="_Toc11926787"/>
      <w:bookmarkStart w:id="48" w:name="_Toc11930015"/>
      <w:bookmarkStart w:id="49" w:name="_Toc16075331"/>
      <w:bookmarkStart w:id="50" w:name="_Toc16236959"/>
      <w:r w:rsidRPr="00225AB0">
        <w:rPr>
          <w:rFonts w:ascii="Arial" w:hAnsi="Arial" w:cs="Arial"/>
          <w:b/>
          <w:color w:val="000000" w:themeColor="text1"/>
          <w:sz w:val="28"/>
          <w:szCs w:val="28"/>
        </w:rPr>
        <w:t>Thesis overview</w:t>
      </w:r>
      <w:bookmarkEnd w:id="44"/>
      <w:bookmarkEnd w:id="45"/>
      <w:bookmarkEnd w:id="46"/>
      <w:bookmarkEnd w:id="47"/>
      <w:bookmarkEnd w:id="48"/>
      <w:bookmarkEnd w:id="49"/>
      <w:bookmarkEnd w:id="50"/>
    </w:p>
    <w:p w14:paraId="6FBC7ACA" w14:textId="77777777" w:rsidR="00892C2F" w:rsidRPr="00225AB0" w:rsidRDefault="00892C2F" w:rsidP="00892C2F">
      <w:pPr>
        <w:rPr>
          <w:rFonts w:ascii="Arial" w:hAnsi="Arial" w:cs="Arial"/>
        </w:rPr>
      </w:pPr>
    </w:p>
    <w:p w14:paraId="2CBF786B" w14:textId="3D04D95A" w:rsidR="000C73FA" w:rsidRPr="00225AB0" w:rsidRDefault="000C73FA" w:rsidP="00CC7DCB">
      <w:pPr>
        <w:spacing w:line="480" w:lineRule="auto"/>
        <w:rPr>
          <w:rFonts w:ascii="Arial" w:hAnsi="Arial" w:cs="Arial"/>
        </w:rPr>
      </w:pPr>
      <w:r w:rsidRPr="00225AB0">
        <w:rPr>
          <w:rFonts w:ascii="Arial" w:hAnsi="Arial" w:cs="Arial"/>
        </w:rPr>
        <w:t xml:space="preserve">Humans must constantly navigate through a complex and dynamic visual environment, yet, we possess limited resources to process that environment. Attention is a mechanism which allows us to direct these limited resources to a particular spatial location, or to a particular feature </w:t>
      </w:r>
      <w:r w:rsidR="00D44AC6">
        <w:rPr>
          <w:rFonts w:ascii="Arial" w:hAnsi="Arial" w:cs="Arial"/>
        </w:rPr>
        <w:t>in</w:t>
      </w:r>
      <w:r w:rsidRPr="00225AB0">
        <w:rPr>
          <w:rFonts w:ascii="Arial" w:hAnsi="Arial" w:cs="Arial"/>
        </w:rPr>
        <w:t xml:space="preserve"> our visual environment</w:t>
      </w:r>
      <w:r w:rsidR="000128DD">
        <w:rPr>
          <w:rFonts w:ascii="Arial" w:hAnsi="Arial" w:cs="Arial"/>
        </w:rPr>
        <w:t xml:space="preserve">. This </w:t>
      </w:r>
      <w:r w:rsidRPr="00225AB0">
        <w:rPr>
          <w:rFonts w:ascii="Arial" w:hAnsi="Arial" w:cs="Arial"/>
        </w:rPr>
        <w:t>effectiv</w:t>
      </w:r>
      <w:r w:rsidR="000128DD">
        <w:rPr>
          <w:rFonts w:ascii="Arial" w:hAnsi="Arial" w:cs="Arial"/>
        </w:rPr>
        <w:t>ely</w:t>
      </w:r>
      <w:r w:rsidRPr="00225AB0">
        <w:rPr>
          <w:rFonts w:ascii="Arial" w:hAnsi="Arial" w:cs="Arial"/>
        </w:rPr>
        <w:t xml:space="preserve"> reduc</w:t>
      </w:r>
      <w:r w:rsidR="000128DD">
        <w:rPr>
          <w:rFonts w:ascii="Arial" w:hAnsi="Arial" w:cs="Arial"/>
        </w:rPr>
        <w:t>es</w:t>
      </w:r>
      <w:r w:rsidRPr="00225AB0">
        <w:rPr>
          <w:rFonts w:ascii="Arial" w:hAnsi="Arial" w:cs="Arial"/>
        </w:rPr>
        <w:t xml:space="preserve"> the amount of information we must process, at the expense of the remaining visual scene. Attention as such is a vital gain control mechanism, allowing humans to efficiently and effectively process a wealth of visual information. </w:t>
      </w:r>
    </w:p>
    <w:p w14:paraId="487B5D0A" w14:textId="77777777" w:rsidR="000C73FA" w:rsidRPr="00225AB0" w:rsidRDefault="000C73FA" w:rsidP="000C73FA">
      <w:pPr>
        <w:spacing w:line="480" w:lineRule="auto"/>
        <w:rPr>
          <w:rFonts w:ascii="Arial" w:hAnsi="Arial" w:cs="Arial"/>
        </w:rPr>
      </w:pPr>
    </w:p>
    <w:p w14:paraId="3FAD1D01" w14:textId="7E132FA7" w:rsidR="000C73FA" w:rsidRPr="00225AB0" w:rsidRDefault="000C73FA" w:rsidP="000C73FA">
      <w:pPr>
        <w:spacing w:line="480" w:lineRule="auto"/>
        <w:rPr>
          <w:rFonts w:ascii="Arial" w:hAnsi="Arial" w:cs="Arial"/>
        </w:rPr>
      </w:pPr>
      <w:r w:rsidRPr="00225AB0">
        <w:rPr>
          <w:rFonts w:ascii="Arial" w:hAnsi="Arial" w:cs="Arial"/>
        </w:rPr>
        <w:t xml:space="preserve">The experiments </w:t>
      </w:r>
      <w:r w:rsidR="00D44AC6">
        <w:rPr>
          <w:rFonts w:ascii="Arial" w:hAnsi="Arial" w:cs="Arial"/>
        </w:rPr>
        <w:t>in</w:t>
      </w:r>
      <w:r w:rsidRPr="00225AB0">
        <w:rPr>
          <w:rFonts w:ascii="Arial" w:hAnsi="Arial" w:cs="Arial"/>
        </w:rPr>
        <w:t xml:space="preserve"> this thesis form two clear, yet interacting, strands, examining attentional modulation effects with highly controlled visual stimuli, and assessing the generalisability of these findings through research conducted with complex, uncontrolled naturalistic stimuli. </w:t>
      </w:r>
    </w:p>
    <w:p w14:paraId="6F3E7711" w14:textId="77777777" w:rsidR="000C73FA" w:rsidRPr="00225AB0" w:rsidRDefault="000C73FA" w:rsidP="000C73FA">
      <w:pPr>
        <w:spacing w:line="480" w:lineRule="auto"/>
        <w:rPr>
          <w:rFonts w:ascii="Arial" w:hAnsi="Arial" w:cs="Arial"/>
        </w:rPr>
      </w:pPr>
    </w:p>
    <w:p w14:paraId="7C759128" w14:textId="41181154" w:rsidR="000C73FA" w:rsidRPr="00225AB0" w:rsidRDefault="000C73FA" w:rsidP="00091CBA">
      <w:pPr>
        <w:spacing w:line="480" w:lineRule="auto"/>
        <w:rPr>
          <w:rFonts w:ascii="Arial" w:hAnsi="Arial" w:cs="Arial"/>
        </w:rPr>
      </w:pPr>
      <w:r w:rsidRPr="00225AB0">
        <w:rPr>
          <w:rFonts w:ascii="Arial" w:hAnsi="Arial" w:cs="Arial"/>
        </w:rPr>
        <w:t xml:space="preserve">Firstly, we use psychophysical testing and functional magnetic resonance imaging (fMRI) to investigate changing patterns of activation </w:t>
      </w:r>
      <w:r w:rsidR="00D44AC6">
        <w:rPr>
          <w:rFonts w:ascii="Arial" w:hAnsi="Arial" w:cs="Arial"/>
        </w:rPr>
        <w:t>in</w:t>
      </w:r>
      <w:r w:rsidRPr="00225AB0">
        <w:rPr>
          <w:rFonts w:ascii="Arial" w:hAnsi="Arial" w:cs="Arial"/>
        </w:rPr>
        <w:t xml:space="preserve"> the visual cortex as a function of switching attentional task between low-level visual features. We examine the influence of attentional modulation at three cortical spatial scales; the region-of-interest (ROI), the voxel and the network, to identify the spatial extent of attentional modulation. These experiments are useful for furthering our understanding of the relatively little-understood signatures of featural attention at multiple spatial scales. </w:t>
      </w:r>
    </w:p>
    <w:p w14:paraId="454EB88C" w14:textId="535DA080" w:rsidR="000C73FA" w:rsidRPr="00225AB0" w:rsidRDefault="000C73FA" w:rsidP="000C73FA">
      <w:pPr>
        <w:spacing w:line="480" w:lineRule="auto"/>
        <w:rPr>
          <w:rFonts w:ascii="Arial" w:hAnsi="Arial" w:cs="Arial"/>
        </w:rPr>
      </w:pPr>
      <w:r w:rsidRPr="00225AB0">
        <w:rPr>
          <w:rFonts w:ascii="Arial" w:hAnsi="Arial" w:cs="Arial"/>
        </w:rPr>
        <w:lastRenderedPageBreak/>
        <w:t xml:space="preserve">Second, we examine signatures of attentional modulation in response to both different low-level visual features and stimulus chromaticities, investigating the distinct representations of chromatic information </w:t>
      </w:r>
      <w:r w:rsidR="00D44AC6">
        <w:rPr>
          <w:rFonts w:ascii="Arial" w:hAnsi="Arial" w:cs="Arial"/>
        </w:rPr>
        <w:t>in</w:t>
      </w:r>
      <w:r w:rsidRPr="00225AB0">
        <w:rPr>
          <w:rFonts w:ascii="Arial" w:hAnsi="Arial" w:cs="Arial"/>
        </w:rPr>
        <w:t xml:space="preserve"> the visual cortex. Again, we examine patterns of activation at multiple spatial scales, to </w:t>
      </w:r>
      <w:r w:rsidR="000128DD">
        <w:rPr>
          <w:rFonts w:ascii="Arial" w:hAnsi="Arial" w:cs="Arial"/>
        </w:rPr>
        <w:t xml:space="preserve">examine patterns of </w:t>
      </w:r>
      <w:r w:rsidRPr="00225AB0">
        <w:rPr>
          <w:rFonts w:ascii="Arial" w:hAnsi="Arial" w:cs="Arial"/>
        </w:rPr>
        <w:t xml:space="preserve">feature-specific attentional modulation and identify interactions between stimulus feature and stimulus chromaticity across the visual cortex. </w:t>
      </w:r>
    </w:p>
    <w:p w14:paraId="780AA700" w14:textId="77777777" w:rsidR="000C73FA" w:rsidRPr="00225AB0" w:rsidRDefault="000C73FA" w:rsidP="000C73FA">
      <w:pPr>
        <w:spacing w:line="480" w:lineRule="auto"/>
        <w:rPr>
          <w:rFonts w:ascii="Arial" w:hAnsi="Arial" w:cs="Arial"/>
        </w:rPr>
      </w:pPr>
    </w:p>
    <w:p w14:paraId="4BB5AA87" w14:textId="77777777" w:rsidR="000128DD" w:rsidRDefault="000C73FA" w:rsidP="000C73FA">
      <w:pPr>
        <w:spacing w:line="480" w:lineRule="auto"/>
        <w:rPr>
          <w:rFonts w:ascii="Arial" w:hAnsi="Arial" w:cs="Arial"/>
        </w:rPr>
      </w:pPr>
      <w:r w:rsidRPr="00225AB0">
        <w:rPr>
          <w:rFonts w:ascii="Arial" w:hAnsi="Arial" w:cs="Arial"/>
        </w:rPr>
        <w:t xml:space="preserve">Finally, we direct attentional focus towards a highly-complex, dynamic, naturalistic stimulus, to assess the extent our findings from experimentation with highly-controlled low-level visual stimuli generalise to real-world visual scenarios, and to examine the signatures of activation when attention is directed toward a relatively higher-level visual stimulus (faces). Hence, we investigate </w:t>
      </w:r>
      <w:r w:rsidR="000128DD">
        <w:rPr>
          <w:rFonts w:ascii="Arial" w:hAnsi="Arial" w:cs="Arial"/>
        </w:rPr>
        <w:t xml:space="preserve">similarities in attentional modulation patterns elicited both with highly-controlled, low-level and uncontrolled, naturalistic stimuli. </w:t>
      </w:r>
    </w:p>
    <w:p w14:paraId="135BDCE1" w14:textId="77777777" w:rsidR="000C73FA" w:rsidRPr="00225AB0" w:rsidRDefault="000C73FA" w:rsidP="000C73FA">
      <w:pPr>
        <w:spacing w:line="480" w:lineRule="auto"/>
        <w:rPr>
          <w:rFonts w:ascii="Arial" w:hAnsi="Arial" w:cs="Arial"/>
        </w:rPr>
      </w:pPr>
    </w:p>
    <w:p w14:paraId="4635636D" w14:textId="77777777" w:rsidR="000C73FA" w:rsidRPr="00225AB0" w:rsidRDefault="000C73FA" w:rsidP="000C73FA">
      <w:pPr>
        <w:spacing w:line="480" w:lineRule="auto"/>
        <w:rPr>
          <w:rFonts w:ascii="Arial" w:hAnsi="Arial" w:cs="Arial"/>
        </w:rPr>
      </w:pPr>
      <w:r w:rsidRPr="00225AB0">
        <w:rPr>
          <w:rFonts w:ascii="Arial" w:hAnsi="Arial" w:cs="Arial"/>
        </w:rPr>
        <w:t>We use a range of methods including visual psychophysics, functional magnetic resonance imaging, machine learning classification</w:t>
      </w:r>
      <w:r w:rsidR="000128DD">
        <w:rPr>
          <w:rFonts w:ascii="Arial" w:hAnsi="Arial" w:cs="Arial"/>
        </w:rPr>
        <w:t xml:space="preserve"> and connectivity</w:t>
      </w:r>
      <w:r w:rsidRPr="00225AB0">
        <w:rPr>
          <w:rFonts w:ascii="Arial" w:hAnsi="Arial" w:cs="Arial"/>
        </w:rPr>
        <w:t xml:space="preserve"> analyses to help answer the following questions:</w:t>
      </w:r>
    </w:p>
    <w:p w14:paraId="09343593" w14:textId="77777777" w:rsidR="000C73FA" w:rsidRPr="00225AB0" w:rsidRDefault="000C73FA" w:rsidP="001811CC">
      <w:pPr>
        <w:pStyle w:val="ListParagraph"/>
        <w:numPr>
          <w:ilvl w:val="0"/>
          <w:numId w:val="1"/>
        </w:numPr>
        <w:spacing w:line="480" w:lineRule="auto"/>
        <w:rPr>
          <w:rFonts w:ascii="Arial" w:hAnsi="Arial" w:cs="Arial"/>
        </w:rPr>
      </w:pPr>
      <w:r w:rsidRPr="00225AB0">
        <w:rPr>
          <w:rFonts w:ascii="Arial" w:hAnsi="Arial" w:cs="Arial"/>
        </w:rPr>
        <w:t xml:space="preserve">Is it possible to identify clear patterns of modulation when switching attention between different visual features? </w:t>
      </w:r>
    </w:p>
    <w:p w14:paraId="32F80E3D" w14:textId="77777777" w:rsidR="000C73FA" w:rsidRPr="00225AB0" w:rsidRDefault="000C73FA" w:rsidP="001811CC">
      <w:pPr>
        <w:pStyle w:val="ListParagraph"/>
        <w:numPr>
          <w:ilvl w:val="0"/>
          <w:numId w:val="1"/>
        </w:numPr>
        <w:spacing w:line="480" w:lineRule="auto"/>
        <w:rPr>
          <w:rFonts w:ascii="Arial" w:hAnsi="Arial" w:cs="Arial"/>
        </w:rPr>
      </w:pPr>
      <w:r w:rsidRPr="00225AB0">
        <w:rPr>
          <w:rFonts w:ascii="Arial" w:hAnsi="Arial" w:cs="Arial"/>
        </w:rPr>
        <w:t xml:space="preserve">At which spatial scale(s) do we see clear signatures of feature-specific attentional modulation? </w:t>
      </w:r>
    </w:p>
    <w:p w14:paraId="7146F8B9" w14:textId="77777777" w:rsidR="000C73FA" w:rsidRPr="00225AB0" w:rsidRDefault="000C73FA" w:rsidP="001811CC">
      <w:pPr>
        <w:pStyle w:val="ListParagraph"/>
        <w:numPr>
          <w:ilvl w:val="0"/>
          <w:numId w:val="1"/>
        </w:numPr>
        <w:spacing w:line="480" w:lineRule="auto"/>
        <w:rPr>
          <w:rFonts w:ascii="Arial" w:hAnsi="Arial" w:cs="Arial"/>
        </w:rPr>
      </w:pPr>
      <w:r w:rsidRPr="00225AB0">
        <w:rPr>
          <w:rFonts w:ascii="Arial" w:hAnsi="Arial" w:cs="Arial"/>
        </w:rPr>
        <w:t xml:space="preserve">To what extent do findings from highly-controlled low-level visual experiments generalise to research conducted with uncontrolled, complex relatively naturalistic stimuli? </w:t>
      </w:r>
    </w:p>
    <w:p w14:paraId="4AC0C4BF" w14:textId="77777777" w:rsidR="000C73FA" w:rsidRPr="00225AB0" w:rsidRDefault="000C73FA" w:rsidP="000C73FA">
      <w:pPr>
        <w:spacing w:line="480" w:lineRule="auto"/>
        <w:rPr>
          <w:rFonts w:ascii="Arial" w:hAnsi="Arial" w:cs="Arial"/>
        </w:rPr>
      </w:pPr>
    </w:p>
    <w:p w14:paraId="6048B0D2" w14:textId="49E3384C" w:rsidR="000C73FA" w:rsidRPr="00225AB0" w:rsidRDefault="000C73FA" w:rsidP="000C73FA">
      <w:pPr>
        <w:spacing w:line="480" w:lineRule="auto"/>
        <w:rPr>
          <w:rFonts w:ascii="Arial" w:hAnsi="Arial" w:cs="Arial"/>
        </w:rPr>
      </w:pPr>
      <w:r w:rsidRPr="00225AB0">
        <w:rPr>
          <w:rFonts w:ascii="Arial" w:hAnsi="Arial" w:cs="Arial"/>
        </w:rPr>
        <w:t xml:space="preserve">The aim of this chapter is to introduce the key ideas related to the experiments conducted </w:t>
      </w:r>
      <w:r w:rsidR="00D44AC6">
        <w:rPr>
          <w:rFonts w:ascii="Arial" w:hAnsi="Arial" w:cs="Arial"/>
        </w:rPr>
        <w:t>in</w:t>
      </w:r>
      <w:r w:rsidRPr="00225AB0">
        <w:rPr>
          <w:rFonts w:ascii="Arial" w:hAnsi="Arial" w:cs="Arial"/>
        </w:rPr>
        <w:t xml:space="preserve"> this thesis. This includes a brief overview of the organisation of the visual cortex and the processing of low-level visual features. We also include a summary of the attentional literature and outline research regarding functional connectivity analyses and the use of naturalistic stimuli. </w:t>
      </w:r>
    </w:p>
    <w:p w14:paraId="5FB45588" w14:textId="77777777" w:rsidR="000C73FA" w:rsidRPr="00225AB0" w:rsidRDefault="000C73FA" w:rsidP="000C73FA">
      <w:pPr>
        <w:spacing w:line="480" w:lineRule="auto"/>
        <w:rPr>
          <w:rFonts w:ascii="Arial" w:hAnsi="Arial" w:cs="Arial"/>
        </w:rPr>
      </w:pPr>
    </w:p>
    <w:p w14:paraId="24423C2B" w14:textId="77777777" w:rsidR="000C73FA" w:rsidRPr="00225AB0" w:rsidRDefault="000C73FA" w:rsidP="001811CC">
      <w:pPr>
        <w:pStyle w:val="Heading2"/>
        <w:numPr>
          <w:ilvl w:val="1"/>
          <w:numId w:val="2"/>
        </w:numPr>
        <w:rPr>
          <w:rFonts w:ascii="Arial" w:hAnsi="Arial" w:cs="Arial"/>
          <w:b/>
          <w:color w:val="000000" w:themeColor="text1"/>
          <w:sz w:val="28"/>
          <w:szCs w:val="28"/>
        </w:rPr>
      </w:pPr>
      <w:bookmarkStart w:id="51" w:name="_Toc11147945"/>
      <w:bookmarkStart w:id="52" w:name="_Toc11153896"/>
      <w:bookmarkStart w:id="53" w:name="_Toc11753602"/>
      <w:bookmarkStart w:id="54" w:name="_Toc11926788"/>
      <w:bookmarkStart w:id="55" w:name="_Toc11930016"/>
      <w:bookmarkStart w:id="56" w:name="_Toc16075332"/>
      <w:bookmarkStart w:id="57" w:name="_Toc16236960"/>
      <w:r w:rsidRPr="00225AB0">
        <w:rPr>
          <w:rFonts w:ascii="Arial" w:hAnsi="Arial" w:cs="Arial"/>
          <w:b/>
          <w:color w:val="000000" w:themeColor="text1"/>
          <w:sz w:val="28"/>
          <w:szCs w:val="28"/>
        </w:rPr>
        <w:t>Human Visual System</w:t>
      </w:r>
      <w:bookmarkEnd w:id="51"/>
      <w:bookmarkEnd w:id="52"/>
      <w:bookmarkEnd w:id="53"/>
      <w:bookmarkEnd w:id="54"/>
      <w:bookmarkEnd w:id="55"/>
      <w:bookmarkEnd w:id="56"/>
      <w:bookmarkEnd w:id="57"/>
    </w:p>
    <w:p w14:paraId="1C0AF778" w14:textId="77777777" w:rsidR="00165499" w:rsidRPr="00225AB0" w:rsidRDefault="00165499" w:rsidP="00165499">
      <w:pPr>
        <w:pStyle w:val="ListParagraph"/>
        <w:rPr>
          <w:rFonts w:ascii="Arial" w:hAnsi="Arial" w:cs="Arial"/>
        </w:rPr>
      </w:pPr>
    </w:p>
    <w:p w14:paraId="6BC472C2" w14:textId="77777777" w:rsidR="000C73FA" w:rsidRPr="00225AB0" w:rsidRDefault="000C73FA" w:rsidP="001811CC">
      <w:pPr>
        <w:pStyle w:val="Heading3"/>
        <w:numPr>
          <w:ilvl w:val="2"/>
          <w:numId w:val="2"/>
        </w:numPr>
        <w:rPr>
          <w:rFonts w:ascii="Arial" w:hAnsi="Arial" w:cs="Arial"/>
          <w:b/>
          <w:i/>
          <w:color w:val="000000" w:themeColor="text1"/>
          <w:sz w:val="28"/>
          <w:szCs w:val="28"/>
        </w:rPr>
      </w:pPr>
      <w:bookmarkStart w:id="58" w:name="_Toc11147946"/>
      <w:bookmarkStart w:id="59" w:name="_Toc11153897"/>
      <w:bookmarkStart w:id="60" w:name="_Toc11753603"/>
      <w:bookmarkStart w:id="61" w:name="_Toc11926789"/>
      <w:bookmarkStart w:id="62" w:name="_Toc11930017"/>
      <w:bookmarkStart w:id="63" w:name="_Toc16075333"/>
      <w:bookmarkStart w:id="64" w:name="_Toc16236961"/>
      <w:r w:rsidRPr="00225AB0">
        <w:rPr>
          <w:rFonts w:ascii="Arial" w:hAnsi="Arial" w:cs="Arial"/>
          <w:b/>
          <w:i/>
          <w:color w:val="000000" w:themeColor="text1"/>
          <w:sz w:val="28"/>
          <w:szCs w:val="28"/>
        </w:rPr>
        <w:t>Pre-cortical visual system</w:t>
      </w:r>
      <w:bookmarkEnd w:id="58"/>
      <w:bookmarkEnd w:id="59"/>
      <w:bookmarkEnd w:id="60"/>
      <w:bookmarkEnd w:id="61"/>
      <w:bookmarkEnd w:id="62"/>
      <w:bookmarkEnd w:id="63"/>
      <w:bookmarkEnd w:id="64"/>
    </w:p>
    <w:p w14:paraId="6A737735" w14:textId="77777777" w:rsidR="00165499" w:rsidRPr="00225AB0" w:rsidRDefault="00165499" w:rsidP="00165499">
      <w:pPr>
        <w:pStyle w:val="ListParagraph"/>
        <w:rPr>
          <w:rFonts w:ascii="Arial" w:hAnsi="Arial" w:cs="Arial"/>
        </w:rPr>
      </w:pPr>
    </w:p>
    <w:p w14:paraId="6AB11A79" w14:textId="77777777" w:rsidR="00DA356B" w:rsidRPr="00CC7DCB" w:rsidRDefault="00DA356B" w:rsidP="00CC7DCB">
      <w:pPr>
        <w:rPr>
          <w:rFonts w:ascii="Arial" w:hAnsi="Arial" w:cs="Arial"/>
        </w:rPr>
      </w:pPr>
    </w:p>
    <w:p w14:paraId="27517537" w14:textId="4D99BE2C" w:rsidR="000C73FA" w:rsidRPr="00225AB0" w:rsidRDefault="000C73FA" w:rsidP="00CC7DCB">
      <w:pPr>
        <w:spacing w:line="480" w:lineRule="auto"/>
        <w:rPr>
          <w:rFonts w:ascii="Arial" w:hAnsi="Arial" w:cs="Arial"/>
        </w:rPr>
      </w:pPr>
      <w:r w:rsidRPr="00225AB0">
        <w:rPr>
          <w:rFonts w:ascii="Arial" w:hAnsi="Arial" w:cs="Arial"/>
        </w:rPr>
        <w:t xml:space="preserve">Visual processing originates in the retina, a layer of rod and cone photoreceptors at the back of the eye. Rod photoreceptors typically respond in low light levels, whereas cone photoreceptors (cones) respond in well-lit conditions to light of different wavelengths and are critical for the perception of colour (for a review, see </w:t>
      </w:r>
      <w:r w:rsidRPr="00225AB0">
        <w:rPr>
          <w:rFonts w:ascii="Arial" w:hAnsi="Arial" w:cs="Arial"/>
        </w:rPr>
        <w:fldChar w:fldCharType="begin"/>
      </w:r>
      <w:r w:rsidR="005B4361">
        <w:rPr>
          <w:rFonts w:ascii="Arial" w:hAnsi="Arial" w:cs="Arial"/>
        </w:rPr>
        <w:instrText xml:space="preserve"> ADDIN ZOTERO_ITEM CSL_CITATION {"citationID":"gLqVnty5","properties":{"formattedCitation":"(Conway, 2009)","plainCitation":"(Conway, 2009)","dontUpdate":true,"noteIndex":0},"citationItems":[{"id":5,"uris":["http://zotero.org/groups/318634/items/ITU5954Z"],"uri":["http://zotero.org/groups/318634/items/ITU5954Z"],"itemData":{"id":5,"type":"article-journal","title":"Color vision, cones, and color-coding in the cortex","container-title":"The Neuroscientist: A Review Journal Bringing Neurobiology, Neurology and Psychiatry","page":"274-290","volume":"15","issue":"3","source":"PubMed","abstract":"Color processing begins with the absorption of light by cone photoreceptors, and progresses through a series of hierarchical stages: Retinal signals carrying color information are transmitted through the lateral geniculate nucleus of the thalamus (LGN) up to the primary visual cortex (V1). From V1, the signals are processed by the second visual area (V2); then by cells located in subcompartments (\"globs\") within the posterior inferior temporal (PIT) cortex, a brain region that encompasses area V4 and brain regions immediately anterior to V4. Color signals are then processed by regions deep within the inferior temporal (IT) cortex including area TE. As a heuristic, one can consider each of these stages to be involved in constructing a distinct aspect of the color percept. The three cone types are the basis for trichromacy; retinal ganglion cells that respond in an opponent fashion to activation of different cone classes are the basis for color opponency (these \"cone-opponent\" cells increase their firing rate above baseline to activation of one cone class and decrease their firing rate below baseline to activation of a different cone class); double-opponent neurons in the V1 generate local color contrast and are the building blocks for color constancy; glob cells elaborate the perception of hue; and IT integrates color perception in the context of behavior. Finally, though nothing is known, these signals presumably interface with motor programs and emotional centers of the brain to mediate the widely acknowledged emotional salience of color.","DOI":"10.1177/1073858408331369","ISSN":"1073-8584","note":"PMID: 19436076","journalAbbreviation":"Neuroscientist","language":"eng","author":[{"family":"Conway","given":"Bevil R."}],"issued":{"date-parts":[["2009",6]]}}}],"schema":"https://github.com/citation-style-language/schema/raw/master/csl-citation.json"} </w:instrText>
      </w:r>
      <w:r w:rsidRPr="00225AB0">
        <w:rPr>
          <w:rFonts w:ascii="Arial" w:hAnsi="Arial" w:cs="Arial"/>
        </w:rPr>
        <w:fldChar w:fldCharType="separate"/>
      </w:r>
      <w:r w:rsidRPr="00225AB0">
        <w:rPr>
          <w:rFonts w:ascii="Arial" w:hAnsi="Arial" w:cs="Arial"/>
          <w:noProof/>
        </w:rPr>
        <w:t>Conway, 2009)</w:t>
      </w:r>
      <w:r w:rsidRPr="00225AB0">
        <w:rPr>
          <w:rFonts w:ascii="Arial" w:hAnsi="Arial" w:cs="Arial"/>
        </w:rPr>
        <w:fldChar w:fldCharType="end"/>
      </w:r>
      <w:r w:rsidRPr="00225AB0">
        <w:rPr>
          <w:rFonts w:ascii="Arial" w:hAnsi="Arial" w:cs="Arial"/>
        </w:rPr>
        <w:t xml:space="preserve">. Whilst many retinal ganglion cell (RGC) types exist, most common are the midget and parasol cells. Midget cells cluster around the fovea and have small, dense dendritic fields whereas parasol cells, possess larger, less dense dendritic fields. These cell types signal the beginning of segregation of visual information, forming the parvocellular (PC) and magnocellular (MC) pathways respectively.  </w:t>
      </w:r>
    </w:p>
    <w:p w14:paraId="7B0A8FFA" w14:textId="77777777" w:rsidR="000C73FA" w:rsidRPr="00225AB0" w:rsidRDefault="000C73FA" w:rsidP="000C73FA">
      <w:pPr>
        <w:spacing w:line="480" w:lineRule="auto"/>
        <w:rPr>
          <w:rFonts w:ascii="Arial" w:hAnsi="Arial" w:cs="Arial"/>
        </w:rPr>
      </w:pPr>
    </w:p>
    <w:p w14:paraId="5F425138" w14:textId="2CF3A7BB" w:rsidR="000C73FA" w:rsidRPr="00225AB0" w:rsidRDefault="000C73FA" w:rsidP="000C73FA">
      <w:pPr>
        <w:spacing w:line="480" w:lineRule="auto"/>
        <w:rPr>
          <w:rFonts w:ascii="Arial" w:hAnsi="Arial" w:cs="Arial"/>
        </w:rPr>
      </w:pPr>
      <w:r w:rsidRPr="00225AB0">
        <w:rPr>
          <w:rFonts w:ascii="Arial" w:hAnsi="Arial" w:cs="Arial"/>
        </w:rPr>
        <w:t>The MC, PC and koniocellular (KC) pathways receive input from weighted combinations of these cone photoreceptors. The magnocellular pathway receives input from long- and middle- wavelength sensitive cones, possessing sensitivity to achromatic contrast, high temporal- and low spatial-</w:t>
      </w:r>
      <w:r w:rsidRPr="00225AB0">
        <w:rPr>
          <w:rFonts w:ascii="Arial" w:hAnsi="Arial" w:cs="Arial"/>
        </w:rPr>
        <w:lastRenderedPageBreak/>
        <w:t xml:space="preserve">frequencies. The parvocellular pathway compares responses from long- and middle-wavelength sensitive photoreceptors, providing a linear contrast response, with slow temporal- but high spatial-resolution. The KC pathway receives input from short-wavelength cones, which are sparsely arranged </w:t>
      </w:r>
      <w:r w:rsidR="00D44AC6">
        <w:rPr>
          <w:rFonts w:ascii="Arial" w:hAnsi="Arial" w:cs="Arial"/>
        </w:rPr>
        <w:t>in</w:t>
      </w:r>
      <w:r w:rsidRPr="00225AB0">
        <w:rPr>
          <w:rFonts w:ascii="Arial" w:hAnsi="Arial" w:cs="Arial"/>
        </w:rPr>
        <w:t xml:space="preserve"> the retina in comparison to long- and middle- wavelength photoreceptors, hence the pathway has a lower spatial-resolution than it’s fellow pathways</w:t>
      </w:r>
      <w:r w:rsidRPr="00225AB0">
        <w:rPr>
          <w:rFonts w:ascii="Arial" w:hAnsi="Arial" w:cs="Arial"/>
          <w:lang w:val="en-US"/>
        </w:rPr>
        <w:t xml:space="preserve"> </w:t>
      </w:r>
      <w:r w:rsidR="00684C52">
        <w:rPr>
          <w:rFonts w:ascii="Arial" w:hAnsi="Arial" w:cs="Arial"/>
          <w:lang w:val="en-US"/>
        </w:rPr>
        <w:fldChar w:fldCharType="begin"/>
      </w:r>
      <w:r w:rsidR="00684C52">
        <w:rPr>
          <w:rFonts w:ascii="Arial" w:hAnsi="Arial" w:cs="Arial"/>
          <w:lang w:val="en-US"/>
        </w:rPr>
        <w:instrText xml:space="preserve"> ADDIN ZOTERO_ITEM CSL_CITATION {"citationID":"UZkWs0XD","properties":{"formattedCitation":"(Roorda &amp; Williams, 1999)","plainCitation":"(Roorda &amp; Williams, 1999)","noteIndex":0},"citationItems":[{"id":9,"uris":["http://zotero.org/groups/318634/items/FNCH3AI9"],"uri":["http://zotero.org/groups/318634/items/FNCH3AI9"],"itemData":{"id":9,"type":"article-journal","title":"The arrangement of the three cone classes in the living human eye","container-title":"Nature","page":"520-522","volume":"397","issue":"6719","source":"PubMed","abstract":"Human colour vision depends on three classes of receptor, the short- (S), medium- (M), and long- (L) wavelength-sensitive cones. These cone classes are interleaved in a single mosaic so that, at each point in the retina, only a single class of cone samples the retinal image. As a consequence, observers with normal trichromatic colour vision are necessarily colour blind on a local spatial scale. The limits this places on vision depend on the relative numbers and arrangement of cones. Although the topography of human S cones is known, the human L- and M-cone submosaics have resisted analysis. Adaptive optics, a technique used to overcome blur in ground-based telescopes, can also overcome blur in the eye, allowing the sharpest images ever taken of the living retina. Here we combine adaptive optics and retinal densitometry to obtain what are, to our knowledge, the first images of the arrangement of S, M and L cones in the living human eye. The proportion of L to M cones is strikingly different in two male subjects, each of whom has normal colour vision. The mosaics of both subjects have large patches in which either M or L cones are missing. This arrangement reduces the eye's ability to recover colour variations of high spatial frequency in the environment but may improve the recovery of luminance variations of high spatial frequency.","DOI":"10.1038/17383","ISSN":"0028-0836","note":"PMID: 10028967","journalAbbreviation":"Nature","language":"eng","author":[{"family":"Roorda","given":"A."},{"family":"Williams","given":"D. R."}],"issued":{"date-parts":[["1999",2,11]]}}}],"schema":"https://github.com/citation-style-language/schema/raw/master/csl-citation.json"} </w:instrText>
      </w:r>
      <w:r w:rsidR="00684C52">
        <w:rPr>
          <w:rFonts w:ascii="Arial" w:hAnsi="Arial" w:cs="Arial"/>
          <w:lang w:val="en-US"/>
        </w:rPr>
        <w:fldChar w:fldCharType="separate"/>
      </w:r>
      <w:r w:rsidR="00684C52">
        <w:rPr>
          <w:rFonts w:ascii="Arial" w:hAnsi="Arial" w:cs="Arial"/>
          <w:noProof/>
          <w:lang w:val="en-US"/>
        </w:rPr>
        <w:t>(Roorda &amp; Williams, 1999)</w:t>
      </w:r>
      <w:r w:rsidR="00684C52">
        <w:rPr>
          <w:rFonts w:ascii="Arial" w:hAnsi="Arial" w:cs="Arial"/>
          <w:lang w:val="en-US"/>
        </w:rPr>
        <w:fldChar w:fldCharType="end"/>
      </w:r>
      <w:r w:rsidR="00686133">
        <w:rPr>
          <w:rFonts w:ascii="Arial" w:hAnsi="Arial" w:cs="Arial"/>
          <w:lang w:val="en-US"/>
        </w:rPr>
        <w:t>.</w:t>
      </w:r>
    </w:p>
    <w:p w14:paraId="0E32C4A9" w14:textId="77777777" w:rsidR="000C73FA" w:rsidRPr="00225AB0" w:rsidRDefault="000C73FA" w:rsidP="000C73FA">
      <w:pPr>
        <w:spacing w:line="480" w:lineRule="auto"/>
        <w:rPr>
          <w:rFonts w:ascii="Arial" w:hAnsi="Arial" w:cs="Arial"/>
        </w:rPr>
      </w:pPr>
    </w:p>
    <w:p w14:paraId="4CAF4FC6" w14:textId="1A768EE5" w:rsidR="000C73FA" w:rsidRPr="00225AB0" w:rsidRDefault="000C73FA" w:rsidP="000C73FA">
      <w:pPr>
        <w:spacing w:line="480" w:lineRule="auto"/>
        <w:rPr>
          <w:rFonts w:ascii="Arial" w:hAnsi="Arial" w:cs="Arial"/>
        </w:rPr>
      </w:pPr>
      <w:r w:rsidRPr="00225AB0">
        <w:rPr>
          <w:rFonts w:ascii="Arial" w:hAnsi="Arial" w:cs="Arial"/>
        </w:rPr>
        <w:t xml:space="preserve">Photoreceptors then send this information, regarding external light conditions, through their respective pathways backwards into the visual cortex through a series of retinal cells, which form the optic nerve. Information from the retina to the visual cortex undergoes a re-routing </w:t>
      </w:r>
      <w:r w:rsidR="00D44AC6">
        <w:rPr>
          <w:rFonts w:ascii="Arial" w:hAnsi="Arial" w:cs="Arial"/>
        </w:rPr>
        <w:t>in</w:t>
      </w:r>
      <w:r w:rsidRPr="00225AB0">
        <w:rPr>
          <w:rFonts w:ascii="Arial" w:hAnsi="Arial" w:cs="Arial"/>
        </w:rPr>
        <w:t xml:space="preserve"> the optic chiasm. Nasal (nearest the nose) responses from each retina cross to the contralateral (opposite) hemisphere, whist temporal (nearest the ear) responses remain on the ipsilateral (same) side. This information then enters the lateral geniculate nuclei of the thalamus (LGN)</w:t>
      </w:r>
      <w:r w:rsidR="00ED1D4D">
        <w:rPr>
          <w:rFonts w:ascii="Arial" w:hAnsi="Arial" w:cs="Arial"/>
        </w:rPr>
        <w:t xml:space="preserve"> (see Figure 1.1). </w:t>
      </w:r>
    </w:p>
    <w:p w14:paraId="7C944A99" w14:textId="77777777" w:rsidR="000C73FA" w:rsidRPr="00225AB0" w:rsidRDefault="000C73FA" w:rsidP="000C73FA">
      <w:pPr>
        <w:spacing w:line="480" w:lineRule="auto"/>
        <w:rPr>
          <w:rFonts w:ascii="Arial" w:hAnsi="Arial" w:cs="Arial"/>
        </w:rPr>
      </w:pPr>
    </w:p>
    <w:p w14:paraId="5FFED075" w14:textId="3A367052" w:rsidR="000C73FA" w:rsidRPr="00225AB0" w:rsidRDefault="000C73FA" w:rsidP="00DA356B">
      <w:pPr>
        <w:spacing w:line="480" w:lineRule="auto"/>
        <w:rPr>
          <w:rFonts w:ascii="Arial" w:hAnsi="Arial" w:cs="Arial"/>
        </w:rPr>
      </w:pPr>
      <w:r w:rsidRPr="00225AB0">
        <w:rPr>
          <w:rFonts w:ascii="Arial" w:hAnsi="Arial" w:cs="Arial"/>
        </w:rPr>
        <w:t xml:space="preserve">The LGN are bilateral structures </w:t>
      </w:r>
      <w:r w:rsidR="00D44AC6">
        <w:rPr>
          <w:rFonts w:ascii="Arial" w:hAnsi="Arial" w:cs="Arial"/>
        </w:rPr>
        <w:t>in</w:t>
      </w:r>
      <w:r w:rsidRPr="00225AB0">
        <w:rPr>
          <w:rFonts w:ascii="Arial" w:hAnsi="Arial" w:cs="Arial"/>
        </w:rPr>
        <w:t xml:space="preserve"> the brain which receive input from each eye and contain six distinct layers. Axons of different cells types </w:t>
      </w:r>
      <w:r w:rsidR="00D44AC6">
        <w:rPr>
          <w:rFonts w:ascii="Arial" w:hAnsi="Arial" w:cs="Arial"/>
        </w:rPr>
        <w:t>in</w:t>
      </w:r>
      <w:r w:rsidRPr="00225AB0">
        <w:rPr>
          <w:rFonts w:ascii="Arial" w:hAnsi="Arial" w:cs="Arial"/>
        </w:rPr>
        <w:t xml:space="preserve"> the retina terminate in discrete layers of the LGN. Axons of midget ganglion cells terminate in the upper four (parvocellular)</w:t>
      </w:r>
      <w:r w:rsidR="000128DD">
        <w:rPr>
          <w:rFonts w:ascii="Arial" w:hAnsi="Arial" w:cs="Arial"/>
        </w:rPr>
        <w:t xml:space="preserve"> layers</w:t>
      </w:r>
      <w:r w:rsidRPr="00225AB0">
        <w:rPr>
          <w:rFonts w:ascii="Arial" w:hAnsi="Arial" w:cs="Arial"/>
        </w:rPr>
        <w:t xml:space="preserve">. </w:t>
      </w:r>
      <w:r w:rsidR="000128DD">
        <w:rPr>
          <w:rFonts w:ascii="Arial" w:hAnsi="Arial" w:cs="Arial"/>
        </w:rPr>
        <w:t>Whereas p</w:t>
      </w:r>
      <w:r w:rsidRPr="00225AB0">
        <w:rPr>
          <w:rFonts w:ascii="Arial" w:hAnsi="Arial" w:cs="Arial"/>
        </w:rPr>
        <w:t xml:space="preserve">arasol ganglion cell axons terminate in the lower two (magnocellular) layers </w:t>
      </w:r>
      <w:r w:rsidRPr="00225AB0">
        <w:rPr>
          <w:rFonts w:ascii="Arial" w:hAnsi="Arial" w:cs="Arial"/>
        </w:rPr>
        <w:fldChar w:fldCharType="begin"/>
      </w:r>
      <w:r w:rsidR="00995B3D">
        <w:rPr>
          <w:rFonts w:ascii="Arial" w:hAnsi="Arial" w:cs="Arial"/>
        </w:rPr>
        <w:instrText xml:space="preserve"> ADDIN ZOTERO_ITEM CSL_CITATION {"citationID":"d49Uy59d","properties":{"formattedCitation":"(Polyak, 1941)","plainCitation":"(Polyak, 1941)","noteIndex":0},"citationItems":[{"id":12,"uris":["http://zotero.org/groups/318634/items/Q4KVVVAL"],"uri":["http://zotero.org/groups/318634/items/Q4KVVVAL"],"itemData":{"id":12,"type":"article-journal","title":"The retina.","author":[{"family":"Polyak","given":"Stephen Lucian"}],"issued":{"date-parts":[["1941"]]}}}],"schema":"https://github.com/citation-style-language/schema/raw/master/csl-citation.json"} </w:instrText>
      </w:r>
      <w:r w:rsidRPr="00225AB0">
        <w:rPr>
          <w:rFonts w:ascii="Arial" w:hAnsi="Arial" w:cs="Arial"/>
        </w:rPr>
        <w:fldChar w:fldCharType="separate"/>
      </w:r>
      <w:r w:rsidRPr="00225AB0">
        <w:rPr>
          <w:rFonts w:ascii="Arial" w:hAnsi="Arial" w:cs="Arial"/>
          <w:noProof/>
        </w:rPr>
        <w:t>(Polyak, 1941)</w:t>
      </w:r>
      <w:r w:rsidRPr="00225AB0">
        <w:rPr>
          <w:rFonts w:ascii="Arial" w:hAnsi="Arial" w:cs="Arial"/>
        </w:rPr>
        <w:fldChar w:fldCharType="end"/>
      </w:r>
      <w:r w:rsidRPr="00225AB0">
        <w:rPr>
          <w:rFonts w:ascii="Arial" w:hAnsi="Arial" w:cs="Arial"/>
        </w:rPr>
        <w:t xml:space="preserve">. Axons from small bistratified retinal ganglion cells predominantly terminate in regions intercalated between the magnocellular and parvocellular layers, termed the koniocellular layers (see </w:t>
      </w:r>
      <w:r w:rsidRPr="00225AB0">
        <w:rPr>
          <w:rFonts w:ascii="Arial" w:hAnsi="Arial" w:cs="Arial"/>
        </w:rPr>
        <w:fldChar w:fldCharType="begin"/>
      </w:r>
      <w:r w:rsidR="00995B3D">
        <w:rPr>
          <w:rFonts w:ascii="Arial" w:hAnsi="Arial" w:cs="Arial"/>
        </w:rPr>
        <w:instrText xml:space="preserve"> ADDIN ZOTERO_ITEM CSL_CITATION {"citationID":"kLx2gnIg","properties":{"formattedCitation":"(Casagrande, 1994)","plainCitation":"(Casagrande, 1994)","dontUpdate":true,"noteIndex":0},"citationItems":[{"id":11,"uris":["http://zotero.org/groups/318634/items/WSK7JD7I"],"uri":["http://zotero.org/groups/318634/items/WSK7JD7I"],"itemData":{"id":11,"type":"article-journal","title":"A third parallel visual pathway to primate area V1","container-title":"Trends in Neurosciences","page":"305-310","volume":"17","issue":"7","source":"PubMed","abstract":"Recent studies of the primate visual system have focused on the proposal that the perception of form and motion are processed by two parallel pathways that originate from separate populations of cells in the retina. Earlier proposals for parallel processing of visual signals identified a third pathway that could be traced from the retina to the visual cortex. This third pathway was assumed to be unimportant. A growing body of evidence suggests that this pathway to cortex is distinct anatomically, physiologically and neurochemically, and is well represented in primates. These findings raise new and interesting questions not only about the role of this pathway, but also about the intracortical integration of afferent parallel signals.","ISSN":"0166-2236","note":"PMID: 7524217","journalAbbreviation":"Trends Neurosci.","language":"eng","author":[{"family":"Casagrande","given":"V. A."}],"issued":{"date-parts":[["1994",7]]}}}],"schema":"https://github.com/citation-style-language/schema/raw/master/csl-citation.json"} </w:instrText>
      </w:r>
      <w:r w:rsidRPr="00225AB0">
        <w:rPr>
          <w:rFonts w:ascii="Arial" w:hAnsi="Arial" w:cs="Arial"/>
        </w:rPr>
        <w:fldChar w:fldCharType="separate"/>
      </w:r>
      <w:r w:rsidRPr="00225AB0">
        <w:rPr>
          <w:rFonts w:ascii="Arial" w:hAnsi="Arial" w:cs="Arial"/>
          <w:noProof/>
        </w:rPr>
        <w:t xml:space="preserve">Casagrande, 1994 </w:t>
      </w:r>
      <w:r w:rsidRPr="00225AB0">
        <w:rPr>
          <w:rFonts w:ascii="Arial" w:hAnsi="Arial" w:cs="Arial"/>
        </w:rPr>
        <w:fldChar w:fldCharType="end"/>
      </w:r>
      <w:r w:rsidRPr="00225AB0">
        <w:rPr>
          <w:rFonts w:ascii="Arial" w:hAnsi="Arial" w:cs="Arial"/>
        </w:rPr>
        <w:t xml:space="preserve">for a review). </w:t>
      </w:r>
    </w:p>
    <w:p w14:paraId="4D900287" w14:textId="77777777" w:rsidR="000C73FA" w:rsidRPr="00225AB0" w:rsidRDefault="000C73FA" w:rsidP="00DA356B">
      <w:pPr>
        <w:spacing w:line="480" w:lineRule="auto"/>
        <w:rPr>
          <w:rFonts w:ascii="Arial" w:hAnsi="Arial" w:cs="Arial"/>
          <w:color w:val="000000" w:themeColor="text1"/>
        </w:rPr>
      </w:pPr>
    </w:p>
    <w:p w14:paraId="28BDCFB5" w14:textId="77777777" w:rsidR="00DA356B" w:rsidRPr="00225AB0" w:rsidRDefault="000C73FA" w:rsidP="001811CC">
      <w:pPr>
        <w:pStyle w:val="Heading3"/>
        <w:numPr>
          <w:ilvl w:val="2"/>
          <w:numId w:val="2"/>
        </w:numPr>
        <w:spacing w:line="480" w:lineRule="auto"/>
        <w:rPr>
          <w:rFonts w:ascii="Arial" w:hAnsi="Arial" w:cs="Arial"/>
          <w:b/>
          <w:i/>
          <w:color w:val="000000" w:themeColor="text1"/>
          <w:sz w:val="28"/>
          <w:szCs w:val="28"/>
        </w:rPr>
      </w:pPr>
      <w:bookmarkStart w:id="65" w:name="_Toc11147947"/>
      <w:bookmarkStart w:id="66" w:name="_Toc11153898"/>
      <w:bookmarkStart w:id="67" w:name="_Toc11753604"/>
      <w:bookmarkStart w:id="68" w:name="_Toc11926790"/>
      <w:bookmarkStart w:id="69" w:name="_Toc11930018"/>
      <w:bookmarkStart w:id="70" w:name="_Toc16075334"/>
      <w:bookmarkStart w:id="71" w:name="_Toc16236962"/>
      <w:r w:rsidRPr="00225AB0">
        <w:rPr>
          <w:rFonts w:ascii="Arial" w:hAnsi="Arial" w:cs="Arial"/>
          <w:b/>
          <w:i/>
          <w:color w:val="000000" w:themeColor="text1"/>
          <w:sz w:val="28"/>
          <w:szCs w:val="28"/>
        </w:rPr>
        <w:lastRenderedPageBreak/>
        <w:t>Primary visual cortex (V1)</w:t>
      </w:r>
      <w:bookmarkEnd w:id="65"/>
      <w:bookmarkEnd w:id="66"/>
      <w:bookmarkEnd w:id="67"/>
      <w:bookmarkEnd w:id="68"/>
      <w:bookmarkEnd w:id="69"/>
      <w:bookmarkEnd w:id="70"/>
      <w:bookmarkEnd w:id="71"/>
    </w:p>
    <w:p w14:paraId="36E582A4" w14:textId="53DAD06B" w:rsidR="00BC3AAB" w:rsidRDefault="000C73FA" w:rsidP="00CC7DCB">
      <w:pPr>
        <w:spacing w:line="480" w:lineRule="auto"/>
        <w:rPr>
          <w:rFonts w:ascii="Arial" w:hAnsi="Arial" w:cs="Arial"/>
          <w:color w:val="000000" w:themeColor="text1"/>
        </w:rPr>
      </w:pPr>
      <w:r w:rsidRPr="00225AB0">
        <w:rPr>
          <w:rFonts w:ascii="Arial" w:hAnsi="Arial" w:cs="Arial"/>
          <w:color w:val="000000" w:themeColor="text1"/>
        </w:rPr>
        <w:t xml:space="preserve">The information </w:t>
      </w:r>
      <w:r w:rsidR="00D44AC6">
        <w:rPr>
          <w:rFonts w:ascii="Arial" w:hAnsi="Arial" w:cs="Arial"/>
          <w:color w:val="000000" w:themeColor="text1"/>
        </w:rPr>
        <w:t>in</w:t>
      </w:r>
      <w:r w:rsidRPr="00225AB0">
        <w:rPr>
          <w:rFonts w:ascii="Arial" w:hAnsi="Arial" w:cs="Arial"/>
          <w:color w:val="000000" w:themeColor="text1"/>
        </w:rPr>
        <w:t xml:space="preserve"> the LGN then projects to the primary visual cortex (V1), in the calcarine sulcus through the optic radiation. V1 is composed of 6 layers, distinguished by the variation in density of neurons, axons and synapses </w:t>
      </w:r>
      <w:r w:rsidRPr="00225AB0">
        <w:rPr>
          <w:rFonts w:ascii="Arial" w:hAnsi="Arial" w:cs="Arial"/>
          <w:color w:val="000000" w:themeColor="text1"/>
        </w:rPr>
        <w:fldChar w:fldCharType="begin"/>
      </w:r>
      <w:r w:rsidR="00995B3D">
        <w:rPr>
          <w:rFonts w:ascii="Arial" w:hAnsi="Arial" w:cs="Arial"/>
          <w:color w:val="000000" w:themeColor="text1"/>
        </w:rPr>
        <w:instrText xml:space="preserve"> ADDIN ZOTERO_ITEM CSL_CITATION {"citationID":"Hxl2Fiwk","properties":{"formattedCitation":"(Wandell, 1995)","plainCitation":"(Wandell, 1995)","noteIndex":0},"citationItems":[{"id":178,"uris":["http://zotero.org/groups/318634/items/XNG7C5B7"],"uri":["http://zotero.org/groups/318634/items/XNG7C5B7"],"itemData":{"id":178,"type":"book","title":"Foundations of vision","collection-title":"Foundations of vision","publisher":"Sinauer Associates","publisher-place":"Sunderland, MA, US","number-of-pages":"xvi, 476","source":"APA PsycNET","event-place":"Sunderland, MA, US","abstract":"[This book is divided] into 3 parts that reflect 3 of the basic problems of vision: encoding, representation, and interpretation.  Part 1 describes how the retinal image is encoded by the visual pathways. The material in this section is particularly important for 3 reasons. First, how the visual system encodes light has implications for everything else the visual pathways do.  Second, the properties of visual encoding have implications for the design of instruments that display visual information.  Third, the methods and standards of proof that are used to understand image encoding set an important example concerning the standards of explanation we aim to achieve at all levels of vision science.  Part 2 of this volume reviews how the encoded image is represented by the neural response within the peripheral and early cortical visual pathways.  The 2nd half of Part 2 reviews behavioral and computational studies of image representation.  Part 3 contains examples of how we interpret the retinal image and assign perceptual properties such as color, motion, and shape to objects. (PsycINFO Database Record (c) 2016 APA, all rights reserved)","ISBN":"978-0-87893-853-7","author":[{"family":"Wandell","given":"Brian A."}],"issued":{"date-parts":[["1995"]]}}}],"schema":"https://github.com/citation-style-language/schema/raw/master/csl-citation.json"}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(Wandell, 1995)</w:t>
      </w:r>
      <w:r w:rsidRPr="00225AB0">
        <w:rPr>
          <w:rFonts w:ascii="Arial" w:hAnsi="Arial" w:cs="Arial"/>
          <w:color w:val="000000" w:themeColor="text1"/>
        </w:rPr>
        <w:fldChar w:fldCharType="end"/>
      </w:r>
      <w:r w:rsidRPr="00225AB0">
        <w:rPr>
          <w:rFonts w:ascii="Arial" w:hAnsi="Arial" w:cs="Arial"/>
          <w:color w:val="000000" w:themeColor="text1"/>
        </w:rPr>
        <w:t xml:space="preserve">. Information from the LGN is transported to distinct layers of the primary visual cortex. Information from the magnocellular pathway projects to layer 4Cα and lower layer 6. Responses </w:t>
      </w:r>
      <w:r w:rsidR="00D44AC6">
        <w:rPr>
          <w:rFonts w:ascii="Arial" w:hAnsi="Arial" w:cs="Arial"/>
          <w:color w:val="000000" w:themeColor="text1"/>
        </w:rPr>
        <w:t>in</w:t>
      </w:r>
      <w:r w:rsidRPr="00225AB0">
        <w:rPr>
          <w:rFonts w:ascii="Arial" w:hAnsi="Arial" w:cs="Arial"/>
          <w:color w:val="000000" w:themeColor="text1"/>
        </w:rPr>
        <w:t xml:space="preserve"> the parvocellular pathway instead terminate in layer 4</w:t>
      </w:r>
      <w:r w:rsidRPr="00225AB0">
        <w:rPr>
          <w:rFonts w:ascii="Arial" w:hAnsi="Arial" w:cs="Arial"/>
          <w:color w:val="000000" w:themeColor="text1"/>
          <w:shd w:val="clear" w:color="auto" w:fill="FFFFFF"/>
        </w:rPr>
        <w:t>C</w:t>
      </w:r>
      <w:r w:rsidRPr="00225AB0">
        <w:rPr>
          <w:rFonts w:ascii="Arial" w:hAnsi="Arial" w:cs="Arial"/>
          <w:color w:val="000000" w:themeColor="text1"/>
        </w:rPr>
        <w:t xml:space="preserve">β and the upper layer 6. Whilst less is known about the projection of information </w:t>
      </w:r>
      <w:r w:rsidR="00D44AC6">
        <w:rPr>
          <w:rFonts w:ascii="Arial" w:hAnsi="Arial" w:cs="Arial"/>
          <w:color w:val="000000" w:themeColor="text1"/>
        </w:rPr>
        <w:t>in</w:t>
      </w:r>
      <w:r w:rsidRPr="00225AB0">
        <w:rPr>
          <w:rFonts w:ascii="Arial" w:hAnsi="Arial" w:cs="Arial"/>
          <w:color w:val="000000" w:themeColor="text1"/>
        </w:rPr>
        <w:t xml:space="preserve"> the koniocellular pathway, it is thought projections exist from the LGN to layers 1, 3B, 4A and cytochrome oxidase (CO) blobs </w:t>
      </w:r>
      <w:r w:rsidR="00D44AC6">
        <w:rPr>
          <w:rFonts w:ascii="Arial" w:hAnsi="Arial" w:cs="Arial"/>
          <w:color w:val="000000" w:themeColor="text1"/>
        </w:rPr>
        <w:t>in</w:t>
      </w:r>
      <w:r w:rsidRPr="00225AB0">
        <w:rPr>
          <w:rFonts w:ascii="Arial" w:hAnsi="Arial" w:cs="Arial"/>
          <w:color w:val="000000" w:themeColor="text1"/>
        </w:rPr>
        <w:t xml:space="preserve"> the upper, superficial layers of V1 </w:t>
      </w:r>
      <w:r w:rsidRPr="00225AB0">
        <w:rPr>
          <w:rFonts w:ascii="Arial" w:hAnsi="Arial" w:cs="Arial"/>
          <w:color w:val="000000" w:themeColor="text1"/>
        </w:rPr>
        <w:fldChar w:fldCharType="begin"/>
      </w:r>
      <w:r w:rsidR="00995B3D">
        <w:rPr>
          <w:rFonts w:ascii="Arial" w:hAnsi="Arial" w:cs="Arial"/>
          <w:color w:val="000000" w:themeColor="text1"/>
        </w:rPr>
        <w:instrText xml:space="preserve"> ADDIN ZOTERO_ITEM CSL_CITATION {"citationID":"G8HHwnDn","properties":{"formattedCitation":"(Chatterjee &amp; Callaway, 2003; Hendry &amp; Reid, 2000)","plainCitation":"(Chatterjee &amp; Callaway, 2003; Hendry &amp; Reid, 2000)","noteIndex":0},"citationItems":[{"id":183,"uris":["http://zotero.org/groups/318634/items/RU2KQT8G"],"uri":["http://zotero.org/groups/318634/items/RU2KQT8G"],"itemData":{"id":183,"type":"article-journal","title":"Parallel colour-opponent pathways to primary visual cortex","container-title":"Nature","page":"668-671","volume":"426","issue":"6967","source":"PubMed","abstract":"The trichromatic primate retina parses the colour content of a visual scene into 'red/green' and 'blue/yellow' representations. Cortical circuits must combine the information encoded in these colour-opponent signals to reconstruct the full range of perceived colours. Red/green and blue/yellow inputs are relayed by the lateral geniculate nucleus (LGN) of thalamus to primary visual cortex (V1), so understanding how cortical circuits transform these signals requires understanding how LGN inputs to V1 are organized. Here we report direct recordings from LGN afferent axons in muscimol-inactivated V1. We found that blue/yellow afferents terminated exclusively in superficial cortical layers 3B and 4A, whereas red/green afferents were encountered only in deeper cortex, in lower layer 4C. We also describe a distinct cortical target for 'blue-OFF' cells, whose afferents terminated in layer 4A and seemed patchy in organization. The more common 'blue-ON' afferents were found in 4A as well as lower layer 2/3. Chromatic information is thus conveyed to V1 by parallel, anatomically segregated colour-opponent systems, to be combined at a later stage of the colour circuit.","DOI":"10.1038/nature02167","ISSN":"1476-4687","note":"PMID: 14668866","journalAbbreviation":"Nature","language":"eng","author":[{"family":"Chatterjee","given":"Soumya"},{"family":"Callaway","given":"Edward M."}],"issued":{"date-parts":[["2003",12,11]]}}},{"id":10,"uris":["http://zotero.org/groups/318634/items/TFADYNBQ"],"uri":["http://zotero.org/groups/318634/items/TFADYNBQ"],"itemData":{"id":10,"type":"article-journal","title":"The koniocellular pathway in primate vision","container-title":"Annual Review of Neuroscience","page":"127-153","volume":"23","source":"PubMed","abstract":"A neurochemically distinct population of koniocellular (K) neurons makes up a third functional channel in primate lateral geniculate nucleus. As part of a general pattern, K neurons form robust layers through the full representation of the visual hemifield. Similar in physiology and connectivity to W cells in cat lateral geniculate nucleus, K cells form three pairs of layers in macaques. The middle pair relays input from short-wavelength cones to the cytochrome-oxidase blobs of primay visual cortex (V1), the dorsal-most pair relays low-acuity visual information to layer I of V1, and the ventral-most pair appears closely tied to the function of the superior colliculus. Throughout each K layer are neurons that innervate extrastriate cortex and that are likely to sustain some visual behaviors in the absence of V1. These data show that several pathways exist from retina to V1 that are likely to process different aspects of the visual scene along lines that may remain parallel well into V1.","DOI":"10.1146/annurev.neuro.23.1.127","ISSN":"0147-006X","note":"PMID: 10845061","journalAbbreviation":"Annu. Rev. Neurosci.","language":"eng","author":[{"family":"Hendry","given":"S. H."},{"family":"Reid","given":"R. C."}],"issued":{"date-parts":[["2000"]]}}}],"schema":"https://github.com/citation-style-language/schema/raw/master/csl-citation.json"}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(Chatterjee &amp; Callaway, 2003; Hendry &amp; Reid, 2000)</w:t>
      </w:r>
      <w:r w:rsidRPr="00225AB0">
        <w:rPr>
          <w:rFonts w:ascii="Arial" w:hAnsi="Arial" w:cs="Arial"/>
          <w:color w:val="000000" w:themeColor="text1"/>
        </w:rPr>
        <w:fldChar w:fldCharType="end"/>
      </w:r>
      <w:r w:rsidR="00ED1D4D">
        <w:rPr>
          <w:rFonts w:ascii="Arial" w:hAnsi="Arial" w:cs="Arial"/>
          <w:color w:val="000000" w:themeColor="text1"/>
        </w:rPr>
        <w:t xml:space="preserve"> (see Figure 1.1)</w:t>
      </w:r>
      <w:r w:rsidRPr="00225AB0">
        <w:rPr>
          <w:rFonts w:ascii="Arial" w:hAnsi="Arial" w:cs="Arial"/>
          <w:color w:val="000000" w:themeColor="text1"/>
        </w:rPr>
        <w:t>. Information is then transmitted from V1 to a multitude of further visual areas, for example, inactivation of V1 activity results in a lack of response in areas V2 and V3</w:t>
      </w:r>
      <w:r w:rsidR="00686133">
        <w:rPr>
          <w:rFonts w:ascii="Arial" w:hAnsi="Arial" w:cs="Arial"/>
          <w:color w:val="000000" w:themeColor="text1"/>
        </w:rPr>
        <w:t xml:space="preserve"> </w:t>
      </w:r>
      <w:r w:rsidR="00686133">
        <w:rPr>
          <w:rFonts w:ascii="Arial" w:hAnsi="Arial" w:cs="Arial"/>
          <w:color w:val="000000" w:themeColor="text1"/>
        </w:rPr>
        <w:fldChar w:fldCharType="begin"/>
      </w:r>
      <w:r w:rsidR="00686133">
        <w:rPr>
          <w:rFonts w:ascii="Arial" w:hAnsi="Arial" w:cs="Arial"/>
          <w:color w:val="000000" w:themeColor="text1"/>
        </w:rPr>
        <w:instrText xml:space="preserve"> ADDIN ZOTERO_ITEM CSL_CITATION {"citationID":"N3byQZFC","properties":{"formattedCitation":"(Girard &amp; Bullier, 1989; Girard, Salin, &amp; Bullier, 1991; Schiller &amp; Malpeli, 1977)","plainCitation":"(Girard &amp; Bullier, 1989; Girard, Salin, &amp; Bullier, 1991; Schiller &amp; Malpeli, 1977)","noteIndex":0},"citationItems":[{"id":176,"uris":["http://zotero.org/groups/318634/items/ZI6RWRZZ"],"uri":["http://zotero.org/groups/318634/items/ZI6RWRZZ"],"itemData":{"id":176,"type":"article-journal","title":"Visual activity in area V2 during reversible inactivation of area 17 in the macaque monkey","container-title":"Journal of Neurophysiology","page":"1287-1302","volume":"62","issue":"6","source":"PubMed","abstract":"1. The presence of a direct lateral geniculate nucleus (LGN) input to area V2 raises the possibility that some neurons in this area remain active when area 17 is inactivated. It is also known that many neurons in area MT are visually responsive in the absence of input from area 17. Because MT sends a strong projection to V2, it appears likely that visual activity could be transferred to V2 through this feedback connection when the V1 afferents are disabled. For these reasons, we decided to reexamine the residual visual activity of neurons in V2 during inactivation of area 17. A circular region 16 mm in diameter on the opercular part of area 17 was cooled by a thermoelectric Peltier device, and single- and multiunit activity was recorded in the retinotopically corresponding region of area V2. 2. Because of the proximity of areas V1 and V2, it was necessary to make sure that neurons in V2 could not be directly blocked by cooling applied to V1. Temperature gradients within cortex were measured with a specially designed thermocouple at different heat flows imposed by the Peltier device. Gradients ranged between 2.3 and 5.5 degrees C/mm. Knowing the temperature gradients and the temperature of the cooling plate, it was possible to deduce the temperature at a given depth within cortex. With this method we measured the blocking temperatures of neurons in area 17, i.e., the temperature at which neurons completely ceased to respond to optimal visual stimulation. Blocking temperatures ranged between 4 and 18 degrees C, values that are substantially lower than those reported in previous papers. Knowing the blocking temperatures, it was possible to determine the cooling-plate temperature necessary to entirely block the region of V1 under the cooling plate. Using the temperature gradients, we then calculated the depth of recording for which V2 neurons could not be directly blocked by the cold. For this reason, all our recordings were made in or near the fundus of the lunate sulcus. 3. During cryoblocking of V1, we recorded 154 sites in penetrations normal to area V2. All these sites had receptive fields included within the visual-field region coded in the cooled zone. In addition, we recorded 55 sites in tangential penetrations aimed at traveling in V2 for long distances. Among these 209 sites, only 3 could be considered as unambiguously active when V1 was blocked. Two of these sites were located at or close to the V2-V3 border.(ABSTRACT TRUNCATED AT 400 WORDS)","DOI":"10.1152/jn.1989.62.6.1287","ISSN":"0022-3077","note":"PMID: 2600626","journalAbbreviation":"J. Neurophysiol.","language":"eng","author":[{"family":"Girard","given":"P."},{"family":"Bullier","given":"J."}],"issued":{"date-parts":[["1989",12]]}}},{"id":175,"uris":["http://zotero.org/groups/318634/items/XUTCM83J"],"uri":["http://zotero.org/groups/318634/items/XUTCM83J"],"itemData":{"id":175,"type":"article-journal","title":"Visual activity in areas V3a and V3 during reversible inactivation of area V1 in the macaque monkey","container-title":"Journal of Neurophysiology","page":"1493-1503","volume":"66","issue":"5","source":"PubMed","abstract":"1. Behavioral studies in the monkey and clinical studies in humans show that some visuomotor functions are spared in case of a V1 lesion. This residual vision appears to be subserved at least partially by visual activity in extrastriate cortex. Earlier studies have demonstrated that neurons in area V2 lose their visual responses when V1 is reversibly inactivated. On the other hand, Rodman and collaborators have recently shown that neurons in the middle temporal area (area MT) remain visually responsive when V1 is lesioned or inactivated. The purpose of the present study was to determine whether area MT is unique among extrastriate cortical areas in containing visually responsive neurons in the absence of input from area 17. 2. A circular part of the opercular region of area V1 was reversibly inactivated by cooling with a Peltier device. In that condition, 149 sites were recorded in the retinotopically corresponding regions of areas V3 and V3a. 3. About 30% of sites in area V3a still responded to visual stimulation when V1 was inactivated. On the contrary, nearly all sites in area V3 ceased to fire to visual stimulation. Receptive-field properties were assessed with qualitative measures; for most single cells or multiunit sites that responded during V1 inactivation, these properties did not change during cooling. 4. These results suggest that area V3a could take part in spared visuomotor abilities in case of a lesion of V1. Areas V3a and MT are both part of the occipitoparietal pathway, which suggests that the residual vision observed after a lesion of area 17 may depend mostly on this pathway.","DOI":"10.1152/jn.1991.66.5.1493","ISSN":"0022-3077","note":"PMID: 1765790","journalAbbreviation":"J. Neurophysiol.","language":"eng","author":[{"family":"Girard","given":"P."},{"family":"Salin","given":"P. A."},{"family":"Bullier","given":"J."}],"issued":{"date-parts":[["1991",11]]}}},{"id":177,"uris":["http://zotero.org/groups/318634/items/YJTTMZGH"],"uri":["http://zotero.org/groups/318634/items/YJTTMZGH"],"itemData":{"id":177,"type":"article-journal","title":"The effect of striate cortex cooling on area 18 cells in the monkey","container-title":"Brain Research","page":"366-369","volume":"126","issue":"2","source":"PubMed","ISSN":"0006-8993","note":"PMID: 405082","journalAbbreviation":"Brain Res.","language":"eng","author":[{"family":"Schiller","given":"P. H."},{"family":"Malpeli","given":"J. G."}],"issued":{"date-parts":[["1977",5,6]]}}}],"schema":"https://github.com/citation-style-language/schema/raw/master/csl-citation.json"} </w:instrText>
      </w:r>
      <w:r w:rsidR="00686133">
        <w:rPr>
          <w:rFonts w:ascii="Arial" w:hAnsi="Arial" w:cs="Arial"/>
          <w:color w:val="000000" w:themeColor="text1"/>
        </w:rPr>
        <w:fldChar w:fldCharType="separate"/>
      </w:r>
      <w:r w:rsidR="00686133">
        <w:rPr>
          <w:rFonts w:ascii="Arial" w:hAnsi="Arial" w:cs="Arial"/>
          <w:noProof/>
          <w:color w:val="000000" w:themeColor="text1"/>
        </w:rPr>
        <w:t>(Girard &amp; Bullier, 1989; Girard, Salin, &amp; Bullier, 1991; Schiller &amp; Malpeli, 1977)</w:t>
      </w:r>
      <w:r w:rsidR="00686133">
        <w:rPr>
          <w:rFonts w:ascii="Arial" w:hAnsi="Arial" w:cs="Arial"/>
          <w:color w:val="000000" w:themeColor="text1"/>
        </w:rPr>
        <w:fldChar w:fldCharType="end"/>
      </w:r>
      <w:r w:rsidR="00686133">
        <w:rPr>
          <w:rFonts w:ascii="Arial" w:hAnsi="Arial" w:cs="Arial"/>
          <w:color w:val="000000" w:themeColor="text1"/>
        </w:rPr>
        <w:t>.</w:t>
      </w:r>
      <w:r w:rsidRPr="00225AB0">
        <w:rPr>
          <w:rFonts w:ascii="Arial" w:hAnsi="Arial" w:cs="Arial"/>
          <w:color w:val="000000" w:themeColor="text1"/>
        </w:rPr>
        <w:t xml:space="preserve">  It has been suggested these feedforward connections to higher visual areas are transmitted from the upper layers of V1, and feedback to V1 is received </w:t>
      </w:r>
      <w:r w:rsidR="00D44AC6">
        <w:rPr>
          <w:rFonts w:ascii="Arial" w:hAnsi="Arial" w:cs="Arial"/>
          <w:color w:val="000000" w:themeColor="text1"/>
        </w:rPr>
        <w:t>in</w:t>
      </w:r>
      <w:r w:rsidRPr="00225AB0">
        <w:rPr>
          <w:rFonts w:ascii="Arial" w:hAnsi="Arial" w:cs="Arial"/>
          <w:color w:val="000000" w:themeColor="text1"/>
        </w:rPr>
        <w:t xml:space="preserve"> its deeper layers </w:t>
      </w:r>
      <w:r w:rsidRPr="00225AB0">
        <w:rPr>
          <w:rFonts w:ascii="Arial" w:hAnsi="Arial" w:cs="Arial"/>
          <w:color w:val="000000" w:themeColor="text1"/>
        </w:rPr>
        <w:fldChar w:fldCharType="begin"/>
      </w:r>
      <w:r w:rsidR="00995B3D">
        <w:rPr>
          <w:rFonts w:ascii="Arial" w:hAnsi="Arial" w:cs="Arial"/>
          <w:color w:val="000000" w:themeColor="text1"/>
        </w:rPr>
        <w:instrText xml:space="preserve"> ADDIN ZOTERO_ITEM CSL_CITATION {"citationID":"m6iSyufw","properties":{"formattedCitation":"(Rockland &amp; Pandya, 1979)","plainCitation":"(Rockland &amp; Pandya, 1979)","noteIndex":0},"citationItems":[{"id":174,"uris":["http://zotero.org/groups/318634/items/23TRE2C8"],"uri":["http://zotero.org/groups/318634/items/23TRE2C8"],"itemData":{"id":174,"type":"article-journal","title":"Laminar origins and terminations of cortical connections of the occipital lobe in the rhesus monkey","container-title":"Brain Research","page":"3-20","volume":"179","issue":"1","source":"PubMed","abstract":"Cortical connections within the occipital lobe (areas 17, 18 and 19) of the rhesus monkey are investigated with the autoradiographic and horseradish peroxidase procedures. Two efferent systems, each with a specific laminar organization, are observed. (1) Rostrally directed connections, from area 17 to 18, area 18 to 19 and area 19 to the inferotemporal region (area TE), originate from neurons in layer IIIc (and, in area 19, from a small complement of neurons in layer Va), and terminate in and around layer IV. (2) In contrast, connections in the reverse direction ('caudally directed' connections), from area TE to 19, area 19 to 18, and area 18 to 17, originate from neurons in layers Vb, VI and, to a lesser extent, IIIa, and terminate mainly in layer I. In addition, the laminar organization of several intrinsic and callosal connections are observed. In trinsic connections within areas 18 and 19 originate from neurons in layers IIIc and, to a lesser extent, Va, and terminate in vertical bands in layers I to IV. Callosal connections from areas 18, 19, and the caudal inferotemporal region originate from neurons mainly in layer IIIc. From areas 18 and 19, these callosal connections terminate in vertical bands in layers I through IV. Thus, different cortical projection systems are characterized by specific laminar distributions of efferent terminations as well as of their neurons of origin.","ISSN":"0006-8993","note":"PMID: 116716","journalAbbreviation":"Brain Res.","language":"eng","author":[{"family":"Rockland","given":"K. S."},{"family":"Pandya","given":"D. N."}],"issued":{"date-parts":[["1979",12,21]]}}}],"schema":"https://github.com/citation-style-language/schema/raw/master/csl-citation.json"}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(Rockland &amp; Pandya, 1979)</w:t>
      </w:r>
      <w:r w:rsidRPr="00225AB0">
        <w:rPr>
          <w:rFonts w:ascii="Arial" w:hAnsi="Arial" w:cs="Arial"/>
          <w:color w:val="000000" w:themeColor="text1"/>
        </w:rPr>
        <w:fldChar w:fldCharType="end"/>
      </w:r>
      <w:r w:rsidRPr="00225AB0">
        <w:rPr>
          <w:rFonts w:ascii="Arial" w:hAnsi="Arial" w:cs="Arial"/>
          <w:color w:val="000000" w:themeColor="text1"/>
        </w:rPr>
        <w:t xml:space="preserve">. </w:t>
      </w:r>
    </w:p>
    <w:p w14:paraId="763D631D" w14:textId="1533F147" w:rsidR="00ED1D4D" w:rsidRPr="00ED1D4D" w:rsidRDefault="00BC3AAB" w:rsidP="006F425C">
      <w:pPr>
        <w:spacing w:line="480" w:lineRule="auto"/>
        <w:rPr>
          <w:rFonts w:ascii="Arial" w:hAnsi="Arial" w:cs="Arial"/>
          <w:color w:val="000000" w:themeColor="text1"/>
        </w:rPr>
      </w:pPr>
      <w:r>
        <w:rPr>
          <w:rFonts w:ascii="Arial" w:hAnsi="Arial" w:cs="Arial"/>
          <w:noProof/>
          <w:color w:val="000000" w:themeColor="text1"/>
          <w:lang w:eastAsia="en-GB"/>
        </w:rPr>
        <w:lastRenderedPageBreak/>
        <mc:AlternateContent>
          <mc:Choice Requires="wps">
            <w:drawing>
              <wp:anchor distT="0" distB="0" distL="114300" distR="114300" simplePos="0" relativeHeight="251746304" behindDoc="1" locked="0" layoutInCell="1" allowOverlap="1" wp14:anchorId="7784C0D6" wp14:editId="1426DAFE">
                <wp:simplePos x="0" y="0"/>
                <wp:positionH relativeFrom="column">
                  <wp:posOffset>-83127</wp:posOffset>
                </wp:positionH>
                <wp:positionV relativeFrom="paragraph">
                  <wp:posOffset>0</wp:posOffset>
                </wp:positionV>
                <wp:extent cx="5291455" cy="6844030"/>
                <wp:effectExtent l="0" t="0" r="0" b="0"/>
                <wp:wrapTight wrapText="bothSides">
                  <wp:wrapPolygon edited="0">
                    <wp:start x="259" y="40"/>
                    <wp:lineTo x="259" y="21524"/>
                    <wp:lineTo x="21307" y="21524"/>
                    <wp:lineTo x="21307" y="40"/>
                    <wp:lineTo x="259" y="40"/>
                  </wp:wrapPolygon>
                </wp:wrapTight>
                <wp:docPr id="10" name="Text Box 10"/>
                <wp:cNvGraphicFramePr/>
                <a:graphic xmlns:a="http://schemas.openxmlformats.org/drawingml/2006/main">
                  <a:graphicData uri="http://schemas.microsoft.com/office/word/2010/wordprocessingShape">
                    <wps:wsp>
                      <wps:cNvSpPr txBox="1"/>
                      <wps:spPr>
                        <a:xfrm>
                          <a:off x="0" y="0"/>
                          <a:ext cx="5291455" cy="6844030"/>
                        </a:xfrm>
                        <a:prstGeom prst="rect">
                          <a:avLst/>
                        </a:prstGeom>
                        <a:noFill/>
                        <a:ln w="6350">
                          <a:noFill/>
                        </a:ln>
                      </wps:spPr>
                      <wps:txbx>
                        <w:txbxContent>
                          <w:p w14:paraId="59753049" w14:textId="77777777" w:rsidR="00C93BE0" w:rsidRDefault="00C93BE0" w:rsidP="009F3085">
                            <w:pPr>
                              <w:keepNext/>
                              <w:jc w:val="center"/>
                            </w:pPr>
                            <w:r>
                              <w:rPr>
                                <w:noProof/>
                                <w:lang w:eastAsia="en-GB"/>
                              </w:rPr>
                              <w:drawing>
                                <wp:inline distT="0" distB="0" distL="0" distR="0" wp14:anchorId="537B587D" wp14:editId="3DFEA6CD">
                                  <wp:extent cx="4681220" cy="5126990"/>
                                  <wp:effectExtent l="0" t="0" r="5080" b="3810"/>
                                  <wp:docPr id="3493" name="Picture 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1-organisationofvisualcortex.png"/>
                                          <pic:cNvPicPr/>
                                        </pic:nvPicPr>
                                        <pic:blipFill>
                                          <a:blip r:embed="rId8">
                                            <a:extLst>
                                              <a:ext uri="{28A0092B-C50C-407E-A947-70E740481C1C}">
                                                <a14:useLocalDpi xmlns:a14="http://schemas.microsoft.com/office/drawing/2010/main" val="0"/>
                                              </a:ext>
                                            </a:extLst>
                                          </a:blip>
                                          <a:stretch>
                                            <a:fillRect/>
                                          </a:stretch>
                                        </pic:blipFill>
                                        <pic:spPr>
                                          <a:xfrm>
                                            <a:off x="0" y="0"/>
                                            <a:ext cx="4681220" cy="5126990"/>
                                          </a:xfrm>
                                          <a:prstGeom prst="rect">
                                            <a:avLst/>
                                          </a:prstGeom>
                                        </pic:spPr>
                                      </pic:pic>
                                    </a:graphicData>
                                  </a:graphic>
                                </wp:inline>
                              </w:drawing>
                            </w:r>
                          </w:p>
                          <w:p w14:paraId="7FCA4EBC" w14:textId="2F3CD829" w:rsidR="00C93BE0" w:rsidRPr="009F3085" w:rsidRDefault="00C93BE0" w:rsidP="009F3085">
                            <w:pPr>
                              <w:pStyle w:val="Caption"/>
                              <w:spacing w:line="360" w:lineRule="auto"/>
                              <w:jc w:val="both"/>
                              <w:rPr>
                                <w:rFonts w:ascii="Arial" w:hAnsi="Arial" w:cs="Arial"/>
                                <w:i w:val="0"/>
                                <w:iCs w:val="0"/>
                                <w:color w:val="000000" w:themeColor="text1"/>
                                <w:sz w:val="24"/>
                                <w:szCs w:val="24"/>
                              </w:rPr>
                            </w:pPr>
                            <w:bookmarkStart w:id="72" w:name="_Toc16241280"/>
                            <w:bookmarkStart w:id="73" w:name="_Toc16242689"/>
                            <w:r w:rsidRPr="009F3085">
                              <w:rPr>
                                <w:rFonts w:ascii="Arial" w:hAnsi="Arial" w:cs="Arial"/>
                                <w:b/>
                                <w:bCs/>
                                <w:i w:val="0"/>
                                <w:iCs w:val="0"/>
                                <w:color w:val="000000" w:themeColor="text1"/>
                                <w:sz w:val="24"/>
                                <w:szCs w:val="24"/>
                              </w:rPr>
                              <w:t xml:space="preserve">Figure </w:t>
                            </w:r>
                            <w:r>
                              <w:rPr>
                                <w:rFonts w:ascii="Arial" w:hAnsi="Arial" w:cs="Arial"/>
                                <w:b/>
                                <w:bCs/>
                                <w:i w:val="0"/>
                                <w:iCs w:val="0"/>
                                <w:color w:val="000000" w:themeColor="text1"/>
                                <w:sz w:val="24"/>
                                <w:szCs w:val="24"/>
                              </w:rPr>
                              <w:fldChar w:fldCharType="begin"/>
                            </w:r>
                            <w:r>
                              <w:rPr>
                                <w:rFonts w:ascii="Arial" w:hAnsi="Arial" w:cs="Arial"/>
                                <w:b/>
                                <w:bCs/>
                                <w:i w:val="0"/>
                                <w:iCs w:val="0"/>
                                <w:color w:val="000000" w:themeColor="text1"/>
                                <w:sz w:val="24"/>
                                <w:szCs w:val="24"/>
                              </w:rPr>
                              <w:instrText xml:space="preserve"> STYLEREF 1 \s </w:instrText>
                            </w:r>
                            <w:r>
                              <w:rPr>
                                <w:rFonts w:ascii="Arial" w:hAnsi="Arial" w:cs="Arial"/>
                                <w:b/>
                                <w:bCs/>
                                <w:i w:val="0"/>
                                <w:iCs w:val="0"/>
                                <w:color w:val="000000" w:themeColor="text1"/>
                                <w:sz w:val="24"/>
                                <w:szCs w:val="24"/>
                              </w:rPr>
                              <w:fldChar w:fldCharType="separate"/>
                            </w:r>
                            <w:r>
                              <w:rPr>
                                <w:rFonts w:ascii="Arial" w:hAnsi="Arial" w:cs="Arial"/>
                                <w:b/>
                                <w:bCs/>
                                <w:i w:val="0"/>
                                <w:iCs w:val="0"/>
                                <w:noProof/>
                                <w:color w:val="000000" w:themeColor="text1"/>
                                <w:sz w:val="24"/>
                                <w:szCs w:val="24"/>
                              </w:rPr>
                              <w:t>1</w:t>
                            </w:r>
                            <w:r>
                              <w:rPr>
                                <w:rFonts w:ascii="Arial" w:hAnsi="Arial" w:cs="Arial"/>
                                <w:b/>
                                <w:bCs/>
                                <w:i w:val="0"/>
                                <w:iCs w:val="0"/>
                                <w:color w:val="000000" w:themeColor="text1"/>
                                <w:sz w:val="24"/>
                                <w:szCs w:val="24"/>
                              </w:rPr>
                              <w:fldChar w:fldCharType="end"/>
                            </w:r>
                            <w:r>
                              <w:rPr>
                                <w:rFonts w:ascii="Arial" w:hAnsi="Arial" w:cs="Arial"/>
                                <w:b/>
                                <w:bCs/>
                                <w:i w:val="0"/>
                                <w:iCs w:val="0"/>
                                <w:color w:val="000000" w:themeColor="text1"/>
                                <w:sz w:val="24"/>
                                <w:szCs w:val="24"/>
                              </w:rPr>
                              <w:t>.</w:t>
                            </w:r>
                            <w:r>
                              <w:rPr>
                                <w:rFonts w:ascii="Arial" w:hAnsi="Arial" w:cs="Arial"/>
                                <w:b/>
                                <w:bCs/>
                                <w:i w:val="0"/>
                                <w:iCs w:val="0"/>
                                <w:color w:val="000000" w:themeColor="text1"/>
                                <w:sz w:val="24"/>
                                <w:szCs w:val="24"/>
                              </w:rPr>
                              <w:fldChar w:fldCharType="begin"/>
                            </w:r>
                            <w:r>
                              <w:rPr>
                                <w:rFonts w:ascii="Arial" w:hAnsi="Arial" w:cs="Arial"/>
                                <w:b/>
                                <w:bCs/>
                                <w:i w:val="0"/>
                                <w:iCs w:val="0"/>
                                <w:color w:val="000000" w:themeColor="text1"/>
                                <w:sz w:val="24"/>
                                <w:szCs w:val="24"/>
                              </w:rPr>
                              <w:instrText xml:space="preserve"> SEQ Figure \* ARABIC \s 1 </w:instrText>
                            </w:r>
                            <w:r>
                              <w:rPr>
                                <w:rFonts w:ascii="Arial" w:hAnsi="Arial" w:cs="Arial"/>
                                <w:b/>
                                <w:bCs/>
                                <w:i w:val="0"/>
                                <w:iCs w:val="0"/>
                                <w:color w:val="000000" w:themeColor="text1"/>
                                <w:sz w:val="24"/>
                                <w:szCs w:val="24"/>
                              </w:rPr>
                              <w:fldChar w:fldCharType="separate"/>
                            </w:r>
                            <w:r>
                              <w:rPr>
                                <w:rFonts w:ascii="Arial" w:hAnsi="Arial" w:cs="Arial"/>
                                <w:b/>
                                <w:bCs/>
                                <w:i w:val="0"/>
                                <w:iCs w:val="0"/>
                                <w:noProof/>
                                <w:color w:val="000000" w:themeColor="text1"/>
                                <w:sz w:val="24"/>
                                <w:szCs w:val="24"/>
                              </w:rPr>
                              <w:t>1</w:t>
                            </w:r>
                            <w:r>
                              <w:rPr>
                                <w:rFonts w:ascii="Arial" w:hAnsi="Arial" w:cs="Arial"/>
                                <w:b/>
                                <w:bCs/>
                                <w:i w:val="0"/>
                                <w:iCs w:val="0"/>
                                <w:color w:val="000000" w:themeColor="text1"/>
                                <w:sz w:val="24"/>
                                <w:szCs w:val="24"/>
                              </w:rPr>
                              <w:fldChar w:fldCharType="end"/>
                            </w:r>
                            <w:r w:rsidRPr="009F3085">
                              <w:rPr>
                                <w:rFonts w:ascii="Arial" w:hAnsi="Arial" w:cs="Arial"/>
                                <w:i w:val="0"/>
                                <w:iCs w:val="0"/>
                                <w:color w:val="000000" w:themeColor="text1"/>
                                <w:sz w:val="24"/>
                                <w:szCs w:val="24"/>
                              </w:rPr>
                              <w:t xml:space="preserve"> The transmission of information within the human early visual pathway. Visual information enters the eye and passes through a series of retinal nerve cells before projection to the LGN. Within the LGN, information is split into segregated layers, corresponding to the PC, MC and KC pathways. This segregated information then projects to distinct layers within V1 (</w:t>
                            </w:r>
                            <w:r>
                              <w:rPr>
                                <w:rFonts w:ascii="Arial" w:hAnsi="Arial" w:cs="Arial"/>
                                <w:i w:val="0"/>
                                <w:iCs w:val="0"/>
                                <w:color w:val="000000" w:themeColor="text1"/>
                                <w:sz w:val="24"/>
                                <w:szCs w:val="24"/>
                              </w:rPr>
                              <w:t xml:space="preserve">Figure from </w:t>
                            </w:r>
                            <w:r w:rsidRPr="009F3085">
                              <w:rPr>
                                <w:rFonts w:ascii="Arial" w:hAnsi="Arial" w:cs="Arial"/>
                                <w:i w:val="0"/>
                                <w:iCs w:val="0"/>
                                <w:color w:val="000000" w:themeColor="text1"/>
                                <w:sz w:val="24"/>
                                <w:szCs w:val="24"/>
                              </w:rPr>
                              <w:fldChar w:fldCharType="begin"/>
                            </w:r>
                            <w:r w:rsidRPr="009F3085">
                              <w:rPr>
                                <w:rFonts w:ascii="Arial" w:hAnsi="Arial" w:cs="Arial"/>
                                <w:i w:val="0"/>
                                <w:iCs w:val="0"/>
                                <w:color w:val="000000" w:themeColor="text1"/>
                                <w:sz w:val="24"/>
                                <w:szCs w:val="24"/>
                              </w:rPr>
                              <w:instrText xml:space="preserve"> ADDIN ZOTERO_ITEM CSL_CITATION {"citationID":"KY50Ok5q","properties":{"formattedCitation":"(Solomon &amp; Lennie, 2007)","plainCitation":"(Solomon &amp; Lennie, 2007)","noteIndex":0},"citationItems":[{"id":1032,"uris":["http://zotero.org/groups/318634/items/T4MNCZ5E"],"uri":["http://zotero.org/groups/318634/items/T4MNCZ5E"],"itemData":{"id":1032,"type":"article-journal","title":"The machinery of colour vision","container-title":"Nature Reviews. Neuroscience","page":"276-286","volume":"8","issue":"4","source":"PubMed","abstract":"Some fundamental principles of colour vision, deduced from perceptual studies, have been understood for a long time. Physiological studies have confirmed the existence of three classes of cone photoreceptors, and of colour-opponent neurons that compare the signals from cones, but modern work has drawn attention to unexpected complexities of early organization: the proportions of cones of different types vary widely among individuals, without great effect on colour vision; the arrangement of different types of cones in the mosaic seems to be random, making it hard to optimize the connections to colour-opponent mechanisms; and new forms of colour-opponent mechanisms have recently been discovered. At a higher level, in the primary visual cortex, recent studies have revealed a simpler organization than had earlier been supposed, and in some respects have made it easier to reconcile physiological and perceptual findings.","DOI":"10.1038/nrn2094","ISSN":"1471-003X","note":"PMID: 17375040","journalAbbreviation":"Nat. Rev. Neurosci.","language":"eng","author":[{"family":"Solomon","given":"Samuel G."},{"family":"Lennie","given":"Peter"}],"issued":{"date-parts":[["2007",4]]}}}],"schema":"https://github.com/citation-style-language/schema/raw/master/csl-citation.json"} </w:instrText>
                            </w:r>
                            <w:r w:rsidRPr="009F3085">
                              <w:rPr>
                                <w:rFonts w:ascii="Arial" w:hAnsi="Arial" w:cs="Arial"/>
                                <w:i w:val="0"/>
                                <w:iCs w:val="0"/>
                                <w:color w:val="000000" w:themeColor="text1"/>
                                <w:sz w:val="24"/>
                                <w:szCs w:val="24"/>
                              </w:rPr>
                              <w:fldChar w:fldCharType="separate"/>
                            </w:r>
                            <w:r w:rsidRPr="009F3085">
                              <w:rPr>
                                <w:rFonts w:ascii="Arial" w:hAnsi="Arial" w:cs="Arial"/>
                                <w:i w:val="0"/>
                                <w:iCs w:val="0"/>
                                <w:noProof/>
                                <w:color w:val="000000" w:themeColor="text1"/>
                                <w:sz w:val="24"/>
                                <w:szCs w:val="24"/>
                              </w:rPr>
                              <w:t>Solomon &amp; Lennie, 2007)</w:t>
                            </w:r>
                            <w:r w:rsidRPr="009F3085">
                              <w:rPr>
                                <w:rFonts w:ascii="Arial" w:hAnsi="Arial" w:cs="Arial"/>
                                <w:i w:val="0"/>
                                <w:iCs w:val="0"/>
                                <w:color w:val="000000" w:themeColor="text1"/>
                                <w:sz w:val="24"/>
                                <w:szCs w:val="24"/>
                              </w:rPr>
                              <w:fldChar w:fldCharType="end"/>
                            </w:r>
                            <w:r w:rsidRPr="009F3085">
                              <w:rPr>
                                <w:rFonts w:ascii="Arial" w:hAnsi="Arial" w:cs="Arial"/>
                                <w:i w:val="0"/>
                                <w:iCs w:val="0"/>
                                <w:color w:val="000000" w:themeColor="text1"/>
                                <w:sz w:val="24"/>
                                <w:szCs w:val="24"/>
                              </w:rPr>
                              <w:t>.</w:t>
                            </w:r>
                            <w:bookmarkEnd w:id="72"/>
                            <w:bookmarkEnd w:id="73"/>
                          </w:p>
                          <w:p w14:paraId="215F0E4B" w14:textId="6EEEC7D5" w:rsidR="00C93BE0" w:rsidRDefault="00C93BE0" w:rsidP="00BC3AAB">
                            <w:pPr>
                              <w:keepNext/>
                              <w:jc w:val="center"/>
                            </w:pPr>
                          </w:p>
                          <w:p w14:paraId="56B406F2" w14:textId="3BF3B45E" w:rsidR="00C93BE0" w:rsidRDefault="00C93BE0" w:rsidP="00BC3AAB">
                            <w:pPr>
                              <w:pStyle w:val="Caption"/>
                              <w:spacing w:line="360" w:lineRule="auto"/>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84C0D6" id="_x0000_t202" coordsize="21600,21600" o:spt="202" path="m,l,21600r21600,l21600,xe">
                <v:stroke joinstyle="miter"/>
                <v:path gradientshapeok="t" o:connecttype="rect"/>
              </v:shapetype>
              <v:shape id="Text Box 10" o:spid="_x0000_s1026" type="#_x0000_t202" style="position:absolute;margin-left:-6.55pt;margin-top:0;width:416.65pt;height:538.9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" filled="f" stroked="f" strokeweight=".5pt">
                <v:textbox>
                  <w:txbxContent>
                    <w:p w14:paraId="59753049" w14:textId="77777777" w:rsidR="00C93BE0" w:rsidRDefault="00C93BE0" w:rsidP="009F3085">
                      <w:pPr>
                        <w:keepNext/>
                        <w:jc w:val="center"/>
                      </w:pPr>
                      <w:r>
                        <w:rPr>
                          <w:noProof/>
                          <w:lang w:eastAsia="en-GB"/>
                        </w:rPr>
                        <w:drawing>
                          <wp:inline distT="0" distB="0" distL="0" distR="0" wp14:anchorId="537B587D" wp14:editId="3DFEA6CD">
                            <wp:extent cx="4681220" cy="5126990"/>
                            <wp:effectExtent l="0" t="0" r="5080" b="3810"/>
                            <wp:docPr id="3493" name="Picture 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1-organisationofvisualcortex.png"/>
                                    <pic:cNvPicPr/>
                                  </pic:nvPicPr>
                                  <pic:blipFill>
                                    <a:blip r:embed="rId9">
                                      <a:extLst>
                                        <a:ext uri="{28A0092B-C50C-407E-A947-70E740481C1C}">
                                          <a14:useLocalDpi xmlns:a14="http://schemas.microsoft.com/office/drawing/2010/main" val="0"/>
                                        </a:ext>
                                      </a:extLst>
                                    </a:blip>
                                    <a:stretch>
                                      <a:fillRect/>
                                    </a:stretch>
                                  </pic:blipFill>
                                  <pic:spPr>
                                    <a:xfrm>
                                      <a:off x="0" y="0"/>
                                      <a:ext cx="4681220" cy="5126990"/>
                                    </a:xfrm>
                                    <a:prstGeom prst="rect">
                                      <a:avLst/>
                                    </a:prstGeom>
                                  </pic:spPr>
                                </pic:pic>
                              </a:graphicData>
                            </a:graphic>
                          </wp:inline>
                        </w:drawing>
                      </w:r>
                    </w:p>
                    <w:p w14:paraId="7FCA4EBC" w14:textId="2F3CD829" w:rsidR="00C93BE0" w:rsidRPr="009F3085" w:rsidRDefault="00C93BE0" w:rsidP="009F3085">
                      <w:pPr>
                        <w:pStyle w:val="Caption"/>
                        <w:spacing w:line="360" w:lineRule="auto"/>
                        <w:jc w:val="both"/>
                        <w:rPr>
                          <w:rFonts w:ascii="Arial" w:hAnsi="Arial" w:cs="Arial"/>
                          <w:i w:val="0"/>
                          <w:iCs w:val="0"/>
                          <w:color w:val="000000" w:themeColor="text1"/>
                          <w:sz w:val="24"/>
                          <w:szCs w:val="24"/>
                        </w:rPr>
                      </w:pPr>
                      <w:bookmarkStart w:id="74" w:name="_Toc16241280"/>
                      <w:bookmarkStart w:id="75" w:name="_Toc16242689"/>
                      <w:r w:rsidRPr="009F3085">
                        <w:rPr>
                          <w:rFonts w:ascii="Arial" w:hAnsi="Arial" w:cs="Arial"/>
                          <w:b/>
                          <w:bCs/>
                          <w:i w:val="0"/>
                          <w:iCs w:val="0"/>
                          <w:color w:val="000000" w:themeColor="text1"/>
                          <w:sz w:val="24"/>
                          <w:szCs w:val="24"/>
                        </w:rPr>
                        <w:t xml:space="preserve">Figure </w:t>
                      </w:r>
                      <w:r>
                        <w:rPr>
                          <w:rFonts w:ascii="Arial" w:hAnsi="Arial" w:cs="Arial"/>
                          <w:b/>
                          <w:bCs/>
                          <w:i w:val="0"/>
                          <w:iCs w:val="0"/>
                          <w:color w:val="000000" w:themeColor="text1"/>
                          <w:sz w:val="24"/>
                          <w:szCs w:val="24"/>
                        </w:rPr>
                        <w:fldChar w:fldCharType="begin"/>
                      </w:r>
                      <w:r>
                        <w:rPr>
                          <w:rFonts w:ascii="Arial" w:hAnsi="Arial" w:cs="Arial"/>
                          <w:b/>
                          <w:bCs/>
                          <w:i w:val="0"/>
                          <w:iCs w:val="0"/>
                          <w:color w:val="000000" w:themeColor="text1"/>
                          <w:sz w:val="24"/>
                          <w:szCs w:val="24"/>
                        </w:rPr>
                        <w:instrText xml:space="preserve"> STYLEREF 1 \s </w:instrText>
                      </w:r>
                      <w:r>
                        <w:rPr>
                          <w:rFonts w:ascii="Arial" w:hAnsi="Arial" w:cs="Arial"/>
                          <w:b/>
                          <w:bCs/>
                          <w:i w:val="0"/>
                          <w:iCs w:val="0"/>
                          <w:color w:val="000000" w:themeColor="text1"/>
                          <w:sz w:val="24"/>
                          <w:szCs w:val="24"/>
                        </w:rPr>
                        <w:fldChar w:fldCharType="separate"/>
                      </w:r>
                      <w:r>
                        <w:rPr>
                          <w:rFonts w:ascii="Arial" w:hAnsi="Arial" w:cs="Arial"/>
                          <w:b/>
                          <w:bCs/>
                          <w:i w:val="0"/>
                          <w:iCs w:val="0"/>
                          <w:noProof/>
                          <w:color w:val="000000" w:themeColor="text1"/>
                          <w:sz w:val="24"/>
                          <w:szCs w:val="24"/>
                        </w:rPr>
                        <w:t>1</w:t>
                      </w:r>
                      <w:r>
                        <w:rPr>
                          <w:rFonts w:ascii="Arial" w:hAnsi="Arial" w:cs="Arial"/>
                          <w:b/>
                          <w:bCs/>
                          <w:i w:val="0"/>
                          <w:iCs w:val="0"/>
                          <w:color w:val="000000" w:themeColor="text1"/>
                          <w:sz w:val="24"/>
                          <w:szCs w:val="24"/>
                        </w:rPr>
                        <w:fldChar w:fldCharType="end"/>
                      </w:r>
                      <w:r>
                        <w:rPr>
                          <w:rFonts w:ascii="Arial" w:hAnsi="Arial" w:cs="Arial"/>
                          <w:b/>
                          <w:bCs/>
                          <w:i w:val="0"/>
                          <w:iCs w:val="0"/>
                          <w:color w:val="000000" w:themeColor="text1"/>
                          <w:sz w:val="24"/>
                          <w:szCs w:val="24"/>
                        </w:rPr>
                        <w:t>.</w:t>
                      </w:r>
                      <w:r>
                        <w:rPr>
                          <w:rFonts w:ascii="Arial" w:hAnsi="Arial" w:cs="Arial"/>
                          <w:b/>
                          <w:bCs/>
                          <w:i w:val="0"/>
                          <w:iCs w:val="0"/>
                          <w:color w:val="000000" w:themeColor="text1"/>
                          <w:sz w:val="24"/>
                          <w:szCs w:val="24"/>
                        </w:rPr>
                        <w:fldChar w:fldCharType="begin"/>
                      </w:r>
                      <w:r>
                        <w:rPr>
                          <w:rFonts w:ascii="Arial" w:hAnsi="Arial" w:cs="Arial"/>
                          <w:b/>
                          <w:bCs/>
                          <w:i w:val="0"/>
                          <w:iCs w:val="0"/>
                          <w:color w:val="000000" w:themeColor="text1"/>
                          <w:sz w:val="24"/>
                          <w:szCs w:val="24"/>
                        </w:rPr>
                        <w:instrText xml:space="preserve"> SEQ Figure \* ARABIC \s 1 </w:instrText>
                      </w:r>
                      <w:r>
                        <w:rPr>
                          <w:rFonts w:ascii="Arial" w:hAnsi="Arial" w:cs="Arial"/>
                          <w:b/>
                          <w:bCs/>
                          <w:i w:val="0"/>
                          <w:iCs w:val="0"/>
                          <w:color w:val="000000" w:themeColor="text1"/>
                          <w:sz w:val="24"/>
                          <w:szCs w:val="24"/>
                        </w:rPr>
                        <w:fldChar w:fldCharType="separate"/>
                      </w:r>
                      <w:r>
                        <w:rPr>
                          <w:rFonts w:ascii="Arial" w:hAnsi="Arial" w:cs="Arial"/>
                          <w:b/>
                          <w:bCs/>
                          <w:i w:val="0"/>
                          <w:iCs w:val="0"/>
                          <w:noProof/>
                          <w:color w:val="000000" w:themeColor="text1"/>
                          <w:sz w:val="24"/>
                          <w:szCs w:val="24"/>
                        </w:rPr>
                        <w:t>1</w:t>
                      </w:r>
                      <w:r>
                        <w:rPr>
                          <w:rFonts w:ascii="Arial" w:hAnsi="Arial" w:cs="Arial"/>
                          <w:b/>
                          <w:bCs/>
                          <w:i w:val="0"/>
                          <w:iCs w:val="0"/>
                          <w:color w:val="000000" w:themeColor="text1"/>
                          <w:sz w:val="24"/>
                          <w:szCs w:val="24"/>
                        </w:rPr>
                        <w:fldChar w:fldCharType="end"/>
                      </w:r>
                      <w:r w:rsidRPr="009F3085">
                        <w:rPr>
                          <w:rFonts w:ascii="Arial" w:hAnsi="Arial" w:cs="Arial"/>
                          <w:i w:val="0"/>
                          <w:iCs w:val="0"/>
                          <w:color w:val="000000" w:themeColor="text1"/>
                          <w:sz w:val="24"/>
                          <w:szCs w:val="24"/>
                        </w:rPr>
                        <w:t xml:space="preserve"> The transmission of information within the human early visual pathway. Visual information enters the eye and passes through a series of retinal nerve cells before projection to the LGN. Within the LGN, information is split into segregated layers, corresponding to the PC, MC and KC pathways. This segregated information then projects to distinct layers within V1 (</w:t>
                      </w:r>
                      <w:r>
                        <w:rPr>
                          <w:rFonts w:ascii="Arial" w:hAnsi="Arial" w:cs="Arial"/>
                          <w:i w:val="0"/>
                          <w:iCs w:val="0"/>
                          <w:color w:val="000000" w:themeColor="text1"/>
                          <w:sz w:val="24"/>
                          <w:szCs w:val="24"/>
                        </w:rPr>
                        <w:t xml:space="preserve">Figure from </w:t>
                      </w:r>
                      <w:r w:rsidRPr="009F3085">
                        <w:rPr>
                          <w:rFonts w:ascii="Arial" w:hAnsi="Arial" w:cs="Arial"/>
                          <w:i w:val="0"/>
                          <w:iCs w:val="0"/>
                          <w:color w:val="000000" w:themeColor="text1"/>
                          <w:sz w:val="24"/>
                          <w:szCs w:val="24"/>
                        </w:rPr>
                        <w:fldChar w:fldCharType="begin"/>
                      </w:r>
                      <w:r w:rsidRPr="009F3085">
                        <w:rPr>
                          <w:rFonts w:ascii="Arial" w:hAnsi="Arial" w:cs="Arial"/>
                          <w:i w:val="0"/>
                          <w:iCs w:val="0"/>
                          <w:color w:val="000000" w:themeColor="text1"/>
                          <w:sz w:val="24"/>
                          <w:szCs w:val="24"/>
                        </w:rPr>
                        <w:instrText xml:space="preserve"> ADDIN ZOTERO_ITEM CSL_CITATION {"citationID":"KY50Ok5q","properties":{"formattedCitation":"(Solomon &amp; Lennie, 2007)","plainCitation":"(Solomon &amp; Lennie, 2007)","noteIndex":0},"citationItems":[{"id":1032,"uris":["http://zotero.org/groups/318634/items/T4MNCZ5E"],"uri":["http://zotero.org/groups/318634/items/T4MNCZ5E"],"itemData":{"id":1032,"type":"article-journal","title":"The machinery of colour vision","container-title":"Nature Reviews. Neuroscience","page":"276-286","volume":"8","issue":"4","source":"PubMed","abstract":"Some fundamental principles of colour vision, deduced from perceptual studies, have been understood for a long time. Physiological studies have confirmed the existence of three classes of cone photoreceptors, and of colour-opponent neurons that compare the signals from cones, but modern work has drawn attention to unexpected complexities of early organization: the proportions of cones of different types vary widely among individuals, without great effect on colour vision; the arrangement of different types of cones in the mosaic seems to be random, making it hard to optimize the connections to colour-opponent mechanisms; and new forms of colour-opponent mechanisms have recently been discovered. At a higher level, in the primary visual cortex, recent studies have revealed a simpler organization than had earlier been supposed, and in some respects have made it easier to reconcile physiological and perceptual findings.","DOI":"10.1038/nrn2094","ISSN":"1471-003X","note":"PMID: 17375040","journalAbbreviation":"Nat. Rev. Neurosci.","language":"eng","author":[{"family":"Solomon","given":"Samuel G."},{"family":"Lennie","given":"Peter"}],"issued":{"date-parts":[["2007",4]]}}}],"schema":"https://github.com/citation-style-language/schema/raw/master/csl-citation.json"} </w:instrText>
                      </w:r>
                      <w:r w:rsidRPr="009F3085">
                        <w:rPr>
                          <w:rFonts w:ascii="Arial" w:hAnsi="Arial" w:cs="Arial"/>
                          <w:i w:val="0"/>
                          <w:iCs w:val="0"/>
                          <w:color w:val="000000" w:themeColor="text1"/>
                          <w:sz w:val="24"/>
                          <w:szCs w:val="24"/>
                        </w:rPr>
                        <w:fldChar w:fldCharType="separate"/>
                      </w:r>
                      <w:r w:rsidRPr="009F3085">
                        <w:rPr>
                          <w:rFonts w:ascii="Arial" w:hAnsi="Arial" w:cs="Arial"/>
                          <w:i w:val="0"/>
                          <w:iCs w:val="0"/>
                          <w:noProof/>
                          <w:color w:val="000000" w:themeColor="text1"/>
                          <w:sz w:val="24"/>
                          <w:szCs w:val="24"/>
                        </w:rPr>
                        <w:t>Solomon &amp; Lennie, 2007)</w:t>
                      </w:r>
                      <w:r w:rsidRPr="009F3085">
                        <w:rPr>
                          <w:rFonts w:ascii="Arial" w:hAnsi="Arial" w:cs="Arial"/>
                          <w:i w:val="0"/>
                          <w:iCs w:val="0"/>
                          <w:color w:val="000000" w:themeColor="text1"/>
                          <w:sz w:val="24"/>
                          <w:szCs w:val="24"/>
                        </w:rPr>
                        <w:fldChar w:fldCharType="end"/>
                      </w:r>
                      <w:r w:rsidRPr="009F3085">
                        <w:rPr>
                          <w:rFonts w:ascii="Arial" w:hAnsi="Arial" w:cs="Arial"/>
                          <w:i w:val="0"/>
                          <w:iCs w:val="0"/>
                          <w:color w:val="000000" w:themeColor="text1"/>
                          <w:sz w:val="24"/>
                          <w:szCs w:val="24"/>
                        </w:rPr>
                        <w:t>.</w:t>
                      </w:r>
                      <w:bookmarkEnd w:id="74"/>
                      <w:bookmarkEnd w:id="75"/>
                    </w:p>
                    <w:p w14:paraId="215F0E4B" w14:textId="6EEEC7D5" w:rsidR="00C93BE0" w:rsidRDefault="00C93BE0" w:rsidP="00BC3AAB">
                      <w:pPr>
                        <w:keepNext/>
                        <w:jc w:val="center"/>
                      </w:pPr>
                    </w:p>
                    <w:p w14:paraId="56B406F2" w14:textId="3BF3B45E" w:rsidR="00C93BE0" w:rsidRDefault="00C93BE0" w:rsidP="00BC3AAB">
                      <w:pPr>
                        <w:pStyle w:val="Caption"/>
                        <w:spacing w:line="360" w:lineRule="auto"/>
                        <w:jc w:val="both"/>
                      </w:pPr>
                    </w:p>
                  </w:txbxContent>
                </v:textbox>
                <w10:wrap type="tight"/>
              </v:shape>
            </w:pict>
          </mc:Fallback>
        </mc:AlternateContent>
      </w:r>
    </w:p>
    <w:p w14:paraId="2C10483F" w14:textId="7ED8E5B4" w:rsidR="000C73FA" w:rsidRPr="00225AB0" w:rsidRDefault="000C73FA" w:rsidP="001811CC">
      <w:pPr>
        <w:pStyle w:val="Heading3"/>
        <w:numPr>
          <w:ilvl w:val="2"/>
          <w:numId w:val="2"/>
        </w:numPr>
        <w:rPr>
          <w:rFonts w:ascii="Arial" w:hAnsi="Arial" w:cs="Arial"/>
          <w:b/>
          <w:i/>
          <w:color w:val="000000" w:themeColor="text1"/>
          <w:sz w:val="28"/>
          <w:szCs w:val="28"/>
        </w:rPr>
      </w:pPr>
      <w:bookmarkStart w:id="74" w:name="_Toc11147948"/>
      <w:bookmarkStart w:id="75" w:name="_Toc11153899"/>
      <w:bookmarkStart w:id="76" w:name="_Toc11753605"/>
      <w:bookmarkStart w:id="77" w:name="_Toc11926791"/>
      <w:bookmarkStart w:id="78" w:name="_Toc11930019"/>
      <w:bookmarkStart w:id="79" w:name="_Toc16075335"/>
      <w:bookmarkStart w:id="80" w:name="_Toc16236963"/>
      <w:r w:rsidRPr="00225AB0">
        <w:rPr>
          <w:rFonts w:ascii="Arial" w:hAnsi="Arial" w:cs="Arial"/>
          <w:b/>
          <w:i/>
          <w:color w:val="000000" w:themeColor="text1"/>
          <w:sz w:val="28"/>
          <w:szCs w:val="28"/>
        </w:rPr>
        <w:t>Extra</w:t>
      </w:r>
      <w:r w:rsidR="004E445C">
        <w:rPr>
          <w:rFonts w:ascii="Arial" w:hAnsi="Arial" w:cs="Arial"/>
          <w:b/>
          <w:i/>
          <w:color w:val="000000" w:themeColor="text1"/>
          <w:sz w:val="28"/>
          <w:szCs w:val="28"/>
        </w:rPr>
        <w:t>-</w:t>
      </w:r>
      <w:r w:rsidRPr="00225AB0">
        <w:rPr>
          <w:rFonts w:ascii="Arial" w:hAnsi="Arial" w:cs="Arial"/>
          <w:b/>
          <w:i/>
          <w:color w:val="000000" w:themeColor="text1"/>
          <w:sz w:val="28"/>
          <w:szCs w:val="28"/>
        </w:rPr>
        <w:t>striate visual areas</w:t>
      </w:r>
      <w:bookmarkEnd w:id="74"/>
      <w:bookmarkEnd w:id="75"/>
      <w:bookmarkEnd w:id="76"/>
      <w:bookmarkEnd w:id="77"/>
      <w:bookmarkEnd w:id="78"/>
      <w:bookmarkEnd w:id="79"/>
      <w:bookmarkEnd w:id="80"/>
      <w:r w:rsidRPr="00225AB0">
        <w:rPr>
          <w:rFonts w:ascii="Arial" w:hAnsi="Arial" w:cs="Arial"/>
          <w:b/>
          <w:i/>
          <w:color w:val="000000" w:themeColor="text1"/>
          <w:sz w:val="28"/>
          <w:szCs w:val="28"/>
        </w:rPr>
        <w:t xml:space="preserve"> </w:t>
      </w:r>
    </w:p>
    <w:p w14:paraId="07B06458" w14:textId="615F6009" w:rsidR="00716B96" w:rsidRPr="00CC7DCB" w:rsidRDefault="00716B96" w:rsidP="00716B96">
      <w:pPr>
        <w:rPr>
          <w:rFonts w:ascii="Arial" w:hAnsi="Arial" w:cs="Arial"/>
        </w:rPr>
      </w:pPr>
    </w:p>
    <w:p w14:paraId="15063413" w14:textId="51A09581" w:rsidR="000C73FA" w:rsidRPr="00225AB0" w:rsidRDefault="000C73FA" w:rsidP="00CC7DCB">
      <w:pPr>
        <w:spacing w:line="480" w:lineRule="auto"/>
        <w:rPr>
          <w:rFonts w:ascii="Arial" w:hAnsi="Arial" w:cs="Arial"/>
        </w:rPr>
      </w:pPr>
      <w:r w:rsidRPr="00225AB0">
        <w:rPr>
          <w:rFonts w:ascii="Arial" w:hAnsi="Arial" w:cs="Arial"/>
        </w:rPr>
        <w:t xml:space="preserve">Visual information travels from V1 to many areas of the visual hierarchy. For example, the motion-responsive area MT+, receives direct input from V1 </w:t>
      </w:r>
      <w:r w:rsidRPr="00225AB0">
        <w:rPr>
          <w:rFonts w:ascii="Arial" w:hAnsi="Arial" w:cs="Arial"/>
        </w:rPr>
        <w:fldChar w:fldCharType="begin"/>
      </w:r>
      <w:r w:rsidR="00995B3D">
        <w:rPr>
          <w:rFonts w:ascii="Arial" w:hAnsi="Arial" w:cs="Arial"/>
        </w:rPr>
        <w:instrText xml:space="preserve"> ADDIN ZOTERO_ITEM CSL_CITATION {"citationID":"tBfWU37o","properties":{"formattedCitation":"(S. Zeki, 2004)","plainCitation":"(S. Zeki, 2004)","dontUpdate":true,"noteIndex":0},"citationItems":[{"id":173,"uris":["http://zotero.org/groups/318634/items/WQXKMM3K"],"uri":["http://zotero.org/groups/318634/items/WQXKMM3K"],"itemData":{"id":173,"type":"article-journal","title":"Thirty years of a very special visual area, Area V5","container-title":"The Journal of Physiology","page":"1-2","volume":"557","issue":"Pt 1","source":"PubMed Central","DOI":"10.1113/jphysiol.2004.063040","ISSN":"0022-3751","note":"PMID: 15034128\nPMCID: PMC1665043","journalAbbreviation":"J Physiol","author":[{"family":"Zeki","given":"S"}],"issued":{"date-parts":[["2004",5,15]]}}}],"schema":"https://github.com/citation-style-language/schema/raw/master/csl-citation.json"} </w:instrText>
      </w:r>
      <w:r w:rsidRPr="00225AB0">
        <w:rPr>
          <w:rFonts w:ascii="Arial" w:hAnsi="Arial" w:cs="Arial"/>
        </w:rPr>
        <w:fldChar w:fldCharType="separate"/>
      </w:r>
      <w:r w:rsidRPr="00225AB0">
        <w:rPr>
          <w:rFonts w:ascii="Arial" w:hAnsi="Arial" w:cs="Arial"/>
          <w:noProof/>
        </w:rPr>
        <w:t>(Zeki, 2004)</w:t>
      </w:r>
      <w:r w:rsidRPr="00225AB0">
        <w:rPr>
          <w:rFonts w:ascii="Arial" w:hAnsi="Arial" w:cs="Arial"/>
        </w:rPr>
        <w:fldChar w:fldCharType="end"/>
      </w:r>
      <w:r w:rsidRPr="00225AB0">
        <w:rPr>
          <w:rFonts w:ascii="Arial" w:hAnsi="Arial" w:cs="Arial"/>
        </w:rPr>
        <w:t xml:space="preserve">. </w:t>
      </w:r>
      <w:r w:rsidR="00AD1E58">
        <w:rPr>
          <w:rFonts w:ascii="Arial" w:hAnsi="Arial" w:cs="Arial"/>
        </w:rPr>
        <w:t>As a general rule of thumb, t</w:t>
      </w:r>
      <w:r w:rsidRPr="00225AB0">
        <w:rPr>
          <w:rFonts w:ascii="Arial" w:hAnsi="Arial" w:cs="Arial"/>
        </w:rPr>
        <w:t xml:space="preserve">he further you travel up the visual hierarchy, the more functionally-specialised visual regions become. Higher </w:t>
      </w:r>
      <w:r w:rsidRPr="00225AB0">
        <w:rPr>
          <w:rFonts w:ascii="Arial" w:hAnsi="Arial" w:cs="Arial"/>
        </w:rPr>
        <w:lastRenderedPageBreak/>
        <w:t xml:space="preserve">visual areas </w:t>
      </w:r>
      <w:r w:rsidR="00AD1E58">
        <w:rPr>
          <w:rFonts w:ascii="Arial" w:hAnsi="Arial" w:cs="Arial"/>
        </w:rPr>
        <w:t>are</w:t>
      </w:r>
      <w:r w:rsidR="00AD1E58" w:rsidRPr="00225AB0">
        <w:rPr>
          <w:rFonts w:ascii="Arial" w:hAnsi="Arial" w:cs="Arial"/>
        </w:rPr>
        <w:t xml:space="preserve"> </w:t>
      </w:r>
      <w:r w:rsidRPr="00225AB0">
        <w:rPr>
          <w:rFonts w:ascii="Arial" w:hAnsi="Arial" w:cs="Arial"/>
        </w:rPr>
        <w:t xml:space="preserve">increasingly focused on the processing of complex visual properties such as faces and motion, and relatively detached from the processing of low-level visual features, typically reserved for early visual areas </w:t>
      </w:r>
      <w:r w:rsidRPr="00225AB0">
        <w:rPr>
          <w:rFonts w:ascii="Arial" w:hAnsi="Arial" w:cs="Arial"/>
        </w:rPr>
        <w:fldChar w:fldCharType="begin"/>
      </w:r>
      <w:r w:rsidR="00995B3D">
        <w:rPr>
          <w:rFonts w:ascii="Arial" w:hAnsi="Arial" w:cs="Arial"/>
        </w:rPr>
        <w:instrText xml:space="preserve"> ADDIN ZOTERO_ITEM CSL_CITATION {"citationID":"gOG9S5oO","properties":{"formattedCitation":"(Grill-Spector &amp; Malach, 2004)","plainCitation":"(Grill-Spector &amp; Malach, 2004)","dontUpdate":true,"noteIndex":0},"citationItems":[{"id":172,"uris":["http://zotero.org/groups/318634/items/VU8JPVZZ"],"uri":["http://zotero.org/groups/318634/items/VU8JPVZZ"],"itemData":{"id":172,"type":"article-journal","title":"The human visual cortex","container-title":"Annual Review of Neuroscience","page":"649-677","volume":"27","source":"PubMed","abstract":"The discovery and analysis of cortical visual areas is a major accomplishment of visual neuroscience. In the past decade the use of noninvasive functional imaging, particularly functional magnetic resonance imaging (fMRI), has dramatically increased our detailed knowledge of the functional organization of the human visual cortex and its relation to visual perception. The fMRI method offers a major advantage over other techniques applied in neuroscience by providing a large-scale neuroanatomical perspective that stems from its ability to image the entire brain essentially at once. This bird's eye view has the potential to reveal large-scale principles within the very complex plethora of visual areas. Thus, it could arrange the entire constellation of human visual areas in a unified functional organizational framework. Here we review recent findings and methods employed to uncover the functional properties of the human visual cortex focusing on two themes: functional specialization and hierarchical processing.","DOI":"10.1146/annurev.neuro.27.070203.144220","ISSN":"0147-006X","note":"PMID: 15217346","journalAbbreviation":"Annu. Rev. Neurosci.","language":"eng","author":[{"family":"Grill-Spector","given":"Kalanit"},{"family":"Malach","given":"Rafael"}],"issued":{"date-parts":[["2004"]]}}}],"schema":"https://github.com/citation-style-language/schema/raw/master/csl-citation.json"} </w:instrText>
      </w:r>
      <w:r w:rsidRPr="00225AB0">
        <w:rPr>
          <w:rFonts w:ascii="Arial" w:hAnsi="Arial" w:cs="Arial"/>
        </w:rPr>
        <w:fldChar w:fldCharType="separate"/>
      </w:r>
      <w:r w:rsidRPr="00225AB0">
        <w:rPr>
          <w:rFonts w:ascii="Arial" w:hAnsi="Arial" w:cs="Arial"/>
          <w:noProof/>
        </w:rPr>
        <w:t>(for a review, see Grill-Spector &amp; Malach, 2004)</w:t>
      </w:r>
      <w:r w:rsidRPr="00225AB0">
        <w:rPr>
          <w:rFonts w:ascii="Arial" w:hAnsi="Arial" w:cs="Arial"/>
        </w:rPr>
        <w:fldChar w:fldCharType="end"/>
      </w:r>
      <w:r w:rsidRPr="00225AB0">
        <w:rPr>
          <w:rFonts w:ascii="Arial" w:hAnsi="Arial" w:cs="Arial"/>
        </w:rPr>
        <w:t xml:space="preserve">. The extent to which we see clear functional specialisation of regions </w:t>
      </w:r>
      <w:r w:rsidR="00D44AC6">
        <w:rPr>
          <w:rFonts w:ascii="Arial" w:hAnsi="Arial" w:cs="Arial"/>
        </w:rPr>
        <w:t>in</w:t>
      </w:r>
      <w:r w:rsidRPr="00225AB0">
        <w:rPr>
          <w:rFonts w:ascii="Arial" w:hAnsi="Arial" w:cs="Arial"/>
        </w:rPr>
        <w:t xml:space="preserve"> the visual cortex is debated, with the theory of functional specialisation first suggested by </w:t>
      </w:r>
      <w:r w:rsidRPr="00225AB0">
        <w:rPr>
          <w:rFonts w:ascii="Arial" w:hAnsi="Arial" w:cs="Arial"/>
        </w:rPr>
        <w:fldChar w:fldCharType="begin"/>
      </w:r>
      <w:r w:rsidR="00995B3D">
        <w:rPr>
          <w:rFonts w:ascii="Arial" w:hAnsi="Arial" w:cs="Arial"/>
        </w:rPr>
        <w:instrText xml:space="preserve"> ADDIN ZOTERO_ITEM CSL_CITATION {"citationID":"MkfUd7Y4","properties":{"formattedCitation":"(M. Livingstone &amp; Hubel, 1988; S. Zeki, 2004; S. M. Zeki, 1973)","plainCitation":"(M. Livingstone &amp; Hubel, 1988; S. Zeki, 2004; S. M. Zeki, 1973)","dontUpdate":true,"noteIndex":0},"citationItems":[{"id":248,"uris":["http://zotero.org/groups/318634/items/HQJBH3W8"],"uri":["http://zotero.org/groups/318634/items/HQJBH3W8"],"itemData":{"id":248,"type":"article-journal","title":"Segregation of form, color, movement, and depth: anatomy, physiology, and perception","container-title":"Science","page":"740–749","volume":"240","issue":"4853","source":"Google Scholar","title-short":"Segregation of form, color, movement, and depth","author":[{"family":"Livingstone","given":"Margaret"},{"family":"Hubel","given":"David"}],"issued":{"date-parts":[["1988"]]}}},{"id":173,"uris":["http://zotero.org/groups/318634/items/WQXKMM3K"],"uri":["http://zotero.org/groups/318634/items/WQXKMM3K"],"itemData":{"id":173,"type":"article-journal","title":"Thirty years of a very special visual area, Area V5","container-title":"The Journal of Physiology","page":"1-2","volume":"557","issue":"Pt 1","source":"PubMed Central","DOI":"10.1113/jphysiol.2004.063040","ISSN":"0022-3751","note":"PMID: 15034128\nPMCID: PMC1665043","journalAbbreviation":"J Physiol","author":[{"family":"Zeki","given":"S"}],"issued":{"date-parts":[["2004",5,15]]}}},{"id":180,"uris":["http://zotero.org/groups/318634/items/YQVC9ATB"],"uri":["http://zotero.org/groups/318634/items/YQVC9ATB"],"itemData":{"id":180,"type":"article-journal","title":"Colour coding in rhesus monkey prestriate cortex","container-title":"Brain Research","page":"422-427","volume":"53","issue":"2","source":"PubMed","ISSN":"0006-8993","note":"PMID: 4196224","journalAbbreviation":"Brain Res.","language":"eng","author":[{"family":"Zeki","given":"S. M."}],"issued":{"date-parts":[["1973",4,27]]}}}],"schema":"https://github.com/citation-style-language/schema/raw/master/csl-citation.json"} </w:instrText>
      </w:r>
      <w:r w:rsidRPr="00225AB0">
        <w:rPr>
          <w:rFonts w:ascii="Arial" w:hAnsi="Arial" w:cs="Arial"/>
        </w:rPr>
        <w:fldChar w:fldCharType="separate"/>
      </w:r>
      <w:r w:rsidRPr="00225AB0">
        <w:rPr>
          <w:rFonts w:ascii="Arial" w:hAnsi="Arial" w:cs="Arial"/>
          <w:noProof/>
        </w:rPr>
        <w:t>Livingstone &amp; Hubel, (1988) and Zeki, (2004; 1973)</w:t>
      </w:r>
      <w:r w:rsidRPr="00225AB0">
        <w:rPr>
          <w:rFonts w:ascii="Arial" w:hAnsi="Arial" w:cs="Arial"/>
        </w:rPr>
        <w:fldChar w:fldCharType="end"/>
      </w:r>
      <w:r w:rsidRPr="00225AB0">
        <w:rPr>
          <w:rFonts w:ascii="Arial" w:hAnsi="Arial" w:cs="Arial"/>
        </w:rPr>
        <w:t xml:space="preserve">. However, others suggest instead a theory of multifunctionality, where neurons </w:t>
      </w:r>
      <w:r w:rsidR="00D44AC6">
        <w:rPr>
          <w:rFonts w:ascii="Arial" w:hAnsi="Arial" w:cs="Arial"/>
        </w:rPr>
        <w:t>in</w:t>
      </w:r>
      <w:r w:rsidRPr="00225AB0">
        <w:rPr>
          <w:rFonts w:ascii="Arial" w:hAnsi="Arial" w:cs="Arial"/>
        </w:rPr>
        <w:t xml:space="preserve"> the visual cortex can encode information about multiple visual features, not possessing distinct feature-specific properties </w:t>
      </w:r>
      <w:r w:rsidRPr="00225AB0">
        <w:rPr>
          <w:rFonts w:ascii="Arial" w:hAnsi="Arial" w:cs="Arial"/>
        </w:rPr>
        <w:fldChar w:fldCharType="begin"/>
      </w:r>
      <w:r w:rsidR="00995B3D">
        <w:rPr>
          <w:rFonts w:ascii="Arial" w:hAnsi="Arial" w:cs="Arial"/>
        </w:rPr>
        <w:instrText xml:space="preserve"> ADDIN ZOTERO_ITEM CSL_CITATION {"citationID":"iWRjfeHg","properties":{"formattedCitation":"(Schiller, 1996)","plainCitation":"(Schiller, 1996)","noteIndex":0},"citationItems":[{"id":171,"uris":["http://zotero.org/groups/318634/items/VCRDS7CY"],"uri":["http://zotero.org/groups/318634/items/VCRDS7CY"],"itemData":{"id":171,"type":"article-journal","title":"On the specificity of neurons and visual areas","container-title":"Behavioural Brain Research","page":"21-35","volume":"76","issue":"1-2","source":"PubMed","abstract":"The dominant view during the past 40 years has been that the visual system analyzes the visual scene by breaking it down into basic attributes such as color, form, motion, depth and texture. Individual dedicated neurons and specific visual areas were believed to be devoted to the analysis of each of these attributes. Current research has challenged these views by emphasizing that neurons, especially in the cortex, have multifunctional properties and therefore serve as general-purpose analyzers rather than feature detectors. Consequently, it appears that most extrastriate visual areas, rather than each being devoted to the analysis of a specific basic visual attribute, perform several different tasks and thereby engage in more advanced and complex analyses than had been realized.","ISSN":"0166-4328","note":"PMID: 8734041","journalAbbreviation":"Behav. Brain Res.","language":"eng","author":[{"family":"Schiller","given":"P. H."}],"issued":{"date-parts":[["1996",4]]}}}],"schema":"https://github.com/citation-style-language/schema/raw/master/csl-citation.json"} </w:instrText>
      </w:r>
      <w:r w:rsidRPr="00225AB0">
        <w:rPr>
          <w:rFonts w:ascii="Arial" w:hAnsi="Arial" w:cs="Arial"/>
        </w:rPr>
        <w:fldChar w:fldCharType="separate"/>
      </w:r>
      <w:r w:rsidRPr="00225AB0">
        <w:rPr>
          <w:rFonts w:ascii="Arial" w:hAnsi="Arial" w:cs="Arial"/>
          <w:noProof/>
        </w:rPr>
        <w:t>(Schiller, 1996)</w:t>
      </w:r>
      <w:r w:rsidRPr="00225AB0">
        <w:rPr>
          <w:rFonts w:ascii="Arial" w:hAnsi="Arial" w:cs="Arial"/>
        </w:rPr>
        <w:fldChar w:fldCharType="end"/>
      </w:r>
      <w:r w:rsidRPr="00225AB0">
        <w:rPr>
          <w:rFonts w:ascii="Arial" w:hAnsi="Arial" w:cs="Arial"/>
        </w:rPr>
        <w:t xml:space="preserve">. In short, it is likely earlier visual areas possess little strict functional segregation, instead, responsive to a multitude of low-level visual features, whereas relatively higher visual areas such as motion area MT+ and the fusiform face area (FFA) do exhibit distinct and specific feature-specific preferences </w:t>
      </w:r>
      <w:r w:rsidRPr="00225AB0">
        <w:rPr>
          <w:rFonts w:ascii="Arial" w:hAnsi="Arial" w:cs="Arial"/>
        </w:rPr>
        <w:fldChar w:fldCharType="begin"/>
      </w:r>
      <w:r w:rsidR="00995B3D">
        <w:rPr>
          <w:rFonts w:ascii="Arial" w:hAnsi="Arial" w:cs="Arial"/>
        </w:rPr>
        <w:instrText xml:space="preserve"> ADDIN ZOTERO_ITEM CSL_CITATION {"citationID":"9XLpjvhm","properties":{"formattedCitation":"(Born &amp; Bradley, 2005; Kanwisher &amp; Yovel, 2006)","plainCitation":"(Born &amp; Bradley, 2005; Kanwisher &amp; Yovel, 2006)","dontUpdate":true,"noteIndex":0},"citationItems":[{"id":170,"uris":["http://zotero.org/groups/318634/items/N4RT6SGK"],"uri":["http://zotero.org/groups/318634/items/N4RT6SGK"],"itemData":{"id":170,"type":"article-journal","title":"Structure and function of visual area MT","container-title":"Annual Review of Neuroscience","page":"157-189","volume":"28","source":"PubMed","abstract":"The small visual area known as MT or V5 has played a major role in our understanding of the primate cerebral cortex. This area has been historically important in the concept of cortical processing streams and the idea that different visual areas constitute highly specialized representations of visual information. MT has also proven to be a fertile culture dish--full of direction- and disparity-selective neurons--exploited by many labs to study the neural circuits underlying computations of motion and depth and to examine the relationship between neural activity and perception. Here we attempt a synthetic overview of the rich literature on MT with the goal of answering the question, What does MT do?","DOI":"10.1146/annurev.neuro.26.041002.131052","ISSN":"0147-006X","note":"PMID: 16022593","journalAbbreviation":"Annu. Rev. Neurosci.","language":"eng","author":[{"family":"Born","given":"Richard T."},{"family":"Bradley","given":"David C."}],"issued":{"date-parts":[["2005"]]}}},{"id":36,"uris":["http://zotero.org/groups/318634/items/RIELCVYF"],"uri":["http://zotero.org/groups/318634/items/RIELCVYF"],"itemData":{"id":36,"type":"article-journal","title":"The fusiform face area: a cortical region specialized for the perception of faces","container-title":"Philosophical Transactions of the Royal Society of London. Series B, Biological Sciences","page":"2109-2128","volume":"361","issue":"1476","source":"PubMed","abstract":"Faces are among the most important visual stimuli we perceive, informing us not only about a person's identity, but also about their mood, sex, age and direction of gaze. The ability to extract this information within a fraction of a second of viewing a face is important for normal social interactions and has probably played a critical role in the survival of our primate ancestors. Considerable evidence from behavioural, neuropsychological and neurophysiological investigations supports the hypothesis that humans have specialized cognitive and neural mechanisms dedicated to the perception of faces (the face-specificity hypothesis). Here, we review the literature on a region of the human brain that appears to play a key role in face perception, known as the fusiform face area (FFA). Section 1 outlines the theoretical background for much of this work. The face-specificity hypothesis falls squarely on one side of a longstanding debate in the fields of cognitive science and cognitive neuroscience concerning the extent to which the mind/brain is composed of: (i) special-purpose ('domain-specific') mechanisms, each dedicated to processing a specific kind of information (e.g. faces, according to the face-specificity hypothesis), versus (ii) general-purpose ('domain-general') mechanisms, each capable of operating on any kind of information. Face perception has long served both as one of the prime candidates of a domain-specific process and as a key target for attack by proponents of domain-general theories of brain and mind. Section 2 briefly reviews the prior literature on face perception from behaviour and neurophysiology. This work supports the face-specificity hypothesis and argues against its domain-general alternatives (the individuation hypothesis, the expertise hypothesis and others). Section 3 outlines the more recent evidence on this debate from brain imaging, focusing particularly on the FFA. We review the evidence that the FFA is selectively engaged in face perception, by addressing (and rebutting) five of the most widely discussed alternatives to this hypothesis. In section 4, we consider recent findings that are beginning to provide clues into the computations conducted in the FFA and the nature of the representations the FFA extracts from faces. We argue that the FFA is engaged both in detecting faces and in extracting the necessary perceptual information to recognize them, and that the properties of the FFA mirror previously identified behavioural signatures of face-specific processing (e.g. the face-inversion effect). Section 5 asks how the computations and representations in the FFA differ from those occurring in other nearby regions of cortex that respond strongly to faces and objects. The evidence indicates clear functional dissociations between these regions, demonstrating that the FFA shows not only functional specificity but also area specificity. We end by speculating in section 6 on some of the broader questions raised by current research on the FFA, including the developmental origins of this region and the question of whether faces are unique versus whether similarly specialized mechanisms also exist for other domains of high-level perception and cognition.","DOI":"10.1098/rstb.2006.1934","ISSN":"0962-8436","note":"PMID: 17118927\nPMCID: PMC1857737","title-short":"The fusiform face area","journalAbbreviation":"Philos. Trans. R. Soc. Lond., B, Biol. Sci.","language":"eng","author":[{"family":"Kanwisher","given":"Nancy"},{"family":"Yovel","given":"Galit"}],"issued":{"date-parts":[["2006",12,29]]}}}],"schema":"https://github.com/citation-style-language/schema/raw/master/csl-citation.json"} </w:instrText>
      </w:r>
      <w:r w:rsidRPr="00225AB0">
        <w:rPr>
          <w:rFonts w:ascii="Arial" w:hAnsi="Arial" w:cs="Arial"/>
        </w:rPr>
        <w:fldChar w:fldCharType="separate"/>
      </w:r>
      <w:r w:rsidRPr="00225AB0">
        <w:rPr>
          <w:rFonts w:ascii="Arial" w:hAnsi="Arial" w:cs="Arial"/>
          <w:noProof/>
        </w:rPr>
        <w:t>(for reviews, see Born &amp; Bradley, 2005; Kanwisher &amp; Yovel, 2006)</w:t>
      </w:r>
      <w:r w:rsidRPr="00225AB0">
        <w:rPr>
          <w:rFonts w:ascii="Arial" w:hAnsi="Arial" w:cs="Arial"/>
        </w:rPr>
        <w:fldChar w:fldCharType="end"/>
      </w:r>
      <w:r w:rsidRPr="00225AB0">
        <w:rPr>
          <w:rFonts w:ascii="Arial" w:hAnsi="Arial" w:cs="Arial"/>
        </w:rPr>
        <w:t xml:space="preserve">. </w:t>
      </w:r>
    </w:p>
    <w:p w14:paraId="2A0887E8" w14:textId="77777777" w:rsidR="000C73FA" w:rsidRPr="00225AB0" w:rsidRDefault="000C73FA" w:rsidP="000C73FA">
      <w:pPr>
        <w:spacing w:line="480" w:lineRule="auto"/>
        <w:rPr>
          <w:rFonts w:ascii="Arial" w:hAnsi="Arial" w:cs="Arial"/>
        </w:rPr>
      </w:pPr>
    </w:p>
    <w:p w14:paraId="2452A24E" w14:textId="77777777" w:rsidR="000C73FA" w:rsidRPr="00225AB0" w:rsidRDefault="000C73FA" w:rsidP="001811CC">
      <w:pPr>
        <w:pStyle w:val="Heading3"/>
        <w:numPr>
          <w:ilvl w:val="2"/>
          <w:numId w:val="2"/>
        </w:numPr>
        <w:rPr>
          <w:rFonts w:ascii="Arial" w:hAnsi="Arial" w:cs="Arial"/>
          <w:b/>
          <w:i/>
          <w:color w:val="000000" w:themeColor="text1"/>
          <w:sz w:val="28"/>
          <w:szCs w:val="28"/>
        </w:rPr>
      </w:pPr>
      <w:bookmarkStart w:id="81" w:name="_Toc11147949"/>
      <w:bookmarkStart w:id="82" w:name="_Toc11153900"/>
      <w:bookmarkStart w:id="83" w:name="_Toc11753606"/>
      <w:bookmarkStart w:id="84" w:name="_Toc11926792"/>
      <w:bookmarkStart w:id="85" w:name="_Toc11930020"/>
      <w:bookmarkStart w:id="86" w:name="_Toc16075336"/>
      <w:bookmarkStart w:id="87" w:name="_Toc16236964"/>
      <w:r w:rsidRPr="00225AB0">
        <w:rPr>
          <w:rFonts w:ascii="Arial" w:hAnsi="Arial" w:cs="Arial"/>
          <w:b/>
          <w:i/>
          <w:color w:val="000000" w:themeColor="text1"/>
          <w:sz w:val="28"/>
          <w:szCs w:val="28"/>
        </w:rPr>
        <w:t>Retinotopic organisation</w:t>
      </w:r>
      <w:bookmarkEnd w:id="81"/>
      <w:bookmarkEnd w:id="82"/>
      <w:bookmarkEnd w:id="83"/>
      <w:bookmarkEnd w:id="84"/>
      <w:bookmarkEnd w:id="85"/>
      <w:bookmarkEnd w:id="86"/>
      <w:bookmarkEnd w:id="87"/>
    </w:p>
    <w:p w14:paraId="112947B5" w14:textId="77777777" w:rsidR="00697512" w:rsidRDefault="00697512" w:rsidP="00170639">
      <w:pPr>
        <w:spacing w:line="480" w:lineRule="auto"/>
        <w:rPr>
          <w:rFonts w:ascii="Arial" w:hAnsi="Arial" w:cs="Arial"/>
        </w:rPr>
      </w:pPr>
    </w:p>
    <w:p w14:paraId="2739A4F6" w14:textId="0D95BFAF" w:rsidR="00B70800" w:rsidRPr="00225AB0" w:rsidRDefault="000C73FA" w:rsidP="000C73FA">
      <w:pPr>
        <w:spacing w:line="480" w:lineRule="auto"/>
        <w:rPr>
          <w:rFonts w:ascii="Arial" w:hAnsi="Arial" w:cs="Arial"/>
        </w:rPr>
      </w:pPr>
      <w:r w:rsidRPr="00225AB0">
        <w:rPr>
          <w:rFonts w:ascii="Arial" w:hAnsi="Arial" w:cs="Arial"/>
        </w:rPr>
        <w:t xml:space="preserve">Retinotopy refers to the mapping of visual input from the retina to neurons (or voxels) </w:t>
      </w:r>
      <w:r w:rsidR="00D44AC6">
        <w:rPr>
          <w:rFonts w:ascii="Arial" w:hAnsi="Arial" w:cs="Arial"/>
        </w:rPr>
        <w:t>in</w:t>
      </w:r>
      <w:r w:rsidRPr="00225AB0">
        <w:rPr>
          <w:rFonts w:ascii="Arial" w:hAnsi="Arial" w:cs="Arial"/>
        </w:rPr>
        <w:t xml:space="preserve"> the visual system. Neurons </w:t>
      </w:r>
      <w:r w:rsidR="00D44AC6">
        <w:rPr>
          <w:rFonts w:ascii="Arial" w:hAnsi="Arial" w:cs="Arial"/>
        </w:rPr>
        <w:t>in</w:t>
      </w:r>
      <w:r w:rsidRPr="00225AB0">
        <w:rPr>
          <w:rFonts w:ascii="Arial" w:hAnsi="Arial" w:cs="Arial"/>
        </w:rPr>
        <w:t xml:space="preserve"> the primary visual cortex are retinotopically organised; the centre of the visual field is represented in the fovea and the periphery is located more anteriorly </w:t>
      </w:r>
      <w:r w:rsidR="00D44AC6">
        <w:rPr>
          <w:rFonts w:ascii="Arial" w:hAnsi="Arial" w:cs="Arial"/>
        </w:rPr>
        <w:t>in</w:t>
      </w:r>
      <w:r w:rsidRPr="00225AB0">
        <w:rPr>
          <w:rFonts w:ascii="Arial" w:hAnsi="Arial" w:cs="Arial"/>
        </w:rPr>
        <w:t xml:space="preserve"> the calcarine sulcus </w:t>
      </w:r>
      <w:r w:rsidRPr="00225AB0">
        <w:rPr>
          <w:rFonts w:ascii="Arial" w:hAnsi="Arial" w:cs="Arial"/>
        </w:rPr>
        <w:fldChar w:fldCharType="begin"/>
      </w:r>
      <w:r w:rsidR="00995B3D">
        <w:rPr>
          <w:rFonts w:ascii="Arial" w:hAnsi="Arial" w:cs="Arial"/>
        </w:rPr>
        <w:instrText xml:space="preserve"> ADDIN ZOTERO_ITEM CSL_CITATION {"citationID":"hYP3kVdo","properties":{"formattedCitation":"(Holmes, 1918)","plainCitation":"(Holmes, 1918)","noteIndex":0},"citationItems":[{"id":169,"uris":["http://zotero.org/groups/318634/items/4CGIGP6W"],"uri":["http://zotero.org/groups/318634/items/4CGIGP6W"],"itemData":{"id":169,"type":"article-journal","title":"DISTURBANCES OF VISION BY CEREBRAL LESIONS","container-title":"The British Journal of Ophthalmology","page":"353-384","volume":"2","issue":"7","source":"PubMed Central","ISSN":"0007-1161","note":"PMID: 18167806\nPMCID: PMC513514","journalAbbreviation":"Br J Ophthalmol","author":[{"family":"Holmes","given":"Gordon"}],"issued":{"date-parts":[["1918",7]]}}}],"schema":"https://github.com/citation-style-language/schema/raw/master/csl-citation.json"} </w:instrText>
      </w:r>
      <w:r w:rsidRPr="00225AB0">
        <w:rPr>
          <w:rFonts w:ascii="Arial" w:hAnsi="Arial" w:cs="Arial"/>
        </w:rPr>
        <w:fldChar w:fldCharType="separate"/>
      </w:r>
      <w:r w:rsidRPr="00225AB0">
        <w:rPr>
          <w:rFonts w:ascii="Arial" w:hAnsi="Arial" w:cs="Arial"/>
          <w:noProof/>
        </w:rPr>
        <w:t>(Holmes, 1918)</w:t>
      </w:r>
      <w:r w:rsidRPr="00225AB0">
        <w:rPr>
          <w:rFonts w:ascii="Arial" w:hAnsi="Arial" w:cs="Arial"/>
        </w:rPr>
        <w:fldChar w:fldCharType="end"/>
      </w:r>
      <w:r w:rsidRPr="00225AB0">
        <w:rPr>
          <w:rFonts w:ascii="Arial" w:hAnsi="Arial" w:cs="Arial"/>
        </w:rPr>
        <w:t xml:space="preserve">. The organisation of information </w:t>
      </w:r>
      <w:r w:rsidR="00D44AC6">
        <w:rPr>
          <w:rFonts w:ascii="Arial" w:hAnsi="Arial" w:cs="Arial"/>
        </w:rPr>
        <w:t>in</w:t>
      </w:r>
      <w:r w:rsidRPr="00225AB0">
        <w:rPr>
          <w:rFonts w:ascii="Arial" w:hAnsi="Arial" w:cs="Arial"/>
        </w:rPr>
        <w:t xml:space="preserve"> primary visual cortex is also dependent upon hemisphere. The left hemisphere V1 receives information from the right visual hemifield, and vice versa.  Additionally, neurons located dorsally </w:t>
      </w:r>
      <w:r w:rsidR="00D44AC6">
        <w:rPr>
          <w:rFonts w:ascii="Arial" w:hAnsi="Arial" w:cs="Arial"/>
        </w:rPr>
        <w:t>in</w:t>
      </w:r>
      <w:r w:rsidRPr="00225AB0">
        <w:rPr>
          <w:rFonts w:ascii="Arial" w:hAnsi="Arial" w:cs="Arial"/>
        </w:rPr>
        <w:t xml:space="preserve"> V1 receive information from the lower quadrant of </w:t>
      </w:r>
      <w:r w:rsidRPr="00225AB0">
        <w:rPr>
          <w:rFonts w:ascii="Arial" w:hAnsi="Arial" w:cs="Arial"/>
        </w:rPr>
        <w:lastRenderedPageBreak/>
        <w:t xml:space="preserve">their respective visual hemifields, whilst neurons in the ventral aspects of V1 represent the upper quadrants of the visual field. In summary, the representation of the visual field is reversed and flipped to form a retinotopic map of visual space </w:t>
      </w:r>
      <w:r w:rsidR="00D44AC6">
        <w:rPr>
          <w:rFonts w:ascii="Arial" w:hAnsi="Arial" w:cs="Arial"/>
        </w:rPr>
        <w:t>in</w:t>
      </w:r>
      <w:r w:rsidRPr="00225AB0">
        <w:rPr>
          <w:rFonts w:ascii="Arial" w:hAnsi="Arial" w:cs="Arial"/>
        </w:rPr>
        <w:t xml:space="preserve"> V1. The ability to map this organisation through fMRI was first identified by </w:t>
      </w:r>
      <w:r w:rsidRPr="00225AB0">
        <w:rPr>
          <w:rFonts w:ascii="Arial" w:hAnsi="Arial" w:cs="Arial"/>
        </w:rPr>
        <w:fldChar w:fldCharType="begin"/>
      </w:r>
      <w:r w:rsidR="005B4361">
        <w:rPr>
          <w:rFonts w:ascii="Arial" w:hAnsi="Arial" w:cs="Arial"/>
        </w:rPr>
        <w:instrText xml:space="preserve"> ADDIN ZOTERO_ITEM CSL_CITATION {"citationID":"Hd6hgcpk","properties":{"formattedCitation":"(S. A. Engel et al., 1994)","plainCitation":"(S. A. Engel et al., 1994)","dontUpdate":true,"noteIndex":0},"citationItems":[{"id":168,"uris":["http://zotero.org/groups/318634/items/2Z4HEZF2"],"uri":["http://zotero.org/groups/318634/items/2Z4HEZF2"],"itemData":{"id":168,"type":"article-journal","title":"fMRI of human visual cortex","container-title":"Nature","page":"525","volume":"369","issue":"6481","source":"PubMed","DOI":"10.1038/369525a0","ISSN":"0028-0836","note":"PMID: 8031403","journalAbbreviation":"Nature","language":"eng","author":[{"family":"Engel","given":"S. A."},{"family":"Rumelhart","given":"D. E."},{"family":"Wandell","given":"B. A."},{"family":"Lee","given":"A. T."},{"family":"Glover","given":"G. H."},{"family":"Chichilnisky","given":"E. J."},{"family":"Shadlen","given":"M. N."}],"issued":{"date-parts":[["1994",6,16]]}}}],"schema":"https://github.com/citation-style-language/schema/raw/master/csl-citation.json"} </w:instrText>
      </w:r>
      <w:r w:rsidRPr="00225AB0">
        <w:rPr>
          <w:rFonts w:ascii="Arial" w:hAnsi="Arial" w:cs="Arial"/>
        </w:rPr>
        <w:fldChar w:fldCharType="separate"/>
      </w:r>
      <w:r w:rsidRPr="00225AB0">
        <w:rPr>
          <w:rFonts w:ascii="Arial" w:hAnsi="Arial" w:cs="Arial"/>
          <w:noProof/>
        </w:rPr>
        <w:t>Engel et al., (1994)</w:t>
      </w:r>
      <w:r w:rsidRPr="00225AB0">
        <w:rPr>
          <w:rFonts w:ascii="Arial" w:hAnsi="Arial" w:cs="Arial"/>
        </w:rPr>
        <w:fldChar w:fldCharType="end"/>
      </w:r>
      <w:r w:rsidRPr="00225AB0">
        <w:rPr>
          <w:rFonts w:ascii="Arial" w:hAnsi="Arial" w:cs="Arial"/>
        </w:rPr>
        <w:t xml:space="preserve">. It is now possible to map many areas of the visual cortex retinotopically on the basis of characteristic visual field representations </w:t>
      </w:r>
      <w:r w:rsidRPr="00225AB0">
        <w:rPr>
          <w:rFonts w:ascii="Arial" w:hAnsi="Arial" w:cs="Arial"/>
        </w:rPr>
        <w:fldChar w:fldCharType="begin"/>
      </w:r>
      <w:r w:rsidR="005B4361">
        <w:rPr>
          <w:rFonts w:ascii="Arial" w:hAnsi="Arial" w:cs="Arial"/>
        </w:rPr>
        <w:instrText xml:space="preserve"> ADDIN ZOTERO_ITEM CSL_CITATION {"citationID":"fo0Q0f6n","properties":{"formattedCitation":"(Wandell, Dumoulin, &amp; Brewer, 2007)","plainCitation":"(Wandell, Dumoulin, &amp; Brewer, 2007)","dontUpdate":true,"noteIndex":0},"citationItems":[{"id":214,"uris":["http://zotero.org/groups/318634/items/Z883U2GA"],"uri":["http://zotero.org/groups/318634/items/Z883U2GA"],"itemData":{"id":214,"type":"article-journal","title":"Visual field maps in human cortex","container-title":"Neuron","page":"366–383","volume":"56","issue":"2","source":"Google Scholar","author":[{"family":"Wandell","given":"Brian A."},{"family":"Dumoulin","given":"Serge O."},{"family":"Brewer","given":"Alyssa A."}],"issued":{"date-parts":[["2007"]]}}}],"schema":"https://github.com/citation-style-language/schema/raw/master/csl-citation.json"} </w:instrText>
      </w:r>
      <w:r w:rsidRPr="00225AB0">
        <w:rPr>
          <w:rFonts w:ascii="Arial" w:hAnsi="Arial" w:cs="Arial"/>
        </w:rPr>
        <w:fldChar w:fldCharType="separate"/>
      </w:r>
      <w:r w:rsidRPr="00225AB0">
        <w:rPr>
          <w:rFonts w:ascii="Arial" w:hAnsi="Arial" w:cs="Arial"/>
          <w:noProof/>
        </w:rPr>
        <w:t>(see Wandell, Dumoulin, &amp; Brewer, 2007)</w:t>
      </w:r>
      <w:r w:rsidRPr="00225AB0">
        <w:rPr>
          <w:rFonts w:ascii="Arial" w:hAnsi="Arial" w:cs="Arial"/>
        </w:rPr>
        <w:fldChar w:fldCharType="end"/>
      </w:r>
      <w:r w:rsidR="00697512">
        <w:rPr>
          <w:rFonts w:ascii="Arial" w:hAnsi="Arial" w:cs="Arial"/>
        </w:rPr>
        <w:t xml:space="preserve"> (see Figure </w:t>
      </w:r>
      <w:r w:rsidR="007B68C2">
        <w:rPr>
          <w:rFonts w:ascii="Arial" w:hAnsi="Arial" w:cs="Arial"/>
          <w:noProof/>
          <w:lang w:eastAsia="en-GB"/>
        </w:rPr>
        <mc:AlternateContent>
          <mc:Choice Requires="wps">
            <w:drawing>
              <wp:anchor distT="0" distB="0" distL="114300" distR="114300" simplePos="0" relativeHeight="251772928" behindDoc="1" locked="0" layoutInCell="1" allowOverlap="1" wp14:anchorId="1905C195" wp14:editId="75BEDA98">
                <wp:simplePos x="0" y="0"/>
                <wp:positionH relativeFrom="column">
                  <wp:posOffset>-87630</wp:posOffset>
                </wp:positionH>
                <wp:positionV relativeFrom="paragraph">
                  <wp:posOffset>2929255</wp:posOffset>
                </wp:positionV>
                <wp:extent cx="5291455" cy="5840730"/>
                <wp:effectExtent l="0" t="0" r="0" b="0"/>
                <wp:wrapTight wrapText="bothSides">
                  <wp:wrapPolygon edited="0">
                    <wp:start x="259" y="47"/>
                    <wp:lineTo x="259" y="21511"/>
                    <wp:lineTo x="21307" y="21511"/>
                    <wp:lineTo x="21307" y="47"/>
                    <wp:lineTo x="259" y="47"/>
                  </wp:wrapPolygon>
                </wp:wrapTight>
                <wp:docPr id="105" name="Text Box 105"/>
                <wp:cNvGraphicFramePr/>
                <a:graphic xmlns:a="http://schemas.openxmlformats.org/drawingml/2006/main">
                  <a:graphicData uri="http://schemas.microsoft.com/office/word/2010/wordprocessingShape">
                    <wps:wsp>
                      <wps:cNvSpPr txBox="1"/>
                      <wps:spPr>
                        <a:xfrm>
                          <a:off x="0" y="0"/>
                          <a:ext cx="5291455" cy="5840730"/>
                        </a:xfrm>
                        <a:prstGeom prst="rect">
                          <a:avLst/>
                        </a:prstGeom>
                        <a:noFill/>
                        <a:ln w="6350">
                          <a:noFill/>
                        </a:ln>
                      </wps:spPr>
                      <wps:txbx>
                        <w:txbxContent>
                          <w:p w14:paraId="61F3F86A" w14:textId="77777777" w:rsidR="00C93BE0" w:rsidRDefault="00C93BE0" w:rsidP="009F3085">
                            <w:pPr>
                              <w:keepNext/>
                              <w:jc w:val="center"/>
                            </w:pPr>
                            <w:r>
                              <w:rPr>
                                <w:noProof/>
                                <w:lang w:eastAsia="en-GB"/>
                              </w:rPr>
                              <w:drawing>
                                <wp:inline distT="0" distB="0" distL="0" distR="0" wp14:anchorId="1DCB1570" wp14:editId="13023299">
                                  <wp:extent cx="5102225" cy="4451985"/>
                                  <wp:effectExtent l="0" t="0" r="3175"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2-retinotopy.png"/>
                                          <pic:cNvPicPr/>
                                        </pic:nvPicPr>
                                        <pic:blipFill>
                                          <a:blip r:embed="rId10">
                                            <a:extLst>
                                              <a:ext uri="{28A0092B-C50C-407E-A947-70E740481C1C}">
                                                <a14:useLocalDpi xmlns:a14="http://schemas.microsoft.com/office/drawing/2010/main" val="0"/>
                                              </a:ext>
                                            </a:extLst>
                                          </a:blip>
                                          <a:stretch>
                                            <a:fillRect/>
                                          </a:stretch>
                                        </pic:blipFill>
                                        <pic:spPr>
                                          <a:xfrm>
                                            <a:off x="0" y="0"/>
                                            <a:ext cx="5102225" cy="4451985"/>
                                          </a:xfrm>
                                          <a:prstGeom prst="rect">
                                            <a:avLst/>
                                          </a:prstGeom>
                                        </pic:spPr>
                                      </pic:pic>
                                    </a:graphicData>
                                  </a:graphic>
                                </wp:inline>
                              </w:drawing>
                            </w:r>
                          </w:p>
                          <w:p w14:paraId="678DE2BB" w14:textId="599A4C84" w:rsidR="00C93BE0" w:rsidRPr="002A698F" w:rsidRDefault="00C93BE0" w:rsidP="009F3085">
                            <w:pPr>
                              <w:pStyle w:val="Caption"/>
                              <w:spacing w:line="360" w:lineRule="auto"/>
                              <w:jc w:val="both"/>
                              <w:rPr>
                                <w:rFonts w:ascii="Arial" w:hAnsi="Arial" w:cs="Arial"/>
                                <w:i w:val="0"/>
                                <w:color w:val="000000" w:themeColor="text1"/>
                                <w:sz w:val="24"/>
                                <w:szCs w:val="24"/>
                              </w:rPr>
                            </w:pPr>
                            <w:bookmarkStart w:id="88" w:name="_Toc12363333"/>
                            <w:bookmarkStart w:id="89" w:name="_Toc16242690"/>
                            <w:r w:rsidRPr="002A698F">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2A698F">
                              <w:rPr>
                                <w:rFonts w:ascii="Arial" w:hAnsi="Arial" w:cs="Arial"/>
                                <w:i w:val="0"/>
                                <w:color w:val="000000" w:themeColor="text1"/>
                                <w:sz w:val="24"/>
                                <w:szCs w:val="24"/>
                              </w:rPr>
                              <w:t xml:space="preserve"> Retinotopic mapping of early visual cortex. Regions of interest (ROIs) are defined on the basis of their eccentricity (top left) and polar angle (bottom left) on flat maps (</w:t>
                            </w:r>
                            <w:r>
                              <w:rPr>
                                <w:rFonts w:ascii="Arial" w:hAnsi="Arial" w:cs="Arial"/>
                                <w:i w:val="0"/>
                                <w:color w:val="000000" w:themeColor="text1"/>
                                <w:sz w:val="24"/>
                                <w:szCs w:val="24"/>
                              </w:rPr>
                              <w:t>A</w:t>
                            </w:r>
                            <w:r w:rsidRPr="002A698F">
                              <w:rPr>
                                <w:rFonts w:ascii="Arial" w:hAnsi="Arial" w:cs="Arial"/>
                                <w:i w:val="0"/>
                                <w:color w:val="000000" w:themeColor="text1"/>
                                <w:sz w:val="24"/>
                                <w:szCs w:val="24"/>
                              </w:rPr>
                              <w:t>) and the inflated cortical surface (</w:t>
                            </w:r>
                            <w:r>
                              <w:rPr>
                                <w:rFonts w:ascii="Arial" w:hAnsi="Arial" w:cs="Arial"/>
                                <w:i w:val="0"/>
                                <w:color w:val="000000" w:themeColor="text1"/>
                                <w:sz w:val="24"/>
                                <w:szCs w:val="24"/>
                              </w:rPr>
                              <w:t>B-left eccentricity, right polar angle</w:t>
                            </w:r>
                            <w:r w:rsidRPr="002A698F">
                              <w:rPr>
                                <w:rFonts w:ascii="Arial" w:hAnsi="Arial" w:cs="Arial"/>
                                <w:i w:val="0"/>
                                <w:color w:val="000000" w:themeColor="text1"/>
                                <w:sz w:val="24"/>
                                <w:szCs w:val="24"/>
                              </w:rPr>
                              <w:t xml:space="preserve">) </w:t>
                            </w:r>
                            <w:r w:rsidRPr="002A698F">
                              <w:rPr>
                                <w:rFonts w:ascii="Arial" w:hAnsi="Arial" w:cs="Arial"/>
                                <w:i w:val="0"/>
                                <w:color w:val="000000" w:themeColor="text1"/>
                                <w:sz w:val="24"/>
                                <w:szCs w:val="24"/>
                              </w:rPr>
                              <w:fldChar w:fldCharType="begin"/>
                            </w:r>
                            <w:r w:rsidRPr="002A698F">
                              <w:rPr>
                                <w:rFonts w:ascii="Arial" w:hAnsi="Arial" w:cs="Arial"/>
                                <w:i w:val="0"/>
                                <w:color w:val="000000" w:themeColor="text1"/>
                                <w:sz w:val="24"/>
                                <w:szCs w:val="24"/>
                              </w:rPr>
                              <w:instrText xml:space="preserve"> ADDIN ZOTERO_ITEM CSL_CITATION {"citationID":"4fj52cSo","properties":{"formattedCitation":"(Mackey, Winawer, &amp; Curtis, 2017)","plainCitation":"(Mackey, Winawer, &amp; Curtis, 2017)","noteIndex":0},"citationItems":[{"id":1034,"uris":["http://zotero.org/groups/318634/items/RITBZ7P3"],"uri":["http://zotero.org/groups/318634/items/RITBZ7P3"],"itemData":{"id":1034,"type":"article-journal","title":"Visual field map clusters in human frontoparietal cortex","container-title":"eLife","volume":"6","source":"PubMed","abstract":"The visual neurosciences have made enormous progress in recent decades, in part because of the ability to drive visual areas by their sensory inputs, allowing researchers to define visual areas reliably across individuals and across species. Similar strategies for parcellating higher-order cortex have proven elusive. Here, using a novel experimental task and nonlinear population receptive field modeling, we map and characterize the topographic organization of several regions in human frontoparietal cortex. We discover representations of both polar angle and eccentricity that are organized into clusters, similar to visual cortex, where multiple gradients of polar angle of the contralateral visual field share a confluent fovea. This is striking because neural activity in frontoparietal cortex is believed to reflect higher-order cognitive functions rather than external sensory processing. Perhaps the spatial topography in frontoparietal cortex parallels the retinotopic organization of sensory cortex to enable an efficient interface between perception and higher-order cognitive processes. Critically, these visual maps constitute well-defined anatomical units that future studies of frontoparietal cortex can reliably target.","DOI":"10.7554/eLife.22974","ISSN":"2050-084X","note":"PMID: 28628004\nPMCID: PMC5491263","journalAbbreviation":"Elife","language":"eng","author":[{"family":"Mackey","given":"Wayne E."},{"family":"Winawer","given":"Jonathan"},{"family":"Curtis","given":"Clayton E."}],"issued":{"date-parts":[["2017"]],"season":"19"}}}],"schema":"https://github.com/citation-style-language/schema/raw/master/csl-citation.json"} </w:instrText>
                            </w:r>
                            <w:r w:rsidRPr="002A698F">
                              <w:rPr>
                                <w:rFonts w:ascii="Arial" w:hAnsi="Arial" w:cs="Arial"/>
                                <w:i w:val="0"/>
                                <w:color w:val="000000" w:themeColor="text1"/>
                                <w:sz w:val="24"/>
                                <w:szCs w:val="24"/>
                              </w:rPr>
                              <w:fldChar w:fldCharType="separate"/>
                            </w:r>
                            <w:r w:rsidRPr="002A698F">
                              <w:rPr>
                                <w:rFonts w:ascii="Arial" w:hAnsi="Arial" w:cs="Arial"/>
                                <w:i w:val="0"/>
                                <w:noProof/>
                                <w:color w:val="000000" w:themeColor="text1"/>
                                <w:sz w:val="24"/>
                                <w:szCs w:val="24"/>
                              </w:rPr>
                              <w:t>(</w:t>
                            </w:r>
                            <w:r>
                              <w:rPr>
                                <w:rFonts w:ascii="Arial" w:hAnsi="Arial" w:cs="Arial"/>
                                <w:i w:val="0"/>
                                <w:noProof/>
                                <w:color w:val="000000" w:themeColor="text1"/>
                                <w:sz w:val="24"/>
                                <w:szCs w:val="24"/>
                              </w:rPr>
                              <w:t xml:space="preserve">Figure from </w:t>
                            </w:r>
                            <w:r w:rsidRPr="002A698F">
                              <w:rPr>
                                <w:rFonts w:ascii="Arial" w:hAnsi="Arial" w:cs="Arial"/>
                                <w:i w:val="0"/>
                                <w:noProof/>
                                <w:color w:val="000000" w:themeColor="text1"/>
                                <w:sz w:val="24"/>
                                <w:szCs w:val="24"/>
                              </w:rPr>
                              <w:t>Mackey, Winawer, &amp; Curtis, 2017)</w:t>
                            </w:r>
                            <w:r w:rsidRPr="002A698F">
                              <w:rPr>
                                <w:rFonts w:ascii="Arial" w:hAnsi="Arial" w:cs="Arial"/>
                                <w:i w:val="0"/>
                                <w:color w:val="000000" w:themeColor="text1"/>
                                <w:sz w:val="24"/>
                                <w:szCs w:val="24"/>
                              </w:rPr>
                              <w:fldChar w:fldCharType="end"/>
                            </w:r>
                            <w:r w:rsidRPr="002A698F">
                              <w:rPr>
                                <w:rFonts w:ascii="Arial" w:hAnsi="Arial" w:cs="Arial"/>
                                <w:i w:val="0"/>
                                <w:color w:val="000000" w:themeColor="text1"/>
                                <w:sz w:val="24"/>
                                <w:szCs w:val="24"/>
                              </w:rPr>
                              <w:t>.</w:t>
                            </w:r>
                            <w:bookmarkEnd w:id="88"/>
                            <w:bookmarkEnd w:id="89"/>
                          </w:p>
                          <w:p w14:paraId="4940132C" w14:textId="77777777" w:rsidR="00C93BE0" w:rsidRDefault="00C93BE0" w:rsidP="009F3085">
                            <w:pPr>
                              <w:keepNext/>
                              <w:jc w:val="center"/>
                            </w:pPr>
                          </w:p>
                          <w:p w14:paraId="3A2C66C3" w14:textId="77777777" w:rsidR="00C93BE0" w:rsidRDefault="00C93BE0" w:rsidP="009F3085">
                            <w:pPr>
                              <w:spacing w:line="480" w:lineRule="auto"/>
                              <w:jc w:val="both"/>
                              <w:rPr>
                                <w:rFonts w:ascii="Arial" w:hAnsi="Arial" w:cs="Arial"/>
                              </w:rPr>
                            </w:pPr>
                            <w:r w:rsidRPr="00AD72F0">
                              <w:rPr>
                                <w:rFonts w:ascii="Arial" w:hAnsi="Arial" w:cs="Arial"/>
                                <w:b/>
                                <w:color w:val="000000" w:themeColor="text1"/>
                              </w:rPr>
                              <w:t xml:space="preserve"> </w:t>
                            </w:r>
                          </w:p>
                          <w:p w14:paraId="546F1045" w14:textId="77777777" w:rsidR="00C93BE0" w:rsidRPr="00AD72F0" w:rsidRDefault="00C93BE0" w:rsidP="009F3085">
                            <w:pPr>
                              <w:pStyle w:val="Caption"/>
                              <w:spacing w:line="480" w:lineRule="auto"/>
                              <w:jc w:val="both"/>
                              <w:rPr>
                                <w:rFonts w:ascii="Arial" w:hAnsi="Arial" w:cs="Arial"/>
                                <w:i w:val="0"/>
                                <w:color w:val="000000" w:themeColor="text1"/>
                                <w:sz w:val="24"/>
                                <w:szCs w:val="24"/>
                              </w:rPr>
                            </w:pPr>
                            <w:r>
                              <w:rPr>
                                <w:rFonts w:ascii="Arial" w:hAnsi="Arial" w:cs="Arial"/>
                                <w:i w:val="0"/>
                                <w:color w:val="000000" w:themeColor="text1"/>
                                <w:sz w:val="24"/>
                                <w:szCs w:val="24"/>
                              </w:rPr>
                              <w:t xml:space="preserve"> </w:t>
                            </w:r>
                          </w:p>
                          <w:p w14:paraId="43D00135"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5C195" id="Text Box 105" o:spid="_x0000_s1027" type="#_x0000_t202" style="position:absolute;margin-left:-6.9pt;margin-top:230.65pt;width:416.65pt;height:459.9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" filled="f" stroked="f" strokeweight=".5pt">
                <v:textbox>
                  <w:txbxContent>
                    <w:p w14:paraId="61F3F86A" w14:textId="77777777" w:rsidR="00C93BE0" w:rsidRDefault="00C93BE0" w:rsidP="009F3085">
                      <w:pPr>
                        <w:keepNext/>
                        <w:jc w:val="center"/>
                      </w:pPr>
                      <w:r>
                        <w:rPr>
                          <w:noProof/>
                          <w:lang w:eastAsia="en-GB"/>
                        </w:rPr>
                        <w:drawing>
                          <wp:inline distT="0" distB="0" distL="0" distR="0" wp14:anchorId="1DCB1570" wp14:editId="13023299">
                            <wp:extent cx="5102225" cy="4451985"/>
                            <wp:effectExtent l="0" t="0" r="3175"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2-retinotopy.png"/>
                                    <pic:cNvPicPr/>
                                  </pic:nvPicPr>
                                  <pic:blipFill>
                                    <a:blip r:embed="rId11">
                                      <a:extLst>
                                        <a:ext uri="{28A0092B-C50C-407E-A947-70E740481C1C}">
                                          <a14:useLocalDpi xmlns:a14="http://schemas.microsoft.com/office/drawing/2010/main" val="0"/>
                                        </a:ext>
                                      </a:extLst>
                                    </a:blip>
                                    <a:stretch>
                                      <a:fillRect/>
                                    </a:stretch>
                                  </pic:blipFill>
                                  <pic:spPr>
                                    <a:xfrm>
                                      <a:off x="0" y="0"/>
                                      <a:ext cx="5102225" cy="4451985"/>
                                    </a:xfrm>
                                    <a:prstGeom prst="rect">
                                      <a:avLst/>
                                    </a:prstGeom>
                                  </pic:spPr>
                                </pic:pic>
                              </a:graphicData>
                            </a:graphic>
                          </wp:inline>
                        </w:drawing>
                      </w:r>
                    </w:p>
                    <w:p w14:paraId="678DE2BB" w14:textId="599A4C84" w:rsidR="00C93BE0" w:rsidRPr="002A698F" w:rsidRDefault="00C93BE0" w:rsidP="009F3085">
                      <w:pPr>
                        <w:pStyle w:val="Caption"/>
                        <w:spacing w:line="360" w:lineRule="auto"/>
                        <w:jc w:val="both"/>
                        <w:rPr>
                          <w:rFonts w:ascii="Arial" w:hAnsi="Arial" w:cs="Arial"/>
                          <w:i w:val="0"/>
                          <w:color w:val="000000" w:themeColor="text1"/>
                          <w:sz w:val="24"/>
                          <w:szCs w:val="24"/>
                        </w:rPr>
                      </w:pPr>
                      <w:bookmarkStart w:id="92" w:name="_Toc12363333"/>
                      <w:bookmarkStart w:id="93" w:name="_Toc16242690"/>
                      <w:r w:rsidRPr="002A698F">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2A698F">
                        <w:rPr>
                          <w:rFonts w:ascii="Arial" w:hAnsi="Arial" w:cs="Arial"/>
                          <w:i w:val="0"/>
                          <w:color w:val="000000" w:themeColor="text1"/>
                          <w:sz w:val="24"/>
                          <w:szCs w:val="24"/>
                        </w:rPr>
                        <w:t xml:space="preserve"> Retinotopic mapping of early visual cortex. Regions of interest (ROIs) are defined on the basis of their eccentricity (top left) and polar angle (bottom left) on flat maps (</w:t>
                      </w:r>
                      <w:r>
                        <w:rPr>
                          <w:rFonts w:ascii="Arial" w:hAnsi="Arial" w:cs="Arial"/>
                          <w:i w:val="0"/>
                          <w:color w:val="000000" w:themeColor="text1"/>
                          <w:sz w:val="24"/>
                          <w:szCs w:val="24"/>
                        </w:rPr>
                        <w:t>A</w:t>
                      </w:r>
                      <w:r w:rsidRPr="002A698F">
                        <w:rPr>
                          <w:rFonts w:ascii="Arial" w:hAnsi="Arial" w:cs="Arial"/>
                          <w:i w:val="0"/>
                          <w:color w:val="000000" w:themeColor="text1"/>
                          <w:sz w:val="24"/>
                          <w:szCs w:val="24"/>
                        </w:rPr>
                        <w:t>) and the inflated cortical surface (</w:t>
                      </w:r>
                      <w:r>
                        <w:rPr>
                          <w:rFonts w:ascii="Arial" w:hAnsi="Arial" w:cs="Arial"/>
                          <w:i w:val="0"/>
                          <w:color w:val="000000" w:themeColor="text1"/>
                          <w:sz w:val="24"/>
                          <w:szCs w:val="24"/>
                        </w:rPr>
                        <w:t>B-left eccentricity, right polar angle</w:t>
                      </w:r>
                      <w:r w:rsidRPr="002A698F">
                        <w:rPr>
                          <w:rFonts w:ascii="Arial" w:hAnsi="Arial" w:cs="Arial"/>
                          <w:i w:val="0"/>
                          <w:color w:val="000000" w:themeColor="text1"/>
                          <w:sz w:val="24"/>
                          <w:szCs w:val="24"/>
                        </w:rPr>
                        <w:t xml:space="preserve">) </w:t>
                      </w:r>
                      <w:r w:rsidRPr="002A698F">
                        <w:rPr>
                          <w:rFonts w:ascii="Arial" w:hAnsi="Arial" w:cs="Arial"/>
                          <w:i w:val="0"/>
                          <w:color w:val="000000" w:themeColor="text1"/>
                          <w:sz w:val="24"/>
                          <w:szCs w:val="24"/>
                        </w:rPr>
                        <w:fldChar w:fldCharType="begin"/>
                      </w:r>
                      <w:r w:rsidRPr="002A698F">
                        <w:rPr>
                          <w:rFonts w:ascii="Arial" w:hAnsi="Arial" w:cs="Arial"/>
                          <w:i w:val="0"/>
                          <w:color w:val="000000" w:themeColor="text1"/>
                          <w:sz w:val="24"/>
                          <w:szCs w:val="24"/>
                        </w:rPr>
                        <w:instrText xml:space="preserve"> ADDIN ZOTERO_ITEM CSL_CITATION {"citationID":"4fj52cSo","properties":{"formattedCitation":"(Mackey, Winawer, &amp; Curtis, 2017)","plainCitation":"(Mackey, Winawer, &amp; Curtis, 2017)","noteIndex":0},"citationItems":[{"id":1034,"uris":["http://zotero.org/groups/318634/items/RITBZ7P3"],"uri":["http://zotero.org/groups/318634/items/RITBZ7P3"],"itemData":{"id":1034,"type":"article-journal","title":"Visual field map clusters in human frontoparietal cortex","container-title":"eLife","volume":"6","source":"PubMed","abstract":"The visual neurosciences have made enormous progress in recent decades, in part because of the ability to drive visual areas by their sensory inputs, allowing researchers to define visual areas reliably across individuals and across species. Similar strategies for parcellating higher-order cortex have proven elusive. Here, using a novel experimental task and nonlinear population receptive field modeling, we map and characterize the topographic organization of several regions in human frontoparietal cortex. We discover representations of both polar angle and eccentricity that are organized into clusters, similar to visual cortex, where multiple gradients of polar angle of the contralateral visual field share a confluent fovea. This is striking because neural activity in frontoparietal cortex is believed to reflect higher-order cognitive functions rather than external sensory processing. Perhaps the spatial topography in frontoparietal cortex parallels the retinotopic organization of sensory cortex to enable an efficient interface between perception and higher-order cognitive processes. Critically, these visual maps constitute well-defined anatomical units that future studies of frontoparietal cortex can reliably target.","DOI":"10.7554/eLife.22974","ISSN":"2050-084X","note":"PMID: 28628004\nPMCID: PMC5491263","journalAbbreviation":"Elife","language":"eng","author":[{"family":"Mackey","given":"Wayne E."},{"family":"Winawer","given":"Jonathan"},{"family":"Curtis","given":"Clayton E."}],"issued":{"date-parts":[["2017"]],"season":"19"}}}],"schema":"https://github.com/citation-style-language/schema/raw/master/csl-citation.json"} </w:instrText>
                      </w:r>
                      <w:r w:rsidRPr="002A698F">
                        <w:rPr>
                          <w:rFonts w:ascii="Arial" w:hAnsi="Arial" w:cs="Arial"/>
                          <w:i w:val="0"/>
                          <w:color w:val="000000" w:themeColor="text1"/>
                          <w:sz w:val="24"/>
                          <w:szCs w:val="24"/>
                        </w:rPr>
                        <w:fldChar w:fldCharType="separate"/>
                      </w:r>
                      <w:r w:rsidRPr="002A698F">
                        <w:rPr>
                          <w:rFonts w:ascii="Arial" w:hAnsi="Arial" w:cs="Arial"/>
                          <w:i w:val="0"/>
                          <w:noProof/>
                          <w:color w:val="000000" w:themeColor="text1"/>
                          <w:sz w:val="24"/>
                          <w:szCs w:val="24"/>
                        </w:rPr>
                        <w:t>(</w:t>
                      </w:r>
                      <w:r>
                        <w:rPr>
                          <w:rFonts w:ascii="Arial" w:hAnsi="Arial" w:cs="Arial"/>
                          <w:i w:val="0"/>
                          <w:noProof/>
                          <w:color w:val="000000" w:themeColor="text1"/>
                          <w:sz w:val="24"/>
                          <w:szCs w:val="24"/>
                        </w:rPr>
                        <w:t xml:space="preserve">Figure from </w:t>
                      </w:r>
                      <w:r w:rsidRPr="002A698F">
                        <w:rPr>
                          <w:rFonts w:ascii="Arial" w:hAnsi="Arial" w:cs="Arial"/>
                          <w:i w:val="0"/>
                          <w:noProof/>
                          <w:color w:val="000000" w:themeColor="text1"/>
                          <w:sz w:val="24"/>
                          <w:szCs w:val="24"/>
                        </w:rPr>
                        <w:t>Mackey, Winawer, &amp; Curtis, 2017)</w:t>
                      </w:r>
                      <w:r w:rsidRPr="002A698F">
                        <w:rPr>
                          <w:rFonts w:ascii="Arial" w:hAnsi="Arial" w:cs="Arial"/>
                          <w:i w:val="0"/>
                          <w:color w:val="000000" w:themeColor="text1"/>
                          <w:sz w:val="24"/>
                          <w:szCs w:val="24"/>
                        </w:rPr>
                        <w:fldChar w:fldCharType="end"/>
                      </w:r>
                      <w:r w:rsidRPr="002A698F">
                        <w:rPr>
                          <w:rFonts w:ascii="Arial" w:hAnsi="Arial" w:cs="Arial"/>
                          <w:i w:val="0"/>
                          <w:color w:val="000000" w:themeColor="text1"/>
                          <w:sz w:val="24"/>
                          <w:szCs w:val="24"/>
                        </w:rPr>
                        <w:t>.</w:t>
                      </w:r>
                      <w:bookmarkEnd w:id="92"/>
                      <w:bookmarkEnd w:id="93"/>
                    </w:p>
                    <w:p w14:paraId="4940132C" w14:textId="77777777" w:rsidR="00C93BE0" w:rsidRDefault="00C93BE0" w:rsidP="009F3085">
                      <w:pPr>
                        <w:keepNext/>
                        <w:jc w:val="center"/>
                      </w:pPr>
                    </w:p>
                    <w:p w14:paraId="3A2C66C3" w14:textId="77777777" w:rsidR="00C93BE0" w:rsidRDefault="00C93BE0" w:rsidP="009F3085">
                      <w:pPr>
                        <w:spacing w:line="480" w:lineRule="auto"/>
                        <w:jc w:val="both"/>
                        <w:rPr>
                          <w:rFonts w:ascii="Arial" w:hAnsi="Arial" w:cs="Arial"/>
                        </w:rPr>
                      </w:pPr>
                      <w:r w:rsidRPr="00AD72F0">
                        <w:rPr>
                          <w:rFonts w:ascii="Arial" w:hAnsi="Arial" w:cs="Arial"/>
                          <w:b/>
                          <w:color w:val="000000" w:themeColor="text1"/>
                        </w:rPr>
                        <w:t xml:space="preserve"> </w:t>
                      </w:r>
                    </w:p>
                    <w:p w14:paraId="546F1045" w14:textId="77777777" w:rsidR="00C93BE0" w:rsidRPr="00AD72F0" w:rsidRDefault="00C93BE0" w:rsidP="009F3085">
                      <w:pPr>
                        <w:pStyle w:val="Caption"/>
                        <w:spacing w:line="480" w:lineRule="auto"/>
                        <w:jc w:val="both"/>
                        <w:rPr>
                          <w:rFonts w:ascii="Arial" w:hAnsi="Arial" w:cs="Arial"/>
                          <w:i w:val="0"/>
                          <w:color w:val="000000" w:themeColor="text1"/>
                          <w:sz w:val="24"/>
                          <w:szCs w:val="24"/>
                        </w:rPr>
                      </w:pPr>
                      <w:r>
                        <w:rPr>
                          <w:rFonts w:ascii="Arial" w:hAnsi="Arial" w:cs="Arial"/>
                          <w:i w:val="0"/>
                          <w:color w:val="000000" w:themeColor="text1"/>
                          <w:sz w:val="24"/>
                          <w:szCs w:val="24"/>
                        </w:rPr>
                        <w:t xml:space="preserve"> </w:t>
                      </w:r>
                    </w:p>
                    <w:p w14:paraId="43D00135" w14:textId="77777777" w:rsidR="00C93BE0" w:rsidRDefault="00C93BE0" w:rsidP="009F3085">
                      <w:pPr>
                        <w:jc w:val="center"/>
                      </w:pPr>
                    </w:p>
                  </w:txbxContent>
                </v:textbox>
                <w10:wrap type="tight"/>
              </v:shape>
            </w:pict>
          </mc:Fallback>
        </mc:AlternateContent>
      </w:r>
      <w:r w:rsidR="00697512">
        <w:rPr>
          <w:rFonts w:ascii="Arial" w:hAnsi="Arial" w:cs="Arial"/>
        </w:rPr>
        <w:t>1.2)</w:t>
      </w:r>
      <w:r w:rsidRPr="00225AB0">
        <w:rPr>
          <w:rFonts w:ascii="Arial" w:hAnsi="Arial" w:cs="Arial"/>
        </w:rPr>
        <w:t xml:space="preserve">. </w:t>
      </w:r>
    </w:p>
    <w:p w14:paraId="47D06217" w14:textId="77777777" w:rsidR="000C73FA" w:rsidRPr="00225AB0" w:rsidRDefault="000C73FA" w:rsidP="001811CC">
      <w:pPr>
        <w:pStyle w:val="Heading3"/>
        <w:numPr>
          <w:ilvl w:val="2"/>
          <w:numId w:val="2"/>
        </w:numPr>
        <w:rPr>
          <w:rFonts w:ascii="Arial" w:hAnsi="Arial" w:cs="Arial"/>
          <w:b/>
          <w:i/>
          <w:color w:val="000000" w:themeColor="text1"/>
          <w:sz w:val="28"/>
          <w:szCs w:val="28"/>
        </w:rPr>
      </w:pPr>
      <w:bookmarkStart w:id="90" w:name="_Toc11147950"/>
      <w:bookmarkStart w:id="91" w:name="_Toc11153901"/>
      <w:bookmarkStart w:id="92" w:name="_Toc11753607"/>
      <w:bookmarkStart w:id="93" w:name="_Toc11926793"/>
      <w:bookmarkStart w:id="94" w:name="_Toc11930021"/>
      <w:bookmarkStart w:id="95" w:name="_Toc16075337"/>
      <w:bookmarkStart w:id="96" w:name="_Toc16236965"/>
      <w:r w:rsidRPr="00225AB0">
        <w:rPr>
          <w:rFonts w:ascii="Arial" w:hAnsi="Arial" w:cs="Arial"/>
          <w:b/>
          <w:i/>
          <w:color w:val="000000" w:themeColor="text1"/>
          <w:sz w:val="28"/>
          <w:szCs w:val="28"/>
        </w:rPr>
        <w:lastRenderedPageBreak/>
        <w:t>Perception of visual features</w:t>
      </w:r>
      <w:bookmarkEnd w:id="90"/>
      <w:bookmarkEnd w:id="91"/>
      <w:bookmarkEnd w:id="92"/>
      <w:bookmarkEnd w:id="93"/>
      <w:bookmarkEnd w:id="94"/>
      <w:bookmarkEnd w:id="95"/>
      <w:bookmarkEnd w:id="96"/>
      <w:r w:rsidRPr="00225AB0">
        <w:rPr>
          <w:rFonts w:ascii="Arial" w:hAnsi="Arial" w:cs="Arial"/>
          <w:b/>
          <w:i/>
          <w:color w:val="000000" w:themeColor="text1"/>
          <w:sz w:val="28"/>
          <w:szCs w:val="28"/>
        </w:rPr>
        <w:t xml:space="preserve"> </w:t>
      </w:r>
    </w:p>
    <w:p w14:paraId="204FD81C" w14:textId="77777777" w:rsidR="00716B96" w:rsidRPr="00225AB0" w:rsidRDefault="00716B96" w:rsidP="00716B96">
      <w:pPr>
        <w:pStyle w:val="ListParagraph"/>
        <w:rPr>
          <w:rFonts w:ascii="Arial" w:hAnsi="Arial" w:cs="Arial"/>
        </w:rPr>
      </w:pPr>
    </w:p>
    <w:p w14:paraId="32227626" w14:textId="77777777" w:rsidR="007857A6" w:rsidRPr="00225AB0" w:rsidRDefault="000C73FA" w:rsidP="001811CC">
      <w:pPr>
        <w:pStyle w:val="Heading4"/>
        <w:numPr>
          <w:ilvl w:val="3"/>
          <w:numId w:val="2"/>
        </w:numPr>
        <w:rPr>
          <w:rFonts w:ascii="Arial" w:hAnsi="Arial" w:cs="Arial"/>
          <w:color w:val="000000" w:themeColor="text1"/>
          <w:sz w:val="28"/>
          <w:szCs w:val="28"/>
        </w:rPr>
      </w:pPr>
      <w:bookmarkStart w:id="97" w:name="_Toc11147951"/>
      <w:bookmarkStart w:id="98" w:name="_Toc11930022"/>
      <w:bookmarkStart w:id="99" w:name="_Toc16075338"/>
      <w:r w:rsidRPr="00225AB0">
        <w:rPr>
          <w:rFonts w:ascii="Arial" w:hAnsi="Arial" w:cs="Arial"/>
          <w:color w:val="000000" w:themeColor="text1"/>
          <w:sz w:val="28"/>
          <w:szCs w:val="28"/>
        </w:rPr>
        <w:t>Perception of orientation</w:t>
      </w:r>
      <w:bookmarkEnd w:id="97"/>
      <w:bookmarkEnd w:id="98"/>
      <w:bookmarkEnd w:id="99"/>
    </w:p>
    <w:p w14:paraId="6F1B70AF" w14:textId="44E748B5" w:rsidR="000C73FA" w:rsidRPr="00225AB0" w:rsidRDefault="000C73FA" w:rsidP="000C73FA">
      <w:pPr>
        <w:spacing w:line="480" w:lineRule="auto"/>
        <w:rPr>
          <w:rFonts w:ascii="Arial" w:hAnsi="Arial" w:cs="Arial"/>
        </w:rPr>
      </w:pPr>
      <w:r w:rsidRPr="00225AB0">
        <w:rPr>
          <w:rFonts w:ascii="Arial" w:hAnsi="Arial" w:cs="Arial"/>
        </w:rPr>
        <w:t>Stimulus orientation is encoded in a distributed manner across the visual cortex, with visual regions possessing subpopulations of orientation-preferring neurons. However, the extent of segregation of orientation-encoding throughout the visual hierarchy</w:t>
      </w:r>
      <w:r w:rsidR="00D40644">
        <w:rPr>
          <w:rFonts w:ascii="Arial" w:hAnsi="Arial" w:cs="Arial"/>
        </w:rPr>
        <w:t xml:space="preserve"> is debated</w:t>
      </w:r>
      <w:r w:rsidRPr="00225AB0">
        <w:rPr>
          <w:rFonts w:ascii="Arial" w:hAnsi="Arial" w:cs="Arial"/>
        </w:rPr>
        <w:t xml:space="preserve">. </w:t>
      </w:r>
      <w:r w:rsidRPr="00225AB0">
        <w:rPr>
          <w:rFonts w:ascii="Arial" w:hAnsi="Arial" w:cs="Arial"/>
        </w:rPr>
        <w:fldChar w:fldCharType="begin"/>
      </w:r>
      <w:r w:rsidR="005B4361">
        <w:rPr>
          <w:rFonts w:ascii="Arial" w:hAnsi="Arial" w:cs="Arial"/>
        </w:rPr>
        <w:instrText xml:space="preserve"> ADDIN ZOTERO_ITEM CSL_CITATION {"citationID":"b7Su4EXF","properties":{"formattedCitation":"(Horton &amp; Hubel, 1981)","plainCitation":"(Horton &amp; Hubel, 1981)","dontUpdate":true,"noteIndex":0},"citationItems":[{"id":132,"uris":["http://zotero.org/groups/318634/items/BK99UKCT"],"uri":["http://zotero.org/groups/318634/items/BK99UKCT"],"itemData":{"id":132,"type":"article-journal","title":"Regular patchy distribution of cytochrome oxidase staining in primary visual cortex of macaque monkey","container-title":"Nature","page":"762","volume":"292","issue":"5825","source":"Google Scholar","author":[{"family":"Horton","given":"Jonathan C."},{"family":"Hubel","given":"David H."}],"issued":{"date-parts":[["1981"]]}}}],"schema":"https://github.com/citation-style-language/schema/raw/master/csl-citation.json"} </w:instrText>
      </w:r>
      <w:r w:rsidRPr="00225AB0">
        <w:rPr>
          <w:rFonts w:ascii="Arial" w:hAnsi="Arial" w:cs="Arial"/>
        </w:rPr>
        <w:fldChar w:fldCharType="separate"/>
      </w:r>
      <w:r w:rsidRPr="00225AB0">
        <w:rPr>
          <w:rFonts w:ascii="Arial" w:hAnsi="Arial" w:cs="Arial"/>
          <w:noProof/>
        </w:rPr>
        <w:t>Horton &amp; Hubel, (1981)</w:t>
      </w:r>
      <w:r w:rsidRPr="00225AB0">
        <w:rPr>
          <w:rFonts w:ascii="Arial" w:hAnsi="Arial" w:cs="Arial"/>
        </w:rPr>
        <w:fldChar w:fldCharType="end"/>
      </w:r>
      <w:r w:rsidRPr="00225AB0">
        <w:rPr>
          <w:rFonts w:ascii="Arial" w:hAnsi="Arial" w:cs="Arial"/>
        </w:rPr>
        <w:t xml:space="preserve"> identified </w:t>
      </w:r>
      <w:r w:rsidR="00C93046">
        <w:rPr>
          <w:rFonts w:ascii="Arial" w:hAnsi="Arial" w:cs="Arial"/>
        </w:rPr>
        <w:t>cytochrome oxidase (CO)</w:t>
      </w:r>
      <w:r w:rsidRPr="00225AB0">
        <w:rPr>
          <w:rFonts w:ascii="Arial" w:hAnsi="Arial" w:cs="Arial"/>
        </w:rPr>
        <w:t xml:space="preserve"> blobs and interblobs </w:t>
      </w:r>
      <w:r w:rsidR="00D44AC6">
        <w:rPr>
          <w:rFonts w:ascii="Arial" w:hAnsi="Arial" w:cs="Arial"/>
        </w:rPr>
        <w:t>in</w:t>
      </w:r>
      <w:r w:rsidRPr="00225AB0">
        <w:rPr>
          <w:rFonts w:ascii="Arial" w:hAnsi="Arial" w:cs="Arial"/>
        </w:rPr>
        <w:t xml:space="preserve"> primate V1</w:t>
      </w:r>
      <w:r w:rsidR="00C93046">
        <w:rPr>
          <w:rFonts w:ascii="Arial" w:hAnsi="Arial" w:cs="Arial"/>
        </w:rPr>
        <w:t>, so called due to their visibility when V1 is stained with cytochrome oxidase, an enzyme involved in metabolism</w:t>
      </w:r>
      <w:r w:rsidRPr="00225AB0">
        <w:rPr>
          <w:rFonts w:ascii="Arial" w:hAnsi="Arial" w:cs="Arial"/>
        </w:rPr>
        <w:t xml:space="preserve">. Blobs were considered to possess weak spatial frequency and orientation tuning but respond well to isoluminant colour, whereas interblobs were highly orientation selective </w:t>
      </w:r>
      <w:r w:rsidRPr="00225AB0">
        <w:rPr>
          <w:rFonts w:ascii="Arial" w:hAnsi="Arial" w:cs="Arial"/>
        </w:rPr>
        <w:fldChar w:fldCharType="begin"/>
      </w:r>
      <w:r w:rsidR="005B4361">
        <w:rPr>
          <w:rFonts w:ascii="Arial" w:hAnsi="Arial" w:cs="Arial"/>
        </w:rPr>
        <w:instrText xml:space="preserve"> ADDIN ZOTERO_ITEM CSL_CITATION {"citationID":"G0YRDXqt","properties":{"formattedCitation":"(M. S. Livingstone &amp; Hubel, 1984)","plainCitation":"(M. S. Livingstone &amp; Hubel, 1984)","dontUpdate":true,"noteIndex":0},"citationItems":[{"id":8,"uris":["http://zotero.org/groups/318634/items/EL3AW4KZ"],"uri":["http://zotero.org/groups/318634/items/EL3AW4KZ"],"itemData":{"id":8,"type":"article-journal","title":"Anatomy and physiology of a color system in the primate visual cortex","container-title":"The Journal of Neuroscience: The Official Journal of the Society for Neuroscience","page":"309-356","volume":"4","issue":"1","source":"PubMed","abstract":"Staining for the mitochondrial enzyme cytochrome oxidase reveals an array of dense regions (blobs) in the primate primary visual cortex. They are most obvious in the upper layers, 2 and 3, but can also be seen in layers 4B, 5, and 6, in register with the blobs in layers 2 and 3. We compared cells inside and outside blobs in macaque and squirrel monkeys, looking at their physiological responses and anatomical connections. Cells within blobs did not show orientation selectivity, whereas cells between blobs were highly orientation selective. Receptive fields of blob cells had circular symmetry and were of three main types, Broad-Band Center-Surround, Red-Green Double-Opponent, and Yellow-Blue Double-Opponent. Double-Opponent cells responded poorly or not at all to white light in any form, or to diffuse light at any wavelength. In contrast to blob cells, none of the cells recorded in layer 4C beta were Double-Opponent: like the majority of cells in the parvocellular geniculate layers, they were either Broad-Band or Color-Opponent Center-Surround, e.g., red-on-center green-off-surround. To our surprise cells in layer 4C alpha were orientation selective. In tangential penetrations throughout layers 2 and 3, optium orientation, when plotted against electrode position, formed long, regular, usually linear sequences, which were interrupted but not perturbed by the blobs. Staining area 18 for cytochrome oxidase reveals a series of alternating wide and narrow dense stripes, separated by paler interstripes. After small injections of horseradish peroxidase into area 18, we saw a precise set of connections from the blobs in area 17 to thin stripes in area 18, and from the interblob regions in area 17 to interstripes in area 18. Specific reciprocal connections also ran from thin stripes to blobs and from interstripes to interblobs. We have not yet determined the area 17 connections to thick stripes in area 18. In addition, within area 18 there are stripe-to-stripe and interstripe-to-interstripe intrinsic connections. These results suggest that a system involved in the processing of color information, especially color-spatial interactions, runs parallel to and separate from the orientation-specific system. Color, encoded in three coordinates by the major blob cell types, red-green, yellow-blue, and black-white, can be transformed into the three coordinates, red, green, and blue, of the Retinex algorithm of Land.","ISSN":"0270-6474","note":"PMID: 6198495","journalAbbreviation":"J. Neurosci.","language":"eng","author":[{"family":"Livingstone","given":"M. S."},{"family":"Hubel","given":"D. H."}],"issued":{"date-parts":[["1984",1]]}}}],"schema":"https://github.com/citation-style-language/schema/raw/master/csl-citation.json"} </w:instrText>
      </w:r>
      <w:r w:rsidRPr="00225AB0">
        <w:rPr>
          <w:rFonts w:ascii="Arial" w:hAnsi="Arial" w:cs="Arial"/>
        </w:rPr>
        <w:fldChar w:fldCharType="separate"/>
      </w:r>
      <w:r w:rsidRPr="00225AB0">
        <w:rPr>
          <w:rFonts w:ascii="Arial" w:hAnsi="Arial" w:cs="Arial"/>
          <w:noProof/>
        </w:rPr>
        <w:t>(Livingstone &amp; Hubel, 1984)</w:t>
      </w:r>
      <w:r w:rsidRPr="00225AB0">
        <w:rPr>
          <w:rFonts w:ascii="Arial" w:hAnsi="Arial" w:cs="Arial"/>
        </w:rPr>
        <w:fldChar w:fldCharType="end"/>
      </w:r>
      <w:r w:rsidRPr="00225AB0">
        <w:rPr>
          <w:rFonts w:ascii="Arial" w:hAnsi="Arial" w:cs="Arial"/>
        </w:rPr>
        <w:t xml:space="preserve">. </w:t>
      </w:r>
    </w:p>
    <w:p w14:paraId="0ABEE476" w14:textId="77777777" w:rsidR="000C73FA" w:rsidRPr="00225AB0" w:rsidRDefault="000C73FA" w:rsidP="000C73FA">
      <w:pPr>
        <w:rPr>
          <w:rFonts w:ascii="Arial" w:hAnsi="Arial" w:cs="Arial"/>
        </w:rPr>
      </w:pPr>
    </w:p>
    <w:p w14:paraId="584F3225" w14:textId="77777777" w:rsidR="000C73FA" w:rsidRPr="00225AB0" w:rsidRDefault="000C73FA" w:rsidP="000C73FA">
      <w:pPr>
        <w:rPr>
          <w:rFonts w:ascii="Arial" w:hAnsi="Arial" w:cs="Arial"/>
        </w:rPr>
      </w:pPr>
    </w:p>
    <w:p w14:paraId="7143A6E1" w14:textId="2D9FFD74" w:rsidR="000C73FA" w:rsidRPr="00225AB0" w:rsidRDefault="000C73FA" w:rsidP="000C73FA">
      <w:pPr>
        <w:spacing w:line="480" w:lineRule="auto"/>
        <w:rPr>
          <w:rFonts w:ascii="Arial" w:hAnsi="Arial" w:cs="Arial"/>
        </w:rPr>
      </w:pPr>
      <w:r w:rsidRPr="00225AB0">
        <w:rPr>
          <w:rFonts w:ascii="Arial" w:hAnsi="Arial" w:cs="Arial"/>
        </w:rPr>
        <w:t xml:space="preserve">Some researchers think this segregation of colour and orientation in V1 blobs and interblobs may persist further into the visual cortex, with projections into thin and interstripe regions of V2 respectively </w:t>
      </w:r>
      <w:r w:rsidRPr="00225AB0">
        <w:rPr>
          <w:rFonts w:ascii="Arial" w:hAnsi="Arial" w:cs="Arial"/>
        </w:rPr>
        <w:fldChar w:fldCharType="begin"/>
      </w:r>
      <w:r w:rsidR="005B4361">
        <w:rPr>
          <w:rFonts w:ascii="Arial" w:hAnsi="Arial" w:cs="Arial"/>
        </w:rPr>
        <w:instrText xml:space="preserve"> ADDIN ZOTERO_ITEM CSL_CITATION {"citationID":"x5SSExhw","properties":{"formattedCitation":"(Levitt, Kiper, &amp; Movshon, 1994; M. S. Livingstone &amp; Hubel, 1984)","plainCitation":"(Levitt, Kiper, &amp; Movshon, 1994; M. S. Livingstone &amp; Hubel, 1984)","dontUpdate":true,"noteIndex":0},"citationItems":[{"id":120,"uris":["http://zotero.org/groups/318634/items/7B65LEMN"],"uri":["http://zotero.org/groups/318634/items/7B65LEMN"],"itemData":{"id":120,"type":"article-journal","title":"Receptive fields and functional architecture of macaque V2","container-title":"Journal of Neurophysiology","page":"2517-2542","volume":"71","issue":"6","source":"PubMed","abstract":"1. Visual area V2 of macaque monkey cerebral cortex is the largest of the extrastriate visual areas, yet surprisingly little is known of its neuronal properties. We have made a quantitative analysis of V2 receptive field properties. Our set of measurements was chosen to distinguish neuronal responses reflecting parvocellular (P) or magnocellular (M) inputs and to permit comparison with similar measurements made in other visual areas; we further describe the relationship of those properties to the laminar and cytochrome oxidase (CO) architecture of V2. 2. We recorded the activity of single units representing the central 5 degrees in all laminae and CO divisions of V2 in anesthetized, paralyzed macaque monkeys. We studied responses to geometric targets and to drifting sinusoidal gratings that varied in orientation, spatial frequency, drift rate, contrast, and color. 3. The orientation selectivity and spatial and temporal tuning of V2 neurons differed little from those in V1. As in V1, spatial and temporal tuning in V2 appeared separable, and we identified a population of simple cells (more common within the central 3 degrees) similar to those found in V1. Contrast sensitivity of V2 neurons was greater on average than in V1, perhaps reflecting the summation of inputs in V2's larger receptive fields. Many V2 neurons exhibited some degree of chromatic opponency, responding to isoluminant color variations, but these neurons differed from V1 in the linearity with which they summate cone signals. 4. In agreement with others, we found that neurons with selective responses to color, size, and motion did seem to cluster in different CO compartments. However, this segregation of qualitatively different response selectivities was not absolute, and response properties also seemed to depend on laminar position within each compartment. As others also have noted, we found that CO stripe widths in the macaque (unlike in the squirrel monkey) did not consistently appear different. We relied on the segregation of qualitatively distinct cell types, and in some cases the pattern of Cat-301 staining as well, to distinguish CO stripes when the staining pattern of CO alone was ambiguous. Although all cell types were found in all CO compartments and laminae, unoriented cells were more prominent in layers 2-4 of \"thin\" stripes, direction-selective cells in layers 3B/4 of \"thick\" stripes, color-selective cells in the upper layers of thin and pale stripes, and end-stopped cells mainly outside of layer 4 in thin stripes.(ABSTRACT TRUNCATED AT 400 WORDS)","DOI":"10.1152/jn.1994.71.6.2517","ISSN":"0022-3077","note":"PMID: 7931532","journalAbbreviation":"J. Neurophysiol.","language":"eng","author":[{"family":"Levitt","given":"J. B."},{"family":"Kiper","given":"D. C."},{"family":"Movshon","given":"J. A."}],"issued":{"date-parts":[["1994",6]]}}},{"id":8,"uris":["http://zotero.org/groups/318634/items/EL3AW4KZ"],"uri":["http://zotero.org/groups/318634/items/EL3AW4KZ"],"itemData":{"id":8,"type":"article-journal","title":"Anatomy and physiology of a color system in the primate visual cortex","container-title":"The Journal of Neuroscience: The Official Journal of the Society for Neuroscience","page":"309-356","volume":"4","issue":"1","source":"PubMed","abstract":"Staining for the mitochondrial enzyme cytochrome oxidase reveals an array of dense regions (blobs) in the primate primary visual cortex. They are most obvious in the upper layers, 2 and 3, but can also be seen in layers 4B, 5, and 6, in register with the blobs in layers 2 and 3. We compared cells inside and outside blobs in macaque and squirrel monkeys, looking at their physiological responses and anatomical connections. Cells within blobs did not show orientation selectivity, whereas cells between blobs were highly orientation selective. Receptive fields of blob cells had circular symmetry and were of three main types, Broad-Band Center-Surround, Red-Green Double-Opponent, and Yellow-Blue Double-Opponent. Double-Opponent cells responded poorly or not at all to white light in any form, or to diffuse light at any wavelength. In contrast to blob cells, none of the cells recorded in layer 4C beta were Double-Opponent: like the majority of cells in the parvocellular geniculate layers, they were either Broad-Band or Color-Opponent Center-Surround, e.g., red-on-center green-off-surround. To our surprise cells in layer 4C alpha were orientation selective. In tangential penetrations throughout layers 2 and 3, optium orientation, when plotted against electrode position, formed long, regular, usually linear sequences, which were interrupted but not perturbed by the blobs. Staining area 18 for cytochrome oxidase reveals a series of alternating wide and narrow dense stripes, separated by paler interstripes. After small injections of horseradish peroxidase into area 18, we saw a precise set of connections from the blobs in area 17 to thin stripes in area 18, and from the interblob regions in area 17 to interstripes in area 18. Specific reciprocal connections also ran from thin stripes to blobs and from interstripes to interblobs. We have not yet determined the area 17 connections to thick stripes in area 18. In addition, within area 18 there are stripe-to-stripe and interstripe-to-interstripe intrinsic connections. These results suggest that a system involved in the processing of color information, especially color-spatial interactions, runs parallel to and separate from the orientation-specific system. Color, encoded in three coordinates by the major blob cell types, red-green, yellow-blue, and black-white, can be transformed into the three coordinates, red, green, and blue, of the Retinex algorithm of Land.","ISSN":"0270-6474","note":"PMID: 6198495","journalAbbreviation":"J. Neurosci.","language":"eng","author":[{"family":"Livingstone","given":"M. S."},{"family":"Hubel","given":"D. H."}],"issued":{"date-parts":[["1984",1]]}}}],"schema":"https://github.com/citation-style-language/schema/raw/master/csl-citation.json"} </w:instrText>
      </w:r>
      <w:r w:rsidRPr="00225AB0">
        <w:rPr>
          <w:rFonts w:ascii="Arial" w:hAnsi="Arial" w:cs="Arial"/>
        </w:rPr>
        <w:fldChar w:fldCharType="separate"/>
      </w:r>
      <w:r w:rsidRPr="00225AB0">
        <w:rPr>
          <w:rFonts w:ascii="Arial" w:hAnsi="Arial" w:cs="Arial"/>
          <w:noProof/>
        </w:rPr>
        <w:t>(Levitt, Kiper, &amp; Movshon, 1994; Livingstone &amp; Hubel, 1984)</w:t>
      </w:r>
      <w:r w:rsidRPr="00225AB0">
        <w:rPr>
          <w:rFonts w:ascii="Arial" w:hAnsi="Arial" w:cs="Arial"/>
        </w:rPr>
        <w:fldChar w:fldCharType="end"/>
      </w:r>
      <w:r w:rsidRPr="00225AB0">
        <w:rPr>
          <w:rFonts w:ascii="Arial" w:hAnsi="Arial" w:cs="Arial"/>
        </w:rPr>
        <w:t xml:space="preserve">. Researchers have also suggested the segregation of </w:t>
      </w:r>
      <w:r w:rsidR="00A178A3">
        <w:rPr>
          <w:rFonts w:ascii="Arial" w:hAnsi="Arial" w:cs="Arial"/>
        </w:rPr>
        <w:t>colour</w:t>
      </w:r>
      <w:r w:rsidRPr="00225AB0">
        <w:rPr>
          <w:rFonts w:ascii="Arial" w:hAnsi="Arial" w:cs="Arial"/>
        </w:rPr>
        <w:t xml:space="preserve"> and orientation-encoding in particular visual regions, such as a non-existence of colour-selective cells in V3, V3A</w:t>
      </w:r>
      <w:r w:rsidR="008437FC">
        <w:rPr>
          <w:rFonts w:ascii="Arial" w:hAnsi="Arial" w:cs="Arial"/>
        </w:rPr>
        <w:t>/</w:t>
      </w:r>
      <w:r w:rsidRPr="00225AB0">
        <w:rPr>
          <w:rFonts w:ascii="Arial" w:hAnsi="Arial" w:cs="Arial"/>
        </w:rPr>
        <w:t xml:space="preserve">B or MT+ in rhesus monkeys (for a review, see </w:t>
      </w:r>
      <w:r w:rsidRPr="00225AB0">
        <w:rPr>
          <w:rFonts w:ascii="Arial" w:hAnsi="Arial" w:cs="Arial"/>
        </w:rPr>
        <w:fldChar w:fldCharType="begin"/>
      </w:r>
      <w:r w:rsidR="005B4361">
        <w:rPr>
          <w:rFonts w:ascii="Arial" w:hAnsi="Arial" w:cs="Arial"/>
        </w:rPr>
        <w:instrText xml:space="preserve"> ADDIN ZOTERO_ITEM CSL_CITATION {"citationID":"Dqk0JVu2","properties":{"formattedCitation":"(Zeki, 1978)","plainCitation":"(Zeki, 1978)","dontUpdate":true,"noteIndex":0},"citationItems":[{"id":7,"uris":["http://zotero.org/groups/318634/items/YU49F2TE"],"uri":["http://zotero.org/groups/318634/items/YU49F2TE"],"itemData":{"id":7,"type":"article-journal","title":"Functional specialisation in the visual cortex of the rhesus monkey","container-title":"Nature","page":"423-428","volume":"274","issue":"5670","source":"PubMed","abstract":"Anatomical and functional studies of the visual cortex of the rhesus monkey have shown that it is made up of a multiplicity of distinct areas. These seem to be functionally specialised to analyse different features of the visual environment.","ISSN":"0028-0836","note":"PMID: 97565","journalAbbreviation":"Nature","language":"eng","author":[{"family":"Zeki","given":"S. M."}],"issued":{"date-parts":[["1978",8,3]]}}}],"schema":"https://github.com/citation-style-language/schema/raw/master/csl-citation.json"} </w:instrText>
      </w:r>
      <w:r w:rsidRPr="00225AB0">
        <w:rPr>
          <w:rFonts w:ascii="Arial" w:hAnsi="Arial" w:cs="Arial"/>
        </w:rPr>
        <w:fldChar w:fldCharType="separate"/>
      </w:r>
      <w:r w:rsidRPr="00225AB0">
        <w:rPr>
          <w:rFonts w:ascii="Arial" w:hAnsi="Arial" w:cs="Arial"/>
          <w:noProof/>
        </w:rPr>
        <w:t>Zeki, 1978)</w:t>
      </w:r>
      <w:r w:rsidRPr="00225AB0">
        <w:rPr>
          <w:rFonts w:ascii="Arial" w:hAnsi="Arial" w:cs="Arial"/>
        </w:rPr>
        <w:fldChar w:fldCharType="end"/>
      </w:r>
      <w:r w:rsidRPr="00225AB0">
        <w:rPr>
          <w:rFonts w:ascii="Arial" w:hAnsi="Arial" w:cs="Arial"/>
        </w:rPr>
        <w:t xml:space="preserve">. Lesioning of area V4 has also been noted to heavily impact colour perception with little disruption to form (orientation) processing </w:t>
      </w:r>
      <w:r w:rsidRPr="00225AB0">
        <w:rPr>
          <w:rFonts w:ascii="Arial" w:hAnsi="Arial" w:cs="Arial"/>
        </w:rPr>
        <w:fldChar w:fldCharType="begin"/>
      </w:r>
      <w:r w:rsidR="005B4361">
        <w:rPr>
          <w:rFonts w:ascii="Arial" w:hAnsi="Arial" w:cs="Arial"/>
        </w:rPr>
        <w:instrText xml:space="preserve"> ADDIN ZOTERO_ITEM CSL_CITATION {"citationID":"IJjxpMLA","properties":{"formattedCitation":"(Meadows, 1974; S. Zeki, 1990)","plainCitation":"(Meadows, 1974; S. Zeki, 1990)","dontUpdate":true,"noteIndex":0},"citationItems":[{"id":3,"uris":["http://zotero.org/groups/318634/items/5BYZLGRY"],"uri":["http://zotero.org/groups/318634/items/5BYZLGRY"],"itemData":{"id":3,"type":"article-journal","title":"Disturbed perception of colours associated with localized cerebral lesions","container-title":"Brain: A Journal of Neurology","page":"615-632","volume":"97","issue":"4","source":"PubMed","DOI":"10.1093/brain/97.1.615","ISSN":"0006-8950","note":"PMID: 4547992","journalAbbreviation":"Brain","language":"eng","author":[{"family":"Meadows","given":"J. C."}],"issued":{"date-parts":[["1974",12]]}}},{"id":2,"uris":["http://zotero.org/groups/318634/items/GKSNUJ28"],"uri":["http://zotero.org/groups/318634/items/GKSNUJ28"],"itemData":{"id":2,"type":"article-journal","title":"A century of cerebral achromatopsia","container-title":"Brain: A Journal of Neurology","page":"1721-1777","volume":"113 ( Pt 6)","source":"PubMed","abstract":"This review is an enquiry into why the early clinical evidence for a colour centre in the cerebral cortex of man was so successfully dismissed for the best part of a century. The imperfection of this evidence cannot be the reason, for the same evidence that was rejected earlier is accepted today. Instead, it was because the prevalent concepts of vision as a function, and of the role of the cerebral cortex in it, dominated facts and prevented acceptance of evidence showing a specialization for colour in the visual cortex. It was only after those concepts were overthrown by the demonstration of functional specialization in the visual cortex of the primate that the evidence for a colour centre in the human brain became acceptable. Today, our new knowledge of the colour areas and pathways in the primate brain allows us to give a more complete account of the pathophysiology of cerebral achromatopsia in man.","DOI":"10.1093/brain/113.6.1721","ISSN":"0006-8950","note":"PMID: 2276043","journalAbbreviation":"Brain","language":"eng","author":[{"family":"Zeki","given":"S."}],"issued":{"date-parts":[["1990",12]]}}}],"schema":"https://github.com/citation-style-language/schema/raw/master/csl-citation.json"} </w:instrText>
      </w:r>
      <w:r w:rsidRPr="00225AB0">
        <w:rPr>
          <w:rFonts w:ascii="Arial" w:hAnsi="Arial" w:cs="Arial"/>
        </w:rPr>
        <w:fldChar w:fldCharType="separate"/>
      </w:r>
      <w:r w:rsidRPr="00225AB0">
        <w:rPr>
          <w:rFonts w:ascii="Arial" w:hAnsi="Arial" w:cs="Arial"/>
          <w:noProof/>
        </w:rPr>
        <w:t>(Meadows, 1974; Zeki, 1990)</w:t>
      </w:r>
      <w:r w:rsidRPr="00225AB0">
        <w:rPr>
          <w:rFonts w:ascii="Arial" w:hAnsi="Arial" w:cs="Arial"/>
        </w:rPr>
        <w:fldChar w:fldCharType="end"/>
      </w:r>
      <w:r w:rsidRPr="00225AB0">
        <w:rPr>
          <w:rFonts w:ascii="Arial" w:hAnsi="Arial" w:cs="Arial"/>
        </w:rPr>
        <w:t xml:space="preserve">. </w:t>
      </w:r>
    </w:p>
    <w:p w14:paraId="4B660617" w14:textId="77777777" w:rsidR="000C73FA" w:rsidRPr="00225AB0" w:rsidRDefault="000C73FA" w:rsidP="000C73FA">
      <w:pPr>
        <w:spacing w:line="480" w:lineRule="auto"/>
        <w:rPr>
          <w:rFonts w:ascii="Arial" w:hAnsi="Arial" w:cs="Arial"/>
        </w:rPr>
      </w:pPr>
    </w:p>
    <w:p w14:paraId="2404800A" w14:textId="28F25219" w:rsidR="000C73FA" w:rsidRPr="00225AB0" w:rsidRDefault="000C73FA" w:rsidP="000C73FA">
      <w:pPr>
        <w:spacing w:line="480" w:lineRule="auto"/>
        <w:rPr>
          <w:rFonts w:ascii="Arial" w:hAnsi="Arial" w:cs="Arial"/>
        </w:rPr>
      </w:pPr>
      <w:r w:rsidRPr="00225AB0">
        <w:rPr>
          <w:rFonts w:ascii="Arial" w:hAnsi="Arial" w:cs="Arial"/>
        </w:rPr>
        <w:t xml:space="preserve">However, others question the extent </w:t>
      </w:r>
      <w:r w:rsidR="00D40644">
        <w:rPr>
          <w:rFonts w:ascii="Arial" w:hAnsi="Arial" w:cs="Arial"/>
        </w:rPr>
        <w:t xml:space="preserve">to which </w:t>
      </w:r>
      <w:r w:rsidRPr="00225AB0">
        <w:rPr>
          <w:rFonts w:ascii="Arial" w:hAnsi="Arial" w:cs="Arial"/>
        </w:rPr>
        <w:t xml:space="preserve">orientation preference is </w:t>
      </w:r>
      <w:r w:rsidR="00D40644">
        <w:rPr>
          <w:rFonts w:ascii="Arial" w:hAnsi="Arial" w:cs="Arial"/>
        </w:rPr>
        <w:t>independent</w:t>
      </w:r>
      <w:r w:rsidRPr="00225AB0">
        <w:rPr>
          <w:rFonts w:ascii="Arial" w:hAnsi="Arial" w:cs="Arial"/>
        </w:rPr>
        <w:t xml:space="preserve"> of other low-level visual features. For example, </w:t>
      </w:r>
      <w:r w:rsidRPr="00225AB0">
        <w:rPr>
          <w:rFonts w:ascii="Arial" w:hAnsi="Arial" w:cs="Arial"/>
        </w:rPr>
        <w:fldChar w:fldCharType="begin"/>
      </w:r>
      <w:r w:rsidR="005B4361">
        <w:rPr>
          <w:rFonts w:ascii="Arial" w:hAnsi="Arial" w:cs="Arial"/>
        </w:rPr>
        <w:instrText xml:space="preserve"> ADDIN ZOTERO_ITEM CSL_CITATION {"citationID":"LGz8bgLs","properties":{"formattedCitation":"(B. R. Conway, 2001; Johnson, Hawken, &amp; Shapley, 2001)","plainCitation":"(B. R. Conway, 2001; Johnson, Hawken, &amp; Shapley, 2001)","dontUpdate":true,"noteIndex":0},"citationItems":[{"id":4,"uris":["http://zotero.org/groups/318634/items/J6NL8S99"],"uri":["http://zotero.org/groups/318634/items/J6NL8S99"],"itemData":{"id":4,"type":"article-journal","title":"Spatial structure of cone inputs to color cells in alert macaque primary visual cortex (V-1)","container-title":"The Journal of Neuroscience: The Official Journal of the Society for Neuroscience","page":"2768-2783","volume":"21","issue":"8","source":"PubMed","abstract":"The spatial structure of color cell receptive fields is controversial. Here, spots of light that selectively modulate one class of cones (L, M, or S, or loosely red, green, or blue) were flashed in and around the receptive fields of V-1 color cells to map the spatial structure of the cone inputs. The maps generated using these cone-isolating stimuli and an eye-position-corrected reverse correlation technique produced four findings. First, the receptive fields were Double-Opponent, an organization of spatial and chromatic opponency critical for color constancy and color contrast. Optimally stimulating both center and surround subregions with adjacent red and green spots excited the cells more than stimulating a single subregion. Second, red-green cells responded in a luminance-invariant way. For example, red-on-center cells were excited equally by a stimulus that increased L-cone activity (appearing bright red) and by a stimulus that decreased M-cone activity (appearing dark red). This implies that the opponency between L and M is balanced and argues that these cells are encoding a single chromatic axis. Third, most color cells responded to stimuli of all orientations and had circularly symmetric receptive fields. Some cells, however, showed a coarse orientation preference. This was reflected in the receptive fields as oriented Double-Opponent subregions. Fourth, red-green cells often responded to S-cone stimuli. Responses to M- and S-cone stimuli usually aligned, suggesting that these cells might be red-cyan. In summary, red-green (or red-cyan) cells, along with blue-yellow and black-white cells, establish three chromatic axes that are sufficient to describe all of color space.","ISSN":"1529-2401","note":"PMID: 11306629","journalAbbreviation":"J. Neurosci.","language":"eng","author":[{"family":"Conway","given":"B. R."}],"issued":{"date-parts":[["2001",4,15]]}}},{"id":6,"uris":["http://zotero.org/groups/318634/items/HZTLKQHR"],"uri":["http://zotero.org/groups/318634/items/HZTLKQHR"],"itemData":{"id":6,"type":"article-journal","title":"The spatial transformation of color in the primary visual cortex of the macaque monkey","container-title":"Nature Neuroscience","page":"409-416","volume":"4","issue":"4","source":"PubMed","abstract":"Perceptually, color is used to discriminate objects by hue and to identify color boundaries. The primate retina and the lateral geniculate nucleus (LGN) have cell populations sensitive to color modulation, but the role of the primary visual cortex (V1) in color signal processing is uncertain. We re-evaluated color processing in V1 by studying single-neuron responses to luminance and to equiluminant color patterns equated for cone contrast. Many neurons respond robustly to both equiluminant color and luminance modulation (color-luminance cells). Also, there are neurons that prefer luminance (luminance cells), and a few neurons that prefer color (color cells). Surprisingly, most color-luminance cells are spatial-frequency tuned, with approximately equal selectivity for chromatic and achromatic patterns. Therefore, V1 retains the color sensitivity provided by the LGN, and adds spatial selectivity for color boundaries.","DOI":"10.1038/86061","ISSN":"1097-6256","note":"PMID: 11276232","journalAbbreviation":"Nat. Neurosci.","language":"eng","author":[{"family":"Johnson","given":"E. N."},{"family":"Hawken","given":"M. J."},{"family":"Shapley","given":"R."}],"issued":{"date-parts":[["2001",4]]}}}],"schema":"https://github.com/citation-style-language/schema/raw/master/csl-citation.json"} </w:instrText>
      </w:r>
      <w:r w:rsidRPr="00225AB0">
        <w:rPr>
          <w:rFonts w:ascii="Arial" w:hAnsi="Arial" w:cs="Arial"/>
        </w:rPr>
        <w:fldChar w:fldCharType="separate"/>
      </w:r>
      <w:r w:rsidRPr="00225AB0">
        <w:rPr>
          <w:rFonts w:ascii="Arial" w:hAnsi="Arial" w:cs="Arial"/>
          <w:noProof/>
        </w:rPr>
        <w:t xml:space="preserve">Conway, (2001) </w:t>
      </w:r>
      <w:r w:rsidRPr="00225AB0">
        <w:rPr>
          <w:rFonts w:ascii="Arial" w:hAnsi="Arial" w:cs="Arial"/>
          <w:noProof/>
        </w:rPr>
        <w:lastRenderedPageBreak/>
        <w:t>and Johnson, Hawken, &amp; Shapley, (2001)</w:t>
      </w:r>
      <w:r w:rsidRPr="00225AB0">
        <w:rPr>
          <w:rFonts w:ascii="Arial" w:hAnsi="Arial" w:cs="Arial"/>
        </w:rPr>
        <w:fldChar w:fldCharType="end"/>
      </w:r>
      <w:r w:rsidRPr="00225AB0">
        <w:rPr>
          <w:rFonts w:ascii="Arial" w:hAnsi="Arial" w:cs="Arial"/>
        </w:rPr>
        <w:t xml:space="preserve"> provided the first evidence for orientation tuning </w:t>
      </w:r>
      <w:r w:rsidR="00D44AC6">
        <w:rPr>
          <w:rFonts w:ascii="Arial" w:hAnsi="Arial" w:cs="Arial"/>
        </w:rPr>
        <w:t>in</w:t>
      </w:r>
      <w:r w:rsidRPr="00225AB0">
        <w:rPr>
          <w:rFonts w:ascii="Arial" w:hAnsi="Arial" w:cs="Arial"/>
        </w:rPr>
        <w:t xml:space="preserve"> colour-coding V1 cells. </w:t>
      </w:r>
      <w:r w:rsidR="00D44AC6">
        <w:rPr>
          <w:rFonts w:ascii="Arial" w:hAnsi="Arial" w:cs="Arial"/>
        </w:rPr>
        <w:t>In</w:t>
      </w:r>
      <w:r w:rsidRPr="00225AB0">
        <w:rPr>
          <w:rFonts w:ascii="Arial" w:hAnsi="Arial" w:cs="Arial"/>
        </w:rPr>
        <w:t xml:space="preserve"> early visual areas V1 and V2, </w:t>
      </w:r>
      <w:r w:rsidRPr="00225AB0">
        <w:rPr>
          <w:rFonts w:ascii="Arial" w:hAnsi="Arial" w:cs="Arial"/>
        </w:rPr>
        <w:fldChar w:fldCharType="begin"/>
      </w:r>
      <w:r w:rsidR="005B4361">
        <w:rPr>
          <w:rFonts w:ascii="Arial" w:hAnsi="Arial" w:cs="Arial"/>
        </w:rPr>
        <w:instrText xml:space="preserve"> ADDIN ZOTERO_ITEM CSL_CITATION {"citationID":"KXSSqPCF","properties":{"formattedCitation":"(Engel, 2005)","plainCitation":"(Engel, 2005)","dontUpdate":true,"noteIndex":0},"citationItems":[{"id":201,"uris":["http://zotero.org/groups/318634/items/WZ52WSSW"],"uri":["http://zotero.org/groups/318634/items/WZ52WSSW"],"itemData":{"id":201,"type":"article-journal","title":"Adaptation of oriented and unoriented color-selective neurons in human visual areas","container-title":"Neuron","page":"613-623","volume":"45","issue":"4","source":"PubMed","abstract":"Primary visual cortex contains at least two distinct populations of color-selective cells: neurons in one have circularly symmetric receptive fields and respond best to reddish and greenish light, while neurons in another have oriented receptive fields and a variety of color preferences. The relative prevalence and perceptual roles of the two kinds of neurons remain controversial, however. We used fMRI and a selective adaptation technique to measure responses attributable to these two populations. The technique revealed evidence of adaptation in both populations and indicated that they each produced strong signals in V1 and other human visual areas. The activity of both sets of neurons was also reflected in color appearance measurements made with the same stimuli. Thus, both oriented and unoriented color-selective cells in V1 are important components of the neural pathways that underlie perception of color.","DOI":"10.1016/j.neuron.2005.01.014","ISSN":"0896-6273","note":"PMID: 15721246","journalAbbreviation":"Neuron","language":"eng","author":[{"family":"Engel","given":"Stephen A."}],"issued":{"date-parts":[["2005",2,17]]}}}],"schema":"https://github.com/citation-style-language/schema/raw/master/csl-citation.json"} </w:instrText>
      </w:r>
      <w:r w:rsidRPr="00225AB0">
        <w:rPr>
          <w:rFonts w:ascii="Arial" w:hAnsi="Arial" w:cs="Arial"/>
        </w:rPr>
        <w:fldChar w:fldCharType="separate"/>
      </w:r>
      <w:r w:rsidRPr="00225AB0">
        <w:rPr>
          <w:rFonts w:ascii="Arial" w:hAnsi="Arial" w:cs="Arial"/>
          <w:noProof/>
        </w:rPr>
        <w:t>Engel (2005)</w:t>
      </w:r>
      <w:r w:rsidRPr="00225AB0">
        <w:rPr>
          <w:rFonts w:ascii="Arial" w:hAnsi="Arial" w:cs="Arial"/>
        </w:rPr>
        <w:fldChar w:fldCharType="end"/>
      </w:r>
      <w:r w:rsidRPr="00225AB0">
        <w:rPr>
          <w:rFonts w:ascii="Arial" w:hAnsi="Arial" w:cs="Arial"/>
        </w:rPr>
        <w:t xml:space="preserve"> </w:t>
      </w:r>
      <w:r w:rsidR="00924E16">
        <w:rPr>
          <w:rFonts w:ascii="Arial" w:hAnsi="Arial" w:cs="Arial"/>
        </w:rPr>
        <w:t xml:space="preserve">used adaptation to demonstrate the presence of neurons tuned jointly to </w:t>
      </w:r>
      <w:r w:rsidR="00924E16" w:rsidRPr="001B7359">
        <w:rPr>
          <w:rFonts w:ascii="Arial" w:hAnsi="Arial" w:cs="Arial"/>
        </w:rPr>
        <w:t xml:space="preserve">both </w:t>
      </w:r>
      <w:r w:rsidRPr="00170639">
        <w:rPr>
          <w:rFonts w:ascii="Arial" w:hAnsi="Arial" w:cs="Arial"/>
        </w:rPr>
        <w:t>colour</w:t>
      </w:r>
      <w:r w:rsidRPr="00225AB0">
        <w:rPr>
          <w:rFonts w:ascii="Arial" w:hAnsi="Arial" w:cs="Arial"/>
        </w:rPr>
        <w:t xml:space="preserve"> and orientation. </w:t>
      </w:r>
      <w:r w:rsidR="00924E16">
        <w:rPr>
          <w:rFonts w:ascii="Arial" w:hAnsi="Arial" w:cs="Arial"/>
        </w:rPr>
        <w:t>Single unit electrophysiology also supports this idea:</w:t>
      </w:r>
      <w:r w:rsidRPr="00225AB0">
        <w:rPr>
          <w:rFonts w:ascii="Arial" w:hAnsi="Arial" w:cs="Arial"/>
        </w:rPr>
        <w:t xml:space="preserve"> </w:t>
      </w:r>
      <w:r w:rsidRPr="00225AB0">
        <w:rPr>
          <w:rFonts w:ascii="Arial" w:hAnsi="Arial" w:cs="Arial"/>
        </w:rPr>
        <w:fldChar w:fldCharType="begin"/>
      </w:r>
      <w:r w:rsidR="005B4361">
        <w:rPr>
          <w:rFonts w:ascii="Arial" w:hAnsi="Arial" w:cs="Arial"/>
        </w:rPr>
        <w:instrText xml:space="preserve"> ADDIN ZOTERO_ITEM CSL_CITATION {"citationID":"wtjJmPDd","properties":{"formattedCitation":"(Economides, Sincich, Adams, &amp; Horton, 2011)","plainCitation":"(Economides, Sincich, Adams, &amp; Horton, 2011)","dontUpdate":true,"noteIndex":0},"citationItems":[{"id":269,"uris":["http://zotero.org/groups/318634/items/DCCSC5AT"],"uri":["http://zotero.org/groups/318634/items/DCCSC5AT"],"itemData":{"id":269,"type":"article-journal","title":"Orientation tuning of cytochrome oxidase patches in macaque primary visual cortex","container-title":"Nature neuroscience","page":"1574","volume":"14","issue":"12","source":"Google Scholar","author":[{"family":"Economides","given":"John R."},{"family":"Sincich","given":"Lawrence C."},{"family":"Adams","given":"Daniel L."},{"family":"Horton","given":"Jonathan C."}],"issued":{"date-parts":[["2011"]]}}}],"schema":"https://github.com/citation-style-language/schema/raw/master/csl-citation.json"} </w:instrText>
      </w:r>
      <w:r w:rsidRPr="00225AB0">
        <w:rPr>
          <w:rFonts w:ascii="Arial" w:hAnsi="Arial" w:cs="Arial"/>
        </w:rPr>
        <w:fldChar w:fldCharType="separate"/>
      </w:r>
      <w:r w:rsidRPr="00225AB0">
        <w:rPr>
          <w:rFonts w:ascii="Arial" w:hAnsi="Arial" w:cs="Arial"/>
          <w:noProof/>
        </w:rPr>
        <w:t>Economides, Sincich, Adams, &amp; Horton, (2011)</w:t>
      </w:r>
      <w:r w:rsidRPr="00225AB0">
        <w:rPr>
          <w:rFonts w:ascii="Arial" w:hAnsi="Arial" w:cs="Arial"/>
        </w:rPr>
        <w:fldChar w:fldCharType="end"/>
      </w:r>
      <w:r w:rsidRPr="00225AB0">
        <w:rPr>
          <w:rFonts w:ascii="Arial" w:hAnsi="Arial" w:cs="Arial"/>
        </w:rPr>
        <w:t xml:space="preserve"> identified only a subtle difference in orientation-selectivity between V1 blob and interblob cells, along with many previous researchers, suggesting the segregation of orientation processing </w:t>
      </w:r>
      <w:r w:rsidR="00D44AC6">
        <w:rPr>
          <w:rFonts w:ascii="Arial" w:hAnsi="Arial" w:cs="Arial"/>
        </w:rPr>
        <w:t>in</w:t>
      </w:r>
      <w:r w:rsidRPr="00225AB0">
        <w:rPr>
          <w:rFonts w:ascii="Arial" w:hAnsi="Arial" w:cs="Arial"/>
        </w:rPr>
        <w:t xml:space="preserve"> the visual cortex may not be as strict as once considered. Evidence for the existence of orientation-sensitive responses has now been identified in visual regions across the cortex, from V1, both dorsally and ventrally to higher visual areas such as LO-1 (e.g.</w:t>
      </w:r>
      <w:r w:rsidRPr="00225AB0">
        <w:rPr>
          <w:rFonts w:ascii="Arial" w:hAnsi="Arial" w:cs="Arial"/>
        </w:rPr>
        <w:fldChar w:fldCharType="begin"/>
      </w:r>
      <w:r w:rsidR="005B4361">
        <w:rPr>
          <w:rFonts w:ascii="Arial" w:hAnsi="Arial" w:cs="Arial"/>
        </w:rPr>
        <w:instrText xml:space="preserve"> ADDIN ZOTERO_ITEM CSL_CITATION {"citationID":"sXCDjcYh","properties":{"formattedCitation":"(Bevil R. Conway, Moeller, &amp; Tsao, 2007; Silson et al., 2013; Sumner, Anderson, Sylvester, Haynes, &amp; Rees, 2008)","plainCitation":"(Bevil R. Conway, Moeller, &amp; Tsao, 2007; Silson et al., 2013; Sumner, Anderson, Sylvester, Haynes, &amp; Rees, 2008)","dontUpdate":true,"noteIndex":0},"citationItems":[{"id":136,"uris":["http://zotero.org/groups/318634/items/AZPYGK6V"],"uri":["http://zotero.org/groups/318634/items/AZPYGK6V"],"itemData":{"id":136,"type":"article-journal","title":"Specialized color modules in macaque extrastriate cortex","container-title":"Neuron","page":"560-573","volume":"56","issue":"3","source":"PubMed","abstract":"Imaging studies are consistent with the existence of brain regions specialized for color, but electrophysiological studies have produced conflicting results. Here we address the neural basis for color, using targeted single-unit recording in alert macaque monkeys, guided by functional magnetic resonance imaging (fMRI) of the same subjects. Distributed within posterior inferior temporal cortex, a large region encompassing V4, PITd, and posterior TEO that some have proposed functions as a single visual complex, we found color-biased fMRI hotspots that we call \"globs,\" each several millimeters wide. Almost all cells located in globs showed strong luminance-invariant color tuning and some shape selectivity. Cells in different globs represented distinct visual field locations, consistent with the coarse retinotopy of this brain region. Cells in \"interglob\" regions were not color tuned, but were more strongly shape selective. Neither population was direction selective. These results suggest that color perception is mediated by specialized neurons that are clustered within the extrastriate brain.","DOI":"10.1016/j.neuron.2007.10.008","ISSN":"0896-6273","note":"PMID: 17988638","journalAbbreviation":"Neuron","language":"eng","author":[{"family":"Conway","given":"Bevil R."},{"family":"Moeller","given":"Sebastian"},{"family":"Tsao","given":"Doris Y."}],"issued":{"date-parts":[["2007",11,8]]}}},{"id":229,"uris":["http://zotero.org/groups/318634/items/W2MJSXD2"],"uri":["http://zotero.org/groups/318634/items/W2MJSXD2"],"itemData":{"id":229,"type":"article-journal","title":"Specialized and independent processing of orientation and shape in visual field maps LO1 and LO2","container-title":"Nature Neuroscience","page":"267","volume":"16","issue":"3","source":"Google Scholar","author":[{"family":"Silson","given":"Edward H."},{"family":"McKeefry","given":"Declan J."},{"family":"Rodgers","given":"Jessica"},{"family":"Gouws","given":"Andre D."},{"family":"Hymers","given":"Mark"},{"family":"Morland","given":"Antony B."}],"issued":{"date-parts":[["2013"]]}}},{"id":56,"uris":["http://zotero.org/groups/318634/items/LRFY4LYQ"],"uri":["http://zotero.org/groups/318634/items/LRFY4LYQ"],"itemData":{"id":56,"type":"article-journal","title":"Combined orientation and colour information in human V1 for both L-M and S-cone chromatic axes","container-title":"NeuroImage","page":"814-824","volume":"39","issue":"2","source":"PubMed","abstract":"Although it is widely held that colour and form are processed separately in early visual cortex, there is growing evidence that primary visual cortex (V1) may show some joint selectivity for orientation and colour. Colour is supplied to V1 via two very different pathways: the parvocellular pathway (which also supports detailed form processing) carries L-M (\"red-green\") chromatic information, while a koniocellular pathway carries S-cone (\"lilac-yellow\") information. Therefore on entering V1, S-cone information is segregated from the pathways carrying form information, while L-M information is not. Whether signals from neuronal populations in human V1 reflect combined orientation and S-cone information has not been systematically addressed. We used fMRI in combination with a multivariate data analysis technique to investigate whether BOLD signals recorded from V1 contain information that could directly discriminate between orientations based on different types of chromatic information. We found selectivity in V1 for L-M and luminance-defined orientation signals, and most interestingly, also for S-cone defined orientation. We also found similarly successful orientation discrimination for both colour dimensions in V2 and V3. These results imply that a proportion of cells throughout human visual cortex show joint sensitivity to both colour and orientation. We discuss also the potential role of feedback to V1 from higher visual areas.","DOI":"10.1016/j.neuroimage.2007.09.013","ISSN":"1053-8119","note":"PMID: 17964188","journalAbbreviation":"Neuroimage","language":"eng","author":[{"family":"Sumner","given":"Petroc"},{"family":"Anderson","given":"Elaine J."},{"family":"Sylvester","given":"Richard"},{"family":"Haynes","given":"John-Dylan"},{"family":"Rees","given":"Geraint"}],"issued":{"date-parts":[["2008",1,15]]}}}],"schema":"https://github.com/citation-style-language/schema/raw/master/csl-citation.json"} </w:instrText>
      </w:r>
      <w:r w:rsidRPr="00225AB0">
        <w:rPr>
          <w:rFonts w:ascii="Arial" w:hAnsi="Arial" w:cs="Arial"/>
        </w:rPr>
        <w:fldChar w:fldCharType="separate"/>
      </w:r>
      <w:r w:rsidRPr="00225AB0">
        <w:rPr>
          <w:rFonts w:ascii="Arial" w:hAnsi="Arial" w:cs="Arial"/>
          <w:noProof/>
        </w:rPr>
        <w:t xml:space="preserve"> Conway, Moeller, &amp; Tsao, 2007; Silson et al., 2013; Sumner, Anderson, Sylvester, Haynes, &amp; Rees, 2008)</w:t>
      </w:r>
      <w:r w:rsidRPr="00225AB0">
        <w:rPr>
          <w:rFonts w:ascii="Arial" w:hAnsi="Arial" w:cs="Arial"/>
        </w:rPr>
        <w:fldChar w:fldCharType="end"/>
      </w:r>
      <w:r w:rsidRPr="00225AB0">
        <w:rPr>
          <w:rFonts w:ascii="Arial" w:hAnsi="Arial" w:cs="Arial"/>
        </w:rPr>
        <w:t xml:space="preserve">. </w:t>
      </w:r>
    </w:p>
    <w:p w14:paraId="5BB0D7BF" w14:textId="77777777" w:rsidR="000C73FA" w:rsidRPr="00225AB0" w:rsidRDefault="000C73FA" w:rsidP="000C73FA">
      <w:pPr>
        <w:spacing w:line="480" w:lineRule="auto"/>
        <w:rPr>
          <w:rFonts w:ascii="Arial" w:hAnsi="Arial" w:cs="Arial"/>
        </w:rPr>
      </w:pPr>
    </w:p>
    <w:p w14:paraId="2A51AB9B" w14:textId="77777777" w:rsidR="00B82607" w:rsidRPr="00EA4EBE" w:rsidRDefault="000C73FA" w:rsidP="001811CC">
      <w:pPr>
        <w:pStyle w:val="Heading4"/>
        <w:numPr>
          <w:ilvl w:val="3"/>
          <w:numId w:val="2"/>
        </w:numPr>
        <w:rPr>
          <w:rFonts w:ascii="Arial" w:hAnsi="Arial" w:cs="Arial"/>
          <w:color w:val="000000" w:themeColor="text1"/>
          <w:sz w:val="28"/>
          <w:szCs w:val="28"/>
        </w:rPr>
      </w:pPr>
      <w:bookmarkStart w:id="100" w:name="_Toc11147952"/>
      <w:bookmarkStart w:id="101" w:name="_Toc11930023"/>
      <w:bookmarkStart w:id="102" w:name="_Toc16075339"/>
      <w:r w:rsidRPr="00EA4EBE">
        <w:rPr>
          <w:rFonts w:ascii="Arial" w:hAnsi="Arial" w:cs="Arial"/>
          <w:color w:val="000000" w:themeColor="text1"/>
          <w:sz w:val="28"/>
          <w:szCs w:val="28"/>
        </w:rPr>
        <w:t>Perception of contrast</w:t>
      </w:r>
      <w:bookmarkEnd w:id="100"/>
      <w:bookmarkEnd w:id="101"/>
      <w:bookmarkEnd w:id="102"/>
    </w:p>
    <w:p w14:paraId="1A311E65" w14:textId="24DADE1C" w:rsidR="00A178A3" w:rsidRPr="00EA4EBE" w:rsidRDefault="000C73FA" w:rsidP="000C73FA">
      <w:pPr>
        <w:spacing w:line="480" w:lineRule="auto"/>
        <w:rPr>
          <w:rFonts w:ascii="Arial" w:hAnsi="Arial" w:cs="Arial"/>
        </w:rPr>
      </w:pPr>
      <w:r w:rsidRPr="00EA4EBE">
        <w:rPr>
          <w:rFonts w:ascii="Arial" w:hAnsi="Arial" w:cs="Arial"/>
        </w:rPr>
        <w:t xml:space="preserve">The human visual system is highly sensitive to contrast (differences in illumination). </w:t>
      </w:r>
      <w:r w:rsidR="00A178A3" w:rsidRPr="00EA4EBE">
        <w:rPr>
          <w:rFonts w:ascii="Arial" w:hAnsi="Arial" w:cs="Arial"/>
        </w:rPr>
        <w:t xml:space="preserve">Retinal photoreceptors possess a dynamic range </w:t>
      </w:r>
      <w:r w:rsidR="00E03A81" w:rsidRPr="00EA4EBE">
        <w:rPr>
          <w:rFonts w:ascii="Arial" w:hAnsi="Arial" w:cs="Arial"/>
        </w:rPr>
        <w:t>with</w:t>
      </w:r>
      <w:r w:rsidR="00A178A3" w:rsidRPr="00EA4EBE">
        <w:rPr>
          <w:rFonts w:ascii="Arial" w:hAnsi="Arial" w:cs="Arial"/>
        </w:rPr>
        <w:t xml:space="preserve"> a maximum of two orders of magnitude, yet across the visual system, we are able to scale responses efficiently to process information across more than ten orders of magnitude </w:t>
      </w:r>
      <w:r w:rsidR="00A178A3" w:rsidRPr="00EA4EBE">
        <w:rPr>
          <w:rFonts w:ascii="Arial" w:hAnsi="Arial" w:cs="Arial"/>
        </w:rPr>
        <w:fldChar w:fldCharType="begin"/>
      </w:r>
      <w:r w:rsidR="005B4361" w:rsidRPr="00EA4EBE">
        <w:rPr>
          <w:rFonts w:ascii="Arial" w:hAnsi="Arial" w:cs="Arial"/>
        </w:rPr>
        <w:instrText xml:space="preserve"> ADDIN ZOTERO_ITEM CSL_CITATION {"citationID":"EREDVPhv","properties":{"formattedCitation":"(Ohzawa, Sclar, &amp; Freeman, 1985)","plainCitation":"(Ohzawa, Sclar, &amp; Freeman, 1985)","noteIndex":0},"citationItems":[{"id":200,"uris":["http://zotero.org/groups/318634/items/WD78KGSY"],"uri":["http://zotero.org/groups/318634/items/WD78KGSY"],"itemData":{"id":200,"type":"article-journal","title":"Contrast gain control in the cat's visual system","container-title":"Journal of Neurophysiology","page":"651-667","volume":"54","issue":"3","source":"PubMed","abstract":"We have examined the idea that the adaptation of cortical neurons to local contrast levels in a visual stimulus is functionally advantageous. Specifically, cortical cells may have large differential contrast sensitivity as a result of adjustments that center a limited response range around a mean level of contrast. To evaluate this notion, we measured contrast-response functions of cells in striate cortex while systematically adapting them to different contrast levels of stimulus gratings. For the majority of cortical neurons tested, the results of this basic experiment show that contrast-response functions shift laterally along a log-contrast axis so that response functions match mean contrast levels in the stimulus. This implies a contrast-dependent change in the gain of the cell's contrast-response relationship. We define this process as contrast gain control. The degree to which this contrast adjustment occurs varies considerably from cell to cell. There are no obvious differences regarding cell type (simple vs. complex) or laminar distribution. Contrast gain control is almost certainly a cortical function, since lateral geniculate cells and fibers exhibit only minimal effects. Tests presented in the accompanying paper (37) provide additional evidence on the cortical origin of the process. In another series of experiments, the effect of contrast adaptation on physiological estimates of contrast sensitivity was evaluated. Sustained adaptation to contrast levels as low as 3% was capable of nearly doubling the thresholds of most of the cells tested. Adaptation may therefore be an important factor in determinations of the contrast sensitivity of cortical neurons. We tested the spatial extent of the mechanisms responsible for these gain-control effects by attempting to adapt cells using both a large grating and a grating patch limited to that portion of a cell's receptive field from which excitatory discharges could be elicited directly (the central discharge region). Adaptation was found to be an exclusive property of the central region. This held even in the case of hypercomplex cells, which received strong influences from surrounding regions of the visual field. Finally, we measured the time course of contrast adaptation. We found the process to be rather slow, with a mean time constant of approximately 6 s. Once again, there was considerable variability in this value from cell to cell.","DOI":"10.1152/jn.1985.54.3.651","ISSN":"0022-3077","note":"PMID: 4045542","journalAbbreviation":"J. Neurophysiol.","language":"eng","author":[{"family":"Ohzawa","given":"I."},{"family":"Sclar","given":"G."},{"family":"Freeman","given":"R. D."}],"issued":{"date-parts":[["1985",9]]}}}],"schema":"https://github.com/citation-style-language/schema/raw/master/csl-citation.json"} </w:instrText>
      </w:r>
      <w:r w:rsidR="00A178A3" w:rsidRPr="00EA4EBE">
        <w:rPr>
          <w:rFonts w:ascii="Arial" w:hAnsi="Arial" w:cs="Arial"/>
        </w:rPr>
        <w:fldChar w:fldCharType="separate"/>
      </w:r>
      <w:r w:rsidR="00A178A3" w:rsidRPr="00EA4EBE">
        <w:rPr>
          <w:rFonts w:ascii="Arial" w:hAnsi="Arial" w:cs="Arial"/>
          <w:noProof/>
        </w:rPr>
        <w:t>(Ohzawa, Sclar, &amp; Freeman, 1985)</w:t>
      </w:r>
      <w:r w:rsidR="00A178A3" w:rsidRPr="00EA4EBE">
        <w:rPr>
          <w:rFonts w:ascii="Arial" w:hAnsi="Arial" w:cs="Arial"/>
        </w:rPr>
        <w:fldChar w:fldCharType="end"/>
      </w:r>
      <w:r w:rsidR="00A178A3" w:rsidRPr="00EA4EBE">
        <w:rPr>
          <w:rFonts w:ascii="Arial" w:hAnsi="Arial" w:cs="Arial"/>
        </w:rPr>
        <w:t>.</w:t>
      </w:r>
    </w:p>
    <w:p w14:paraId="524D27D5" w14:textId="74FDF649" w:rsidR="00E03A81" w:rsidRPr="00EA4EBE" w:rsidRDefault="00E03A81" w:rsidP="000C73FA">
      <w:pPr>
        <w:spacing w:line="480" w:lineRule="auto"/>
        <w:rPr>
          <w:rFonts w:ascii="Arial" w:hAnsi="Arial" w:cs="Arial"/>
        </w:rPr>
      </w:pPr>
    </w:p>
    <w:p w14:paraId="4DDE3B8A" w14:textId="734449F8" w:rsidR="00E03A81" w:rsidRPr="00EA4EBE" w:rsidRDefault="00E03A81" w:rsidP="000C73FA">
      <w:pPr>
        <w:spacing w:line="480" w:lineRule="auto"/>
        <w:rPr>
          <w:rFonts w:ascii="Arial" w:hAnsi="Arial" w:cs="Arial"/>
        </w:rPr>
      </w:pPr>
      <w:r w:rsidRPr="00EA4EBE">
        <w:rPr>
          <w:rFonts w:ascii="Arial" w:hAnsi="Arial" w:cs="Arial"/>
        </w:rPr>
        <w:t xml:space="preserve">Contrast gain control refers to the ability of the visual system to centre the limited response range of a cell around a mean level of contrast </w:t>
      </w:r>
      <w:r w:rsidR="002B1590" w:rsidRPr="00EA4EBE">
        <w:rPr>
          <w:rFonts w:ascii="Arial" w:hAnsi="Arial" w:cs="Arial"/>
        </w:rPr>
        <w:fldChar w:fldCharType="begin"/>
      </w:r>
      <w:r w:rsidR="002B1590" w:rsidRPr="00EA4EBE">
        <w:rPr>
          <w:rFonts w:ascii="Arial" w:hAnsi="Arial" w:cs="Arial"/>
        </w:rPr>
        <w:instrText xml:space="preserve"> ADDIN ZOTERO_ITEM CSL_CITATION {"citationID":"qL9JxjY3","properties":{"formattedCitation":"(Ohzawa et al., 1985)","plainCitation":"(Ohzawa et al., 1985)","noteIndex":0},"citationItems":[{"id":200,"uris":["http://zotero.org/groups/318634/items/WD78KGSY"],"uri":["http://zotero.org/groups/318634/items/WD78KGSY"],"itemData":{"id":200,"type":"article-journal","title":"Contrast gain control in the cat's visual system","container-title":"Journal of Neurophysiology","page":"651-667","volume":"54","issue":"3","source":"PubMed","abstract":"We have examined the idea that the adaptation of cortical neurons to local contrast levels in a visual stimulus is functionally advantageous. Specifically, cortical cells may have large differential contrast sensitivity as a result of adjustments that center a limited response range around a mean level of contrast. To evaluate this notion, we measured contrast-response functions of cells in striate cortex while systematically adapting them to different contrast levels of stimulus gratings. For the majority of cortical neurons tested, the results of this basic experiment show that contrast-response functions shift laterally along a log-contrast axis so that response functions match mean contrast levels in the stimulus. This implies a contrast-dependent change in the gain of the cell's contrast-response relationship. We define this process as contrast gain control. The degree to which this contrast adjustment occurs varies considerably from cell to cell. There are no obvious differences regarding cell type (simple vs. complex) or laminar distribution. Contrast gain control is almost certainly a cortical function, since lateral geniculate cells and fibers exhibit only minimal effects. Tests presented in the accompanying paper (37) provide additional evidence on the cortical origin of the process. In another series of experiments, the effect of contrast adaptation on physiological estimates of contrast sensitivity was evaluated. Sustained adaptation to contrast levels as low as 3% was capable of nearly doubling the thresholds of most of the cells tested. Adaptation may therefore be an important factor in determinations of the contrast sensitivity of cortical neurons. We tested the spatial extent of the mechanisms responsible for these gain-control effects by attempting to adapt cells using both a large grating and a grating patch limited to that portion of a cell's receptive field from which excitatory discharges could be elicited directly (the central discharge region). Adaptation was found to be an exclusive property of the central region. This held even in the case of hypercomplex cells, which received strong influences from surrounding regions of the visual field. Finally, we measured the time course of contrast adaptation. We found the process to be rather slow, with a mean time constant of approximately 6 s. Once again, there was considerable variability in this value from cell to cell.","DOI":"10.1152/jn.1985.54.3.651","ISSN":"0022-3077","note":"PMID: 4045542","journalAbbreviation":"J. Neurophysiol.","language":"eng","author":[{"family":"Ohzawa","given":"I."},{"family":"Sclar","given":"G."},{"family":"Freeman","given":"R. D."}],"issued":{"date-parts":[["1985",9]]}}}],"schema":"https://github.com/citation-style-language/schema/raw/master/csl-citation.json"} </w:instrText>
      </w:r>
      <w:r w:rsidR="002B1590" w:rsidRPr="00EA4EBE">
        <w:rPr>
          <w:rFonts w:ascii="Arial" w:hAnsi="Arial" w:cs="Arial"/>
        </w:rPr>
        <w:fldChar w:fldCharType="separate"/>
      </w:r>
      <w:r w:rsidR="002B1590" w:rsidRPr="00EA4EBE">
        <w:rPr>
          <w:rFonts w:ascii="Arial" w:hAnsi="Arial" w:cs="Arial"/>
          <w:noProof/>
        </w:rPr>
        <w:t>(Ohzawa et al., 1985)</w:t>
      </w:r>
      <w:r w:rsidR="002B1590" w:rsidRPr="00EA4EBE">
        <w:rPr>
          <w:rFonts w:ascii="Arial" w:hAnsi="Arial" w:cs="Arial"/>
        </w:rPr>
        <w:fldChar w:fldCharType="end"/>
      </w:r>
      <w:r w:rsidR="002B1590" w:rsidRPr="00EA4EBE">
        <w:rPr>
          <w:rFonts w:ascii="Arial" w:hAnsi="Arial" w:cs="Arial"/>
        </w:rPr>
        <w:t xml:space="preserve">. </w:t>
      </w:r>
      <w:r w:rsidRPr="00EA4EBE">
        <w:rPr>
          <w:rFonts w:ascii="Arial" w:hAnsi="Arial" w:cs="Arial"/>
        </w:rPr>
        <w:t xml:space="preserve">It begins in the retina </w:t>
      </w:r>
      <w:r w:rsidR="002B1590" w:rsidRPr="00EA4EBE">
        <w:rPr>
          <w:rFonts w:ascii="Arial" w:hAnsi="Arial" w:cs="Arial"/>
        </w:rPr>
        <w:fldChar w:fldCharType="begin"/>
      </w:r>
      <w:r w:rsidR="002B1590" w:rsidRPr="00EA4EBE">
        <w:rPr>
          <w:rFonts w:ascii="Arial" w:hAnsi="Arial" w:cs="Arial"/>
        </w:rPr>
        <w:instrText xml:space="preserve"> ADDIN ZOTERO_ITEM CSL_CITATION {"citationID":"tMlMPvXM","properties":{"formattedCitation":"(Shapley &amp; Enroth-Cugell, 1984)","plainCitation":"(Shapley &amp; Enroth-Cugell, 1984)","noteIndex":0},"citationItems":[{"id":538,"uris":["http://zotero.org/groups/318634/items/MRVLWUCT"],"uri":["http://zotero.org/groups/318634/items/MRVLWUCT"],"itemData":{"id":538,"type":"article-journal","title":"Chapter 9 Visual adaptation and retinal gain controls","container-title":"Progress in Retinal Research","page":"263-346","volume":"3","source":"ScienceDirect","DOI":"10.1016/0278-4327(84)90011-7","ISSN":"0278-4327","journalAbbreviation":"Progress in Retinal Research","author":[{"family":"Shapley","given":"Robert"},{"family":"Enroth-Cugell","given":"Christina"}],"issued":{"date-parts":[["1984",1,1]]}}}],"schema":"https://github.com/citation-style-language/schema/raw/master/csl-citation.json"} </w:instrText>
      </w:r>
      <w:r w:rsidR="002B1590" w:rsidRPr="00EA4EBE">
        <w:rPr>
          <w:rFonts w:ascii="Arial" w:hAnsi="Arial" w:cs="Arial"/>
        </w:rPr>
        <w:fldChar w:fldCharType="separate"/>
      </w:r>
      <w:r w:rsidR="002B1590" w:rsidRPr="00EA4EBE">
        <w:rPr>
          <w:rFonts w:ascii="Arial" w:hAnsi="Arial" w:cs="Arial"/>
          <w:noProof/>
        </w:rPr>
        <w:t>(Shapley &amp; Enroth-Cugell, 1984)</w:t>
      </w:r>
      <w:r w:rsidR="002B1590" w:rsidRPr="00EA4EBE">
        <w:rPr>
          <w:rFonts w:ascii="Arial" w:hAnsi="Arial" w:cs="Arial"/>
        </w:rPr>
        <w:fldChar w:fldCharType="end"/>
      </w:r>
      <w:r w:rsidR="002B1590" w:rsidRPr="00EA4EBE">
        <w:rPr>
          <w:rFonts w:ascii="Arial" w:hAnsi="Arial" w:cs="Arial"/>
        </w:rPr>
        <w:t xml:space="preserve"> </w:t>
      </w:r>
      <w:r w:rsidRPr="00EA4EBE">
        <w:rPr>
          <w:rFonts w:ascii="Arial" w:hAnsi="Arial" w:cs="Arial"/>
        </w:rPr>
        <w:t>and is strengthened along the visual hierarchy</w:t>
      </w:r>
      <w:r w:rsidR="002B1590" w:rsidRPr="00EA4EBE">
        <w:rPr>
          <w:rFonts w:ascii="Arial" w:hAnsi="Arial" w:cs="Arial"/>
        </w:rPr>
        <w:t xml:space="preserve"> </w:t>
      </w:r>
      <w:r w:rsidR="002B1590" w:rsidRPr="00EA4EBE">
        <w:rPr>
          <w:rFonts w:ascii="Arial" w:hAnsi="Arial" w:cs="Arial"/>
        </w:rPr>
        <w:fldChar w:fldCharType="begin"/>
      </w:r>
      <w:r w:rsidR="002B1590" w:rsidRPr="00EA4EBE">
        <w:rPr>
          <w:rFonts w:ascii="Arial" w:hAnsi="Arial" w:cs="Arial"/>
        </w:rPr>
        <w:instrText xml:space="preserve"> ADDIN ZOTERO_ITEM CSL_CITATION {"citationID":"XCcJttLm","properties":{"formattedCitation":"(Sclar, Maunsell, &amp; Lennie, 1990)","plainCitation":"(Sclar, Maunsell, &amp; Lennie, 1990)","noteIndex":0},"citationItems":[{"id":231,"uris":["http://zotero.org/groups/318634/items/NQMZIVLB"],"uri":["http://zotero.org/groups/318634/items/NQMZIVLB"],"itemData":{"id":231,"type":"article-journal","title":"Coding of image contrast in central visual pathways of the macaque monkey","container-title":"Vision research","page":"1–10","volume":"30","issue":"1","source":"Google Scholar","author":[{"family":"Sclar","given":"Gary"},{"family":"Maunsell","given":"John HR"},{"family":"Lennie","given":"Peter"}],"issued":{"date-parts":[["1990"]]}}}],"schema":"https://github.com/citation-style-language/schema/raw/master/csl-citation.json"} </w:instrText>
      </w:r>
      <w:r w:rsidR="002B1590" w:rsidRPr="00EA4EBE">
        <w:rPr>
          <w:rFonts w:ascii="Arial" w:hAnsi="Arial" w:cs="Arial"/>
        </w:rPr>
        <w:fldChar w:fldCharType="separate"/>
      </w:r>
      <w:r w:rsidR="002B1590" w:rsidRPr="00EA4EBE">
        <w:rPr>
          <w:rFonts w:ascii="Arial" w:hAnsi="Arial" w:cs="Arial"/>
          <w:noProof/>
        </w:rPr>
        <w:t>(Sclar, Maunsell, &amp; Lennie, 1990)</w:t>
      </w:r>
      <w:r w:rsidR="002B1590" w:rsidRPr="00EA4EBE">
        <w:rPr>
          <w:rFonts w:ascii="Arial" w:hAnsi="Arial" w:cs="Arial"/>
        </w:rPr>
        <w:fldChar w:fldCharType="end"/>
      </w:r>
      <w:r w:rsidRPr="00EA4EBE">
        <w:rPr>
          <w:rFonts w:ascii="Arial" w:hAnsi="Arial" w:cs="Arial"/>
        </w:rPr>
        <w:t xml:space="preserve">. It regulates the gain and integration time of the visual system on the basis of </w:t>
      </w:r>
      <w:r w:rsidRPr="00EA4EBE">
        <w:rPr>
          <w:rFonts w:ascii="Arial" w:hAnsi="Arial" w:cs="Arial"/>
        </w:rPr>
        <w:lastRenderedPageBreak/>
        <w:t xml:space="preserve">the locally prevalent contrast and the luminance of a stimulus versus the mean luminance present </w:t>
      </w:r>
      <w:r w:rsidR="00D44AC6">
        <w:rPr>
          <w:rFonts w:ascii="Arial" w:hAnsi="Arial" w:cs="Arial"/>
        </w:rPr>
        <w:t>in</w:t>
      </w:r>
      <w:r w:rsidRPr="00EA4EBE">
        <w:rPr>
          <w:rFonts w:ascii="Arial" w:hAnsi="Arial" w:cs="Arial"/>
        </w:rPr>
        <w:t xml:space="preserve"> a visual scene. Both gain and integration time are reduced when contrast is high, and are increased when contrast is low </w:t>
      </w:r>
      <w:r w:rsidR="002B1590" w:rsidRPr="00EA4EBE">
        <w:rPr>
          <w:rFonts w:ascii="Arial" w:hAnsi="Arial" w:cs="Arial"/>
        </w:rPr>
        <w:fldChar w:fldCharType="begin"/>
      </w:r>
      <w:r w:rsidR="002B1590" w:rsidRPr="00EA4EBE">
        <w:rPr>
          <w:rFonts w:ascii="Arial" w:hAnsi="Arial" w:cs="Arial"/>
        </w:rPr>
        <w:instrText xml:space="preserve"> ADDIN ZOTERO_ITEM CSL_CITATION {"citationID":"twmROsIR","properties":{"formattedCitation":"(Carandini et al., 2005)","plainCitation":"(Carandini et al., 2005)","noteIndex":0},"citationItems":[{"id":539,"uris":["http://zotero.org/groups/318634/items/F7QFINKU"],"uri":["http://zotero.org/groups/318634/items/F7QFINKU"],"itemData":{"id":539,"type":"article-journal","title":"Do we know what the early visual system does?","container-title":"The Journal of Neuroscience: The Official Journal of the Society for Neuroscience","page":"10577-10597","volume":"25","issue":"46","source":"PubMed","abstract":"We can claim that we know what the visual system does once we can predict neural responses to arbitrary stimuli, including those seen in nature. In the early visual system, models based on one or more linear receptive fields hold promise to achieve this goal as long as the models include nonlinear mechanisms that control responsiveness, based on stimulus context and history, and take into account the nonlinearity of spike generation. These linear and nonlinear mechanisms might be the only essential determinants of the response, or alternatively, there may be additional fundamental determinants yet to be identified. Research is progressing with the goals of defining a single \"standard model\" for each stage of the visual pathway and testing the predictive power of these models on the responses to movies of natural scenes. These predictive models represent, at a given stage of the visual pathway, a compact description of visual computation. They would be an invaluable guide for understanding the underlying biophysical and anatomical mechanisms and relating neural responses to visual perception.","DOI":"10.1523/JNEUROSCI.3726-05.2005","ISSN":"1529-2401","note":"PMID: 16291931","journalAbbreviation":"J. Neurosci.","language":"eng","author":[{"family":"Carandini","given":"Matteo"},{"family":"Demb","given":"Jonathan B."},{"family":"Mante","given":"Valerio"},{"family":"Tolhurst","given":"David J."},{"family":"Dan","given":"Yang"},{"family":"Olshausen","given":"Bruno A."},{"family":"Gallant","given":"Jack L."},{"family":"Rust","given":"Nicole C."}],"issued":{"date-parts":[["2005",11,16]]}}}],"schema":"https://github.com/citation-style-language/schema/raw/master/csl-citation.json"} </w:instrText>
      </w:r>
      <w:r w:rsidR="002B1590" w:rsidRPr="00EA4EBE">
        <w:rPr>
          <w:rFonts w:ascii="Arial" w:hAnsi="Arial" w:cs="Arial"/>
        </w:rPr>
        <w:fldChar w:fldCharType="separate"/>
      </w:r>
      <w:r w:rsidR="002B1590" w:rsidRPr="00EA4EBE">
        <w:rPr>
          <w:rFonts w:ascii="Arial" w:hAnsi="Arial" w:cs="Arial"/>
          <w:noProof/>
        </w:rPr>
        <w:t>(Carandini et al., 2005)</w:t>
      </w:r>
      <w:r w:rsidR="002B1590" w:rsidRPr="00EA4EBE">
        <w:rPr>
          <w:rFonts w:ascii="Arial" w:hAnsi="Arial" w:cs="Arial"/>
        </w:rPr>
        <w:fldChar w:fldCharType="end"/>
      </w:r>
      <w:r w:rsidR="002B1590" w:rsidRPr="00EA4EBE">
        <w:rPr>
          <w:rFonts w:ascii="Arial" w:hAnsi="Arial" w:cs="Arial"/>
        </w:rPr>
        <w:t xml:space="preserve">. </w:t>
      </w:r>
      <w:r w:rsidRPr="00EA4EBE">
        <w:rPr>
          <w:rFonts w:ascii="Arial" w:hAnsi="Arial" w:cs="Arial"/>
        </w:rPr>
        <w:t xml:space="preserve">Contrast gain control mechanisms reduce the impact of large changes in mean contrast such as occur during eye movements. </w:t>
      </w:r>
    </w:p>
    <w:p w14:paraId="6967CE4C" w14:textId="77777777" w:rsidR="000C73FA" w:rsidRPr="00EA4EBE" w:rsidRDefault="000C73FA" w:rsidP="000C73FA">
      <w:pPr>
        <w:spacing w:line="480" w:lineRule="auto"/>
        <w:rPr>
          <w:rFonts w:ascii="Arial" w:hAnsi="Arial" w:cs="Arial"/>
        </w:rPr>
      </w:pPr>
    </w:p>
    <w:p w14:paraId="0A0A6F92" w14:textId="1DD69479" w:rsidR="00D06512" w:rsidRPr="00EA4EBE" w:rsidRDefault="00E03A81" w:rsidP="000C73FA">
      <w:pPr>
        <w:spacing w:line="480" w:lineRule="auto"/>
        <w:rPr>
          <w:rFonts w:ascii="Arial" w:hAnsi="Arial" w:cs="Arial"/>
        </w:rPr>
      </w:pPr>
      <w:r w:rsidRPr="00EA4EBE">
        <w:rPr>
          <w:rFonts w:ascii="Arial" w:hAnsi="Arial" w:cs="Arial"/>
        </w:rPr>
        <w:t xml:space="preserve">For example, </w:t>
      </w:r>
      <w:r w:rsidR="000C73FA" w:rsidRPr="00EA4EBE">
        <w:rPr>
          <w:rFonts w:ascii="Arial" w:hAnsi="Arial" w:cs="Arial"/>
        </w:rPr>
        <w:fldChar w:fldCharType="begin"/>
      </w:r>
      <w:r w:rsidR="005B4361" w:rsidRPr="00EA4EBE">
        <w:rPr>
          <w:rFonts w:ascii="Arial" w:hAnsi="Arial" w:cs="Arial"/>
        </w:rPr>
        <w:instrText xml:space="preserve"> ADDIN ZOTERO_ITEM CSL_CITATION {"citationID":"1ps6rG9Y","properties":{"formattedCitation":"(Gardner et al., 2005)","plainCitation":"(Gardner et al., 2005)","dontUpdate":true,"noteIndex":0},"citationItems":[{"id":13,"uris":["http://zotero.org/groups/318634/items/JETY9W6G"],"uri":["http://zotero.org/groups/318634/items/JETY9W6G"],"itemData":{"id":13,"type":"article-journal","title":"Contrast adaptation and representation in human early visual cortex","container-title":"Neuron","page":"607-620","volume":"47","issue":"4","source":"PubMed Central","abstract":"The human visual system can distinguish variations in image contrast over a much larger range than measurements of the static relationship between contrast and response in visual cortex would suggest. This discrepancy may be explained if adaptation serves to recenter contrast response functions around the ambient contrast, yet experiments on humans have yet to report such an effect. By using event-related fMRI and a data-driven analysis approach, we found that contrast response functions in V1, V2 and V3 shift to approximately center on the adapting contrast. Furthermore, we discovered that unlike earlier areas, human V4 (hV4) responds positively to contrast changes regardless of the sign, suggesting that hV4 is sensitive to the salience of the change rather than faithfully representing contrast. These findings suggest that the visual system discounts slow uninformative changes in contrast with adaptation, yet remains exquisitely sensitive to changes that may signal important events in the environment.","DOI":"10.1016/j.neuron.2005.07.016","ISSN":"0896-6273","note":"PMID: 16102542\nPMCID: PMC1475737","journalAbbreviation":"Neuron","author":[{"family":"Gardner","given":"Justin L."},{"family":"Sun","given":"Pei"},{"family":"Waggoner","given":"R. Allen"},{"family":"Ueno","given":"Kenichi"},{"family":"Tanaka","given":"Keiji"},{"family":"Cheng","given":"Kang"}],"issued":{"date-parts":[["2005",8,18]]}}}],"schema":"https://github.com/citation-style-language/schema/raw/master/csl-citation.json"} </w:instrText>
      </w:r>
      <w:r w:rsidR="000C73FA" w:rsidRPr="00EA4EBE">
        <w:rPr>
          <w:rFonts w:ascii="Arial" w:hAnsi="Arial" w:cs="Arial"/>
        </w:rPr>
        <w:fldChar w:fldCharType="separate"/>
      </w:r>
      <w:r w:rsidR="000C73FA" w:rsidRPr="00EA4EBE">
        <w:rPr>
          <w:rFonts w:ascii="Arial" w:hAnsi="Arial" w:cs="Arial"/>
          <w:noProof/>
        </w:rPr>
        <w:t>Gardner et al., (2005)</w:t>
      </w:r>
      <w:r w:rsidR="000C73FA" w:rsidRPr="00EA4EBE">
        <w:rPr>
          <w:rFonts w:ascii="Arial" w:hAnsi="Arial" w:cs="Arial"/>
        </w:rPr>
        <w:fldChar w:fldCharType="end"/>
      </w:r>
      <w:r w:rsidR="000C73FA" w:rsidRPr="00EA4EBE">
        <w:rPr>
          <w:rFonts w:ascii="Arial" w:hAnsi="Arial" w:cs="Arial"/>
        </w:rPr>
        <w:t xml:space="preserve"> </w:t>
      </w:r>
      <w:r w:rsidR="00C734F1" w:rsidRPr="00EA4EBE">
        <w:rPr>
          <w:rFonts w:ascii="Arial" w:hAnsi="Arial" w:cs="Arial"/>
        </w:rPr>
        <w:t>provided the first evidence of</w:t>
      </w:r>
      <w:r w:rsidRPr="00EA4EBE">
        <w:rPr>
          <w:rFonts w:ascii="Arial" w:hAnsi="Arial" w:cs="Arial"/>
        </w:rPr>
        <w:t xml:space="preserve"> a</w:t>
      </w:r>
      <w:r w:rsidR="00C734F1" w:rsidRPr="00EA4EBE">
        <w:rPr>
          <w:rFonts w:ascii="Arial" w:hAnsi="Arial" w:cs="Arial"/>
        </w:rPr>
        <w:t xml:space="preserve"> </w:t>
      </w:r>
      <w:r w:rsidRPr="00EA4EBE">
        <w:rPr>
          <w:rFonts w:ascii="Arial" w:hAnsi="Arial" w:cs="Arial"/>
        </w:rPr>
        <w:t xml:space="preserve">contrast </w:t>
      </w:r>
      <w:r w:rsidR="00C734F1" w:rsidRPr="00EA4EBE">
        <w:rPr>
          <w:rFonts w:ascii="Arial" w:hAnsi="Arial" w:cs="Arial"/>
        </w:rPr>
        <w:t xml:space="preserve">gain control mechanism </w:t>
      </w:r>
      <w:r w:rsidR="00D44AC6">
        <w:rPr>
          <w:rFonts w:ascii="Arial" w:hAnsi="Arial" w:cs="Arial"/>
        </w:rPr>
        <w:t>in</w:t>
      </w:r>
      <w:r w:rsidR="00C734F1" w:rsidRPr="00EA4EBE">
        <w:rPr>
          <w:rFonts w:ascii="Arial" w:hAnsi="Arial" w:cs="Arial"/>
        </w:rPr>
        <w:t xml:space="preserve"> early visual cortex (V1, V2 and V3) which adapts to the mean contrast level</w:t>
      </w:r>
      <w:r w:rsidRPr="00EA4EBE">
        <w:rPr>
          <w:rFonts w:ascii="Arial" w:hAnsi="Arial" w:cs="Arial"/>
        </w:rPr>
        <w:t>, using event-related fMRI</w:t>
      </w:r>
      <w:r w:rsidR="00C734F1" w:rsidRPr="00EA4EBE">
        <w:rPr>
          <w:rFonts w:ascii="Arial" w:hAnsi="Arial" w:cs="Arial"/>
        </w:rPr>
        <w:t xml:space="preserve">. </w:t>
      </w:r>
      <w:r w:rsidR="000C73FA" w:rsidRPr="00EA4EBE">
        <w:rPr>
          <w:rFonts w:ascii="Arial" w:hAnsi="Arial" w:cs="Arial"/>
        </w:rPr>
        <w:t>Neurons in V1, V2 and V3 appeared to shift their contrast response functions to centre their maximum response at the adapting contrast level</w:t>
      </w:r>
      <w:r w:rsidR="00A178A3" w:rsidRPr="00EA4EBE">
        <w:rPr>
          <w:rFonts w:ascii="Arial" w:hAnsi="Arial" w:cs="Arial"/>
        </w:rPr>
        <w:t xml:space="preserve"> (contrast gain)</w:t>
      </w:r>
      <w:r w:rsidR="00C734F1" w:rsidRPr="00EA4EBE">
        <w:rPr>
          <w:rFonts w:ascii="Arial" w:hAnsi="Arial" w:cs="Arial"/>
        </w:rPr>
        <w:t xml:space="preserve">. However, </w:t>
      </w:r>
      <w:r w:rsidR="000C73FA" w:rsidRPr="00EA4EBE">
        <w:rPr>
          <w:rFonts w:ascii="Arial" w:hAnsi="Arial" w:cs="Arial"/>
        </w:rPr>
        <w:t>hV4 responses indicated sensitivity to the salience of contrast change rather than a providing a pure contrast representation</w:t>
      </w:r>
      <w:r w:rsidR="00C734F1" w:rsidRPr="00EA4EBE">
        <w:rPr>
          <w:rFonts w:ascii="Arial" w:hAnsi="Arial" w:cs="Arial"/>
        </w:rPr>
        <w:t>, responding positively to both increments and decrements in contrast</w:t>
      </w:r>
      <w:r w:rsidR="000C73FA" w:rsidRPr="00EA4EBE">
        <w:rPr>
          <w:rFonts w:ascii="Arial" w:hAnsi="Arial" w:cs="Arial"/>
        </w:rPr>
        <w:t>.</w:t>
      </w:r>
      <w:r w:rsidR="00C734F1" w:rsidRPr="00EA4EBE">
        <w:rPr>
          <w:rFonts w:ascii="Arial" w:hAnsi="Arial" w:cs="Arial"/>
        </w:rPr>
        <w:t xml:space="preserve"> This evidence suggested an ability of the visual system both to discount, slow, uninformative changes in contrast with adaptation, and to remain highly-sensitive to contrast changes which may signal important events in the environment. </w:t>
      </w:r>
      <w:r w:rsidR="000C73FA" w:rsidRPr="00EA4EBE">
        <w:rPr>
          <w:rFonts w:ascii="Arial" w:hAnsi="Arial" w:cs="Arial"/>
        </w:rPr>
        <w:t xml:space="preserve"> In support</w:t>
      </w:r>
      <w:r w:rsidRPr="00EA4EBE">
        <w:rPr>
          <w:rFonts w:ascii="Arial" w:hAnsi="Arial" w:cs="Arial"/>
        </w:rPr>
        <w:t xml:space="preserve">, </w:t>
      </w:r>
      <w:r w:rsidR="004C0908" w:rsidRPr="00EA4EBE">
        <w:rPr>
          <w:rFonts w:ascii="Arial" w:hAnsi="Arial" w:cs="Arial"/>
        </w:rPr>
        <w:fldChar w:fldCharType="begin"/>
      </w:r>
      <w:r w:rsidR="00995B3D" w:rsidRPr="00EA4EBE">
        <w:rPr>
          <w:rFonts w:ascii="Arial" w:hAnsi="Arial" w:cs="Arial"/>
        </w:rPr>
        <w:instrText xml:space="preserve"> ADDIN ZOTERO_ITEM CSL_CITATION {"citationID":"Jnj36sN1","properties":{"formattedCitation":"(Wang &amp; Wade, 2011)","plainCitation":"(Wang &amp; Wade, 2011)","dontUpdate":true,"noteIndex":0},"citationItems":[{"id":289,"uris":["http://zotero.org/groups/318634/items/QSDMITNB"],"uri":["http://zotero.org/groups/318634/items/QSDMITNB"],"itemData":{"id":289,"type":"article-journal","title":"Differential attentional modulation of cortical responses to S-cone and luminance stimuli","container-title":"Journal of Vision","page":"1-15","volume":"11","issue":"6","abstract":"Neural signals driven by short-wave-sensitive (S) cones are, to a large degree, anatomically and functionally separate from the achromatic luminance pathway until at least one synapse into V1. Attentional mechanisms that act at an anatomically early stage in V1 may, therefore, affect S-cone and luminance signals differently. Here, we used a steady-state visually evoked potential (SSVEP) paradigm combined with electrical source imaging to study the effects of contrast and attention on neural responses to both chromatic S-cone isolating and achromatic stimuli in five human visual areas including V1. The responses to these gratings were affected very differently by changes in contrast and attention. Increasing cone contrast increased the response amplitude for both types of stimulus. For the S-cone-defined stimuli, we also observed a systematic decrease in the response phase of the first harmonic with increasing stimulus contrast, but there was no corresponding change in phase for the first harmonic of the luminance probes. Attending to the contrast of the grating increased the amplitude and phase of luminance-driven responses but had no effect on S-cone-driven responses. We conclude that while attentional modulation can be observed in achromatic pathways as early as V1, attention may not affect SSVEP signals generated by S-cone stimuli.","DOI":"10.1167/11.6.1","ISSN":"1534-7362 (Electronic) 1534-7362 (Linking)","language":"eng","author":[{"family":"Wang","given":"J"},{"family":"Wade","given":"A R"}],"issued":{"date-parts":[["2011"]]}}}],"schema":"https://github.com/citation-style-language/schema/raw/master/csl-citation.json"} </w:instrText>
      </w:r>
      <w:r w:rsidR="004C0908" w:rsidRPr="00EA4EBE">
        <w:rPr>
          <w:rFonts w:ascii="Arial" w:hAnsi="Arial" w:cs="Arial"/>
        </w:rPr>
        <w:fldChar w:fldCharType="separate"/>
      </w:r>
      <w:r w:rsidR="004C0908" w:rsidRPr="00EA4EBE">
        <w:rPr>
          <w:rFonts w:ascii="Arial" w:hAnsi="Arial" w:cs="Arial"/>
          <w:noProof/>
        </w:rPr>
        <w:t>Wang &amp; Wade, (2011)</w:t>
      </w:r>
      <w:r w:rsidR="004C0908" w:rsidRPr="00EA4EBE">
        <w:rPr>
          <w:rFonts w:ascii="Arial" w:hAnsi="Arial" w:cs="Arial"/>
        </w:rPr>
        <w:fldChar w:fldCharType="end"/>
      </w:r>
      <w:r w:rsidR="004C0908" w:rsidRPr="00EA4EBE">
        <w:rPr>
          <w:rFonts w:ascii="Arial" w:hAnsi="Arial" w:cs="Arial"/>
        </w:rPr>
        <w:t xml:space="preserve"> </w:t>
      </w:r>
      <w:r w:rsidR="000C73FA" w:rsidRPr="00EA4EBE">
        <w:rPr>
          <w:rFonts w:ascii="Arial" w:hAnsi="Arial" w:cs="Arial"/>
        </w:rPr>
        <w:t xml:space="preserve">identified </w:t>
      </w:r>
      <w:r w:rsidR="00B85F19" w:rsidRPr="00EA4EBE">
        <w:rPr>
          <w:rFonts w:ascii="Arial" w:hAnsi="Arial" w:cs="Arial"/>
        </w:rPr>
        <w:t xml:space="preserve">evidence of </w:t>
      </w:r>
      <w:r w:rsidR="000C73FA" w:rsidRPr="00EA4EBE">
        <w:rPr>
          <w:rFonts w:ascii="Arial" w:hAnsi="Arial" w:cs="Arial"/>
        </w:rPr>
        <w:t xml:space="preserve">attentional modulation to achromatic contrast in visual areas as early as the primary visual cortex (V1).  </w:t>
      </w:r>
    </w:p>
    <w:p w14:paraId="7DBB9C6B" w14:textId="77777777" w:rsidR="00D06512" w:rsidRPr="00EA4EBE" w:rsidRDefault="00D06512" w:rsidP="000C73FA">
      <w:pPr>
        <w:spacing w:line="480" w:lineRule="auto"/>
        <w:rPr>
          <w:rFonts w:ascii="Arial" w:hAnsi="Arial" w:cs="Arial"/>
        </w:rPr>
      </w:pPr>
    </w:p>
    <w:p w14:paraId="27F68DA4" w14:textId="4C0AB6A8" w:rsidR="004C0908" w:rsidRPr="00225AB0" w:rsidRDefault="00E03A81" w:rsidP="000C73FA">
      <w:pPr>
        <w:spacing w:line="480" w:lineRule="auto"/>
        <w:rPr>
          <w:rFonts w:ascii="Arial" w:hAnsi="Arial" w:cs="Arial"/>
        </w:rPr>
      </w:pPr>
      <w:r w:rsidRPr="00EA4EBE">
        <w:rPr>
          <w:rFonts w:ascii="Arial" w:hAnsi="Arial" w:cs="Arial"/>
        </w:rPr>
        <w:t>Hence, the processing of contrast information across the visual cortex, through contrast gain control mechanisms is a robust and well-understood phenomenon. T</w:t>
      </w:r>
      <w:r w:rsidR="000C73FA" w:rsidRPr="00EA4EBE">
        <w:rPr>
          <w:rFonts w:ascii="Arial" w:hAnsi="Arial" w:cs="Arial"/>
        </w:rPr>
        <w:t>here is a wealth of clear evidence for its existence across the entire visual cortex.</w:t>
      </w:r>
      <w:r w:rsidR="000C73FA" w:rsidRPr="00225AB0">
        <w:rPr>
          <w:rFonts w:ascii="Arial" w:hAnsi="Arial" w:cs="Arial"/>
        </w:rPr>
        <w:t xml:space="preserve"> </w:t>
      </w:r>
    </w:p>
    <w:p w14:paraId="29CA5183" w14:textId="77777777" w:rsidR="00B82607" w:rsidRPr="00225AB0" w:rsidRDefault="000C73FA" w:rsidP="001811CC">
      <w:pPr>
        <w:pStyle w:val="Heading4"/>
        <w:numPr>
          <w:ilvl w:val="3"/>
          <w:numId w:val="2"/>
        </w:numPr>
        <w:rPr>
          <w:rFonts w:ascii="Arial" w:hAnsi="Arial" w:cs="Arial"/>
          <w:color w:val="000000" w:themeColor="text1"/>
          <w:sz w:val="28"/>
          <w:szCs w:val="28"/>
        </w:rPr>
      </w:pPr>
      <w:bookmarkStart w:id="103" w:name="_Toc11147953"/>
      <w:bookmarkStart w:id="104" w:name="_Toc11930024"/>
      <w:bookmarkStart w:id="105" w:name="_Toc16075340"/>
      <w:r w:rsidRPr="00225AB0">
        <w:rPr>
          <w:rFonts w:ascii="Arial" w:hAnsi="Arial" w:cs="Arial"/>
          <w:color w:val="000000" w:themeColor="text1"/>
          <w:sz w:val="28"/>
          <w:szCs w:val="28"/>
        </w:rPr>
        <w:lastRenderedPageBreak/>
        <w:t>Perception of shape</w:t>
      </w:r>
      <w:bookmarkEnd w:id="103"/>
      <w:bookmarkEnd w:id="104"/>
      <w:bookmarkEnd w:id="105"/>
    </w:p>
    <w:p w14:paraId="51A5D219" w14:textId="4B0021D9" w:rsidR="000C73FA" w:rsidRPr="00225AB0" w:rsidRDefault="000C73FA" w:rsidP="000C73FA">
      <w:pPr>
        <w:spacing w:line="480" w:lineRule="auto"/>
        <w:rPr>
          <w:rFonts w:ascii="Arial" w:hAnsi="Arial" w:cs="Arial"/>
        </w:rPr>
      </w:pPr>
      <w:r w:rsidRPr="00225AB0">
        <w:rPr>
          <w:rFonts w:ascii="Arial" w:hAnsi="Arial" w:cs="Arial"/>
        </w:rPr>
        <w:t xml:space="preserve">As is the case with the processing of orientation and contrast, there is evidence of shape processing, in various forms, across the visual cortex. For example, </w:t>
      </w:r>
      <w:r w:rsidRPr="00225AB0">
        <w:rPr>
          <w:rFonts w:ascii="Arial" w:hAnsi="Arial" w:cs="Arial"/>
        </w:rPr>
        <w:fldChar w:fldCharType="begin"/>
      </w:r>
      <w:r w:rsidR="005B4361">
        <w:rPr>
          <w:rFonts w:ascii="Arial" w:hAnsi="Arial" w:cs="Arial"/>
        </w:rPr>
        <w:instrText xml:space="preserve"> ADDIN ZOTERO_ITEM CSL_CITATION {"citationID":"qintQSkR","properties":{"formattedCitation":"(Dumoulin &amp; Hess, 2007)","plainCitation":"(Dumoulin &amp; Hess, 2007)","dontUpdate":true,"noteIndex":0},"citationItems":[{"id":135,"uris":["http://zotero.org/groups/318634/items/Z3WCJEEH"],"uri":["http://zotero.org/groups/318634/items/Z3WCJEEH"],"itemData":{"id":135,"type":"article-journal","title":"Cortical specialization for concentric shape processing","container-title":"Vision research","page":"1608–1613","volume":"47","issue":"12","source":"Google Scholar","author":[{"family":"Dumoulin","given":"S"},{"family":"Hess","given":"R"}],"issued":{"date-parts":[["2007"]]}}}],"schema":"https://github.com/citation-style-language/schema/raw/master/csl-citation.json"} </w:instrText>
      </w:r>
      <w:r w:rsidRPr="00225AB0">
        <w:rPr>
          <w:rFonts w:ascii="Arial" w:hAnsi="Arial" w:cs="Arial"/>
        </w:rPr>
        <w:fldChar w:fldCharType="separate"/>
      </w:r>
      <w:r w:rsidRPr="00225AB0">
        <w:rPr>
          <w:rFonts w:ascii="Arial" w:hAnsi="Arial" w:cs="Arial"/>
          <w:noProof/>
        </w:rPr>
        <w:t>Dumoulin &amp; Hess, (2007)</w:t>
      </w:r>
      <w:r w:rsidRPr="00225AB0">
        <w:rPr>
          <w:rFonts w:ascii="Arial" w:hAnsi="Arial" w:cs="Arial"/>
        </w:rPr>
        <w:fldChar w:fldCharType="end"/>
      </w:r>
      <w:r w:rsidRPr="00225AB0">
        <w:rPr>
          <w:rFonts w:ascii="Arial" w:hAnsi="Arial" w:cs="Arial"/>
        </w:rPr>
        <w:t xml:space="preserve"> noted </w:t>
      </w:r>
      <w:r w:rsidR="00B85F19">
        <w:rPr>
          <w:rFonts w:ascii="Arial" w:hAnsi="Arial" w:cs="Arial"/>
        </w:rPr>
        <w:t>clear</w:t>
      </w:r>
      <w:r w:rsidRPr="00225AB0">
        <w:rPr>
          <w:rFonts w:ascii="Arial" w:hAnsi="Arial" w:cs="Arial"/>
        </w:rPr>
        <w:t xml:space="preserve"> response</w:t>
      </w:r>
      <w:r w:rsidR="00B85F19">
        <w:rPr>
          <w:rFonts w:ascii="Arial" w:hAnsi="Arial" w:cs="Arial"/>
        </w:rPr>
        <w:t>s</w:t>
      </w:r>
      <w:r w:rsidRPr="00225AB0">
        <w:rPr>
          <w:rFonts w:ascii="Arial" w:hAnsi="Arial" w:cs="Arial"/>
        </w:rPr>
        <w:t xml:space="preserve"> to concentric stimuli across </w:t>
      </w:r>
      <w:r w:rsidR="00B85F19">
        <w:rPr>
          <w:rFonts w:ascii="Arial" w:hAnsi="Arial" w:cs="Arial"/>
        </w:rPr>
        <w:t xml:space="preserve">many </w:t>
      </w:r>
      <w:r w:rsidRPr="00225AB0">
        <w:rPr>
          <w:rFonts w:ascii="Arial" w:hAnsi="Arial" w:cs="Arial"/>
        </w:rPr>
        <w:t xml:space="preserve">early visual areas </w:t>
      </w:r>
      <w:r w:rsidR="00B85F19">
        <w:rPr>
          <w:rFonts w:ascii="Arial" w:hAnsi="Arial" w:cs="Arial"/>
        </w:rPr>
        <w:t>(</w:t>
      </w:r>
      <w:r w:rsidRPr="00225AB0">
        <w:rPr>
          <w:rFonts w:ascii="Arial" w:hAnsi="Arial" w:cs="Arial"/>
        </w:rPr>
        <w:t>V1 to hV4</w:t>
      </w:r>
      <w:r w:rsidR="00B85F19">
        <w:rPr>
          <w:rFonts w:ascii="Arial" w:hAnsi="Arial" w:cs="Arial"/>
        </w:rPr>
        <w:t>)</w:t>
      </w:r>
      <w:r w:rsidRPr="00225AB0">
        <w:rPr>
          <w:rFonts w:ascii="Arial" w:hAnsi="Arial" w:cs="Arial"/>
        </w:rPr>
        <w:t xml:space="preserve">, rather than shape-specific responses present solely </w:t>
      </w:r>
      <w:r w:rsidR="00D44AC6">
        <w:rPr>
          <w:rFonts w:ascii="Arial" w:hAnsi="Arial" w:cs="Arial"/>
        </w:rPr>
        <w:t>in</w:t>
      </w:r>
      <w:r w:rsidRPr="00225AB0">
        <w:rPr>
          <w:rFonts w:ascii="Arial" w:hAnsi="Arial" w:cs="Arial"/>
        </w:rPr>
        <w:t xml:space="preserve"> an isolated visual region. In support, </w:t>
      </w:r>
      <w:r w:rsidRPr="00225AB0">
        <w:rPr>
          <w:rFonts w:ascii="Arial" w:hAnsi="Arial" w:cs="Arial"/>
        </w:rPr>
        <w:fldChar w:fldCharType="begin"/>
      </w:r>
      <w:r w:rsidR="005B4361">
        <w:rPr>
          <w:rFonts w:ascii="Arial" w:hAnsi="Arial" w:cs="Arial"/>
        </w:rPr>
        <w:instrText xml:space="preserve"> ADDIN ZOTERO_ITEM CSL_CITATION {"citationID":"LNGtOr9i","properties":{"formattedCitation":"(Tschechne &amp; Neumann, 2014)","plainCitation":"(Tschechne &amp; Neumann, 2014)","dontUpdate":true,"noteIndex":0},"citationItems":[{"id":199,"uris":["http://zotero.org/groups/318634/items/ZBXUETIK"],"uri":["http://zotero.org/groups/318634/items/ZBXUETIK"],"itemData":{"id":199,"type":"article-journal","title":"Hierarchical representation of shapes in visual cortex-from localized features to figural shape segregation","container-title":"Frontiers in Computational Neuroscience","page":"93","volume":"8","source":"PubMed","abstract":"Visual structures in the environment are segmented into image regions and those combined to a representation of surfaces and prototypical objects. Such a perceptual organization is performed by complex neural mechanisms in the visual cortex of primates. Multiple mutually connected areas in the ventral cortical pathway receive visual input and extract local form features that are subsequently grouped into increasingly complex, more meaningful image elements. Such a distributed network of processing must be capable to make accessible highly articulated changes in shape boundary as well as very subtle curvature changes that contribute to the perception of an object. We propose a recurrent computational network architecture that utilizes hierarchical distributed representations of shape features to encode surface and object boundary over different scales of resolution. Our model makes use of neural mechanisms that model the processing capabilities of early and intermediate stages in visual cortex, namely areas V1-V4 and IT. We suggest that multiple specialized component representations interact by feedforward hierarchical processing that is combined with feedback signals driven by representations generated at higher stages. Based on this, global configurational as well as local information is made available to distinguish changes in the object's contour. Once the outline of a shape has been established, contextual contour configurations are used to assign border ownership directions and thus achieve segregation of figure and ground. The model, thus, proposes how separate mechanisms contribute to distributed hierarchical cortical shape representation and combine with processes of figure-ground segregation. Our model is probed with a selection of stimuli to illustrate processing results at different processing stages. We especially highlight how modulatory feedback connections contribute to the processing of visual input at various stages in the processing hierarchy.","DOI":"10.3389/fncom.2014.00093","ISSN":"1662-5188","note":"PMID: 25157228\nPMCID: PMC4127482","journalAbbreviation":"Front Comput Neurosci","language":"eng","author":[{"family":"Tschechne","given":"Stephan"},{"family":"Neumann","given":"Heiko"}],"issued":{"date-parts":[["2014"]]}}}],"schema":"https://github.com/citation-style-language/schema/raw/master/csl-citation.json"} </w:instrText>
      </w:r>
      <w:r w:rsidRPr="00225AB0">
        <w:rPr>
          <w:rFonts w:ascii="Arial" w:hAnsi="Arial" w:cs="Arial"/>
        </w:rPr>
        <w:fldChar w:fldCharType="separate"/>
      </w:r>
      <w:r w:rsidRPr="00225AB0">
        <w:rPr>
          <w:rFonts w:ascii="Arial" w:hAnsi="Arial" w:cs="Arial"/>
          <w:noProof/>
        </w:rPr>
        <w:t>Tschechne &amp; Neumann, (2014)</w:t>
      </w:r>
      <w:r w:rsidRPr="00225AB0">
        <w:rPr>
          <w:rFonts w:ascii="Arial" w:hAnsi="Arial" w:cs="Arial"/>
        </w:rPr>
        <w:fldChar w:fldCharType="end"/>
      </w:r>
      <w:r w:rsidRPr="00225AB0">
        <w:rPr>
          <w:rFonts w:ascii="Arial" w:hAnsi="Arial" w:cs="Arial"/>
        </w:rPr>
        <w:t xml:space="preserve"> produced a recurrent computational network for the encoding of shape information, and suggested a distributed representation of shape </w:t>
      </w:r>
      <w:r w:rsidR="00D44AC6">
        <w:rPr>
          <w:rFonts w:ascii="Arial" w:hAnsi="Arial" w:cs="Arial"/>
        </w:rPr>
        <w:t>in</w:t>
      </w:r>
      <w:r w:rsidRPr="00225AB0">
        <w:rPr>
          <w:rFonts w:ascii="Arial" w:hAnsi="Arial" w:cs="Arial"/>
        </w:rPr>
        <w:t xml:space="preserve"> the visual cortex, with lower-level representations in early visual areas (e.g. V1, V2, V3) </w:t>
      </w:r>
      <w:r w:rsidR="0053489E">
        <w:rPr>
          <w:rFonts w:ascii="Arial" w:hAnsi="Arial" w:cs="Arial"/>
        </w:rPr>
        <w:t>projecting</w:t>
      </w:r>
      <w:r w:rsidR="0053489E" w:rsidRPr="00225AB0">
        <w:rPr>
          <w:rFonts w:ascii="Arial" w:hAnsi="Arial" w:cs="Arial"/>
        </w:rPr>
        <w:t xml:space="preserve"> </w:t>
      </w:r>
      <w:r w:rsidRPr="00225AB0">
        <w:rPr>
          <w:rFonts w:ascii="Arial" w:hAnsi="Arial" w:cs="Arial"/>
        </w:rPr>
        <w:t xml:space="preserve">to intermediate and higher levels of shape processing (e.g. hV4, and inferotemporal (IT) cortex). </w:t>
      </w:r>
    </w:p>
    <w:p w14:paraId="6179FC2C" w14:textId="77777777" w:rsidR="000C73FA" w:rsidRPr="00225AB0" w:rsidRDefault="000C73FA" w:rsidP="000C73FA">
      <w:pPr>
        <w:spacing w:line="480" w:lineRule="auto"/>
        <w:rPr>
          <w:rFonts w:ascii="Arial" w:hAnsi="Arial" w:cs="Arial"/>
        </w:rPr>
      </w:pPr>
    </w:p>
    <w:p w14:paraId="1FCBFDD3" w14:textId="6D83A38B" w:rsidR="000C73FA" w:rsidRPr="00225AB0" w:rsidRDefault="00DA29F9" w:rsidP="000C73FA">
      <w:pPr>
        <w:spacing w:line="480" w:lineRule="auto"/>
        <w:rPr>
          <w:rFonts w:ascii="Arial" w:hAnsi="Arial" w:cs="Arial"/>
        </w:rPr>
      </w:pPr>
      <w:r>
        <w:rPr>
          <w:rFonts w:ascii="Arial" w:hAnsi="Arial" w:cs="Arial"/>
        </w:rPr>
        <w:t xml:space="preserve">Despite clear evidence for multiplexed feature processing in early visual areas, there is also clear evidence for </w:t>
      </w:r>
      <w:r w:rsidR="000C73FA" w:rsidRPr="00225AB0">
        <w:rPr>
          <w:rFonts w:ascii="Arial" w:hAnsi="Arial" w:cs="Arial"/>
        </w:rPr>
        <w:t>particular regions of the visual cortex posses</w:t>
      </w:r>
      <w:r>
        <w:rPr>
          <w:rFonts w:ascii="Arial" w:hAnsi="Arial" w:cs="Arial"/>
        </w:rPr>
        <w:t>sing</w:t>
      </w:r>
      <w:r w:rsidR="000C73FA" w:rsidRPr="00225AB0">
        <w:rPr>
          <w:rFonts w:ascii="Arial" w:hAnsi="Arial" w:cs="Arial"/>
        </w:rPr>
        <w:t xml:space="preserve"> distinct specialisations for shape processing. For example, much research suggests an involvement of hV4 in the encoding of shape, as oppose to purely chromatic information. hV4 has frequently been noted as an area responsive to concentric shapes </w:t>
      </w:r>
      <w:r w:rsidR="000C73FA" w:rsidRPr="00225AB0">
        <w:rPr>
          <w:rFonts w:ascii="Arial" w:hAnsi="Arial" w:cs="Arial"/>
        </w:rPr>
        <w:fldChar w:fldCharType="begin"/>
      </w:r>
      <w:r w:rsidR="005B4361">
        <w:rPr>
          <w:rFonts w:ascii="Arial" w:hAnsi="Arial" w:cs="Arial"/>
        </w:rPr>
        <w:instrText xml:space="preserve"> ADDIN ZOTERO_ITEM CSL_CITATION {"citationID":"zwj5Jgwm","properties":{"formattedCitation":"(Dumoulin &amp; Hess, 2007; Gallant, Braun, &amp; Van Essen, 1993; Gallant, Shoup, &amp; Mazer, 2000; Wilkinson et al., 2000)","plainCitation":"(Dumoulin &amp; Hess, 2007; Gallant, Braun, &amp; Van Essen, 1993; Gallant, Shoup, &amp; Mazer, 2000; Wilkinson et al., 2000)","dontUpdate":true,"noteIndex":0},"citationItems":[{"id":135,"uris":["http://zotero.org/groups/318634/items/Z3WCJEEH"],"uri":["http://zotero.org/groups/318634/items/Z3WCJEEH"],"itemData":{"id":135,"type":"article-journal","title":"Cortical specialization for concentric shape processing","container-title":"Vision research","page":"1608–1613","volume":"47","issue":"12","source":"Google Scholar","author":[{"family":"Dumoulin","given":"S"},{"family":"Hess","given":"R"}],"issued":{"date-parts":[["2007"]]}}},{"id":133,"uris":["http://zotero.org/groups/318634/items/B7ILT2I5"],"uri":["http://zotero.org/groups/318634/items/B7ILT2I5"],"itemData":{"id":133,"type":"article-journal","title":"Selectivity for polar, hyperbolic, and Cartesian gratings in macaque visual cortex","container-title":"Science (New York, N.Y.)","page":"100-103","volume":"259","issue":"5091","source":"PubMed","abstract":"The neural basis of pattern recognition is a central problem in visual neuroscience. Responses of single cells were recorded in area V4 of macaque monkey to three classes of periodic stimuli that are based on spatial derivative operators: polar (concentric and radial), hyperbolic, and conventional sinusoidal (Cartesian) gratings. Of 118 cells tested, 16 percent responded significantly more to polar or hyperbolic (non-Cartesian) gratings than to Cartesian gratings and only 8 percent showed a significant preference for Cartesian gratings. Among cells selective for non-Cartesian gratings, those that preferred concentric gratings were most common. Cells selective for non-Cartesian gratings may constitute an important intermediate stage in pattern recognition and the representation of surface shape.","ISSN":"0036-8075","note":"PMID: 8418487","journalAbbreviation":"Science","language":"eng","author":[{"family":"Gallant","given":"J. L."},{"family":"Braun","given":"J."},{"family":"Van Essen","given":"D. C."}],"issued":{"date-parts":[["1993",1,1]]}}},{"id":198,"uris":["http://zotero.org/groups/318634/items/8HHMTKQE"],"uri":["http://zotero.org/groups/318634/items/8HHMTKQE"],"itemData":{"id":198,"type":"article-journal","title":"A human extrastriate area functionally homologous to macaque V4","container-title":"Neuron","page":"227-235","volume":"27","issue":"2","source":"PubMed","abstract":"Extrastriate area V4 is crucial for intermediate form vision and visual attention in nonhuman primates. Human neuroimaging suggests that an area in the lingual sulcus/fusiform gyrus may correspond to ventral V4 (V4v). We studied a human neurological patient, AR, with a putative V4v lesion. The lesion does not affect early visual processing (luminance, orientation, and motion perception). However, it does impair hue perception, intermediate form vision, and visual attention in the upper contralateral visual field. Form deficits occur during discrimination of illusory borders, Glass patterns, curvature, and non-Cartesian patterns. Attention deficits occur during discrimination of the relative positions of object parts, detection of low-salience targets, and orientation discrimination in the presence of distractors. This pattern of deficits is consistent with the known properties of area V4 in nonhuman primates, indicating that AR's lesion affects a cortical region functionally homologous to macaque V4.","ISSN":"0896-6273","note":"PMID: 10985344","journalAbbreviation":"Neuron","language":"eng","author":[{"family":"Gallant","given":"J. L."},{"family":"Shoup","given":"R. E."},{"family":"Mazer","given":"J. A."}],"issued":{"date-parts":[["2000",8]]}}},{"id":23,"uris":["http://zotero.org/groups/318634/items/C7JKB279"],"uri":["http://zotero.org/groups/318634/items/C7JKB279"],"itemData":{"id":23,"type":"article-journal","title":"An fMRI study of the selective activation of human extrastriate form vision areas by radial and concentric gratings","container-title":"Current biology: CB","page":"1455-1458","volume":"10","issue":"22","source":"PubMed","abstract":"The ventral form vision pathway of the primate brain comprises a sequence of areas that include V1, V2, V4 and the inferior temporal cortex (IT) [1]. Although contour extraction in the V1 area and responses to complex images, such as faces, in the IT have been studied extensively, much less is known about shape extraction at intermediate cortical levels such as V4. Here, we used functional magnetic resonance imaging (fMRI) to demonstrate that the human V4 is more strongly activated by concentric and radial patterns than by conventional sinusoidal gratings. This is consistent with global pooling of local V1 orientations to extract concentric and radial shape information in V4. Furthermore, concentric patterns were found to be effective in activating the fusiform face area. These findings support recent psychophysical [2,3] and physiological [4,5] data indicating that analysis of concentric and radial structure represents an important aspect of processing at intermediate levels of form vision.","ISSN":"0960-9822","note":"PMID: 11102809","journalAbbreviation":"Curr. Biol.","language":"eng","author":[{"family":"Wilkinson","given":"F."},{"family":"James","given":"T. W."},{"family":"Wilson","given":"H. R."},{"family":"Gati","given":"J. S."},{"family":"Menon","given":"R. S."},{"family":"Goodale","given":"M. A."}],"issued":{"date-parts":[["2000",11,16]]}}}],"schema":"https://github.com/citation-style-language/schema/raw/master/csl-citation.json"} </w:instrText>
      </w:r>
      <w:r w:rsidR="000C73FA" w:rsidRPr="00225AB0">
        <w:rPr>
          <w:rFonts w:ascii="Arial" w:hAnsi="Arial" w:cs="Arial"/>
        </w:rPr>
        <w:fldChar w:fldCharType="separate"/>
      </w:r>
      <w:r w:rsidR="000C73FA" w:rsidRPr="00225AB0">
        <w:rPr>
          <w:rFonts w:ascii="Arial" w:hAnsi="Arial" w:cs="Arial"/>
          <w:noProof/>
        </w:rPr>
        <w:t>(e.g. Dumoulin &amp; Hess, 2007; Gallant, Braun, &amp; Van Essen, 1993; Gallant, Shoup, &amp; Mazer, 2000; Wilkinson et al., 2000)</w:t>
      </w:r>
      <w:r w:rsidR="000C73FA" w:rsidRPr="00225AB0">
        <w:rPr>
          <w:rFonts w:ascii="Arial" w:hAnsi="Arial" w:cs="Arial"/>
        </w:rPr>
        <w:fldChar w:fldCharType="end"/>
      </w:r>
      <w:r w:rsidR="000C73FA" w:rsidRPr="00225AB0">
        <w:rPr>
          <w:rFonts w:ascii="Arial" w:hAnsi="Arial" w:cs="Arial"/>
        </w:rPr>
        <w:t xml:space="preserve">, and the curvature of stimuli (first identified by </w:t>
      </w:r>
      <w:r w:rsidR="000C73FA" w:rsidRPr="00225AB0">
        <w:rPr>
          <w:rFonts w:ascii="Arial" w:hAnsi="Arial" w:cs="Arial"/>
        </w:rPr>
        <w:fldChar w:fldCharType="begin"/>
      </w:r>
      <w:r w:rsidR="005B4361">
        <w:rPr>
          <w:rFonts w:ascii="Arial" w:hAnsi="Arial" w:cs="Arial"/>
        </w:rPr>
        <w:instrText xml:space="preserve"> ADDIN ZOTERO_ITEM CSL_CITATION {"citationID":"7uGUst9r","properties":{"formattedCitation":"(Pasupathy &amp; Connor, 2001)","plainCitation":"(Pasupathy &amp; Connor, 2001)","dontUpdate":true,"noteIndex":0},"citationItems":[{"id":196,"uris":["http://zotero.org/groups/318634/items/AW9F2KP6"],"uri":["http://zotero.org/groups/318634/items/AW9F2KP6"],"itemData":{"id":196,"type":"article-journal","title":"Shape representation in area V4: position-specific tuning for boundary conformation","container-title":"Journal of Neurophysiology","page":"2505-2519","volume":"86","issue":"5","source":"PubMed","abstract":"Visual shape recognition in primates depends on a multi-stage pathway running from primary visual cortex (V1) to inferotemporal cortex (IT). The mechanisms by which local shape signals from V1 are transformed into selectivity for abstract object categories in IT are unknown. One approach to this issue is to investigate shape representation at intermediate stages in the pathway, such as area V4. We studied 109 V4 cells that appeared sensitive to complex shape in preliminary tests. To achieve a more complete picture of shape representation in V4, we tested each cell with a set of 366 stimuli, constructed by systematically combining convex and concave boundary elements into closed shapes. Using this large, diverse stimulus set, we found that all the cells in our sample responded to a wide variety of shapes and did not appear to encode any single type of global shape. However, for most cells the shapes evoking strongest responses were characterized by a consistent type of boundary conformation at a specific position within the stimulus. For example, a given cell might be tuned for shapes containing concave curvature at the right, with other parts of the shape having little or no effect on responses. Many cells were tuned for more complex boundary configurations (e.g., a convex angle adjacent to a concave curve). We quantified this kind of shape tuning with Gaussian functions on a curvature x position domain. These tuning functions fit the neural responses much better than tuning functions based on edge or axis orientation. Thus individual V4 cells appear to encode moderately complex boundary information at specific locations within larger shapes. This finding suggests that, at intermediate stages in the V1-IT transformation, complex objects are represented at least partly in terms of the configurations and positions of their contour components.","DOI":"10.1152/jn.2001.86.5.2505","ISSN":"0022-3077","note":"PMID: 11698538","title-short":"Shape representation in area V4","journalAbbreviation":"J. Neurophysiol.","language":"eng","author":[{"family":"Pasupathy","given":"A."},{"family":"Connor","given":"C. E."}],"issued":{"date-parts":[["2001",11]]}}}],"schema":"https://github.com/citation-style-language/schema/raw/master/csl-citation.json"} </w:instrText>
      </w:r>
      <w:r w:rsidR="000C73FA" w:rsidRPr="00225AB0">
        <w:rPr>
          <w:rFonts w:ascii="Arial" w:hAnsi="Arial" w:cs="Arial"/>
        </w:rPr>
        <w:fldChar w:fldCharType="separate"/>
      </w:r>
      <w:r w:rsidR="000C73FA" w:rsidRPr="00225AB0">
        <w:rPr>
          <w:rFonts w:ascii="Arial" w:hAnsi="Arial" w:cs="Arial"/>
          <w:noProof/>
        </w:rPr>
        <w:t>Pasupathy &amp; Connor, (2001)</w:t>
      </w:r>
      <w:r w:rsidR="000C73FA" w:rsidRPr="00225AB0">
        <w:rPr>
          <w:rFonts w:ascii="Arial" w:hAnsi="Arial" w:cs="Arial"/>
        </w:rPr>
        <w:fldChar w:fldCharType="end"/>
      </w:r>
      <w:r w:rsidR="000C73FA" w:rsidRPr="00225AB0">
        <w:rPr>
          <w:rFonts w:ascii="Arial" w:hAnsi="Arial" w:cs="Arial"/>
        </w:rPr>
        <w:t xml:space="preserve">. hV4 is considered an intermediate shape processing region, encoding shape information more complex than orientation, but at a more basic level than the processing of meaningful objects (for a review, see </w:t>
      </w:r>
      <w:r w:rsidR="000C73FA" w:rsidRPr="00225AB0">
        <w:rPr>
          <w:rFonts w:ascii="Arial" w:hAnsi="Arial" w:cs="Arial"/>
        </w:rPr>
        <w:fldChar w:fldCharType="begin"/>
      </w:r>
      <w:r w:rsidR="005B4361">
        <w:rPr>
          <w:rFonts w:ascii="Arial" w:hAnsi="Arial" w:cs="Arial"/>
        </w:rPr>
        <w:instrText xml:space="preserve"> ADDIN ZOTERO_ITEM CSL_CITATION {"citationID":"Ru7uRerd","properties":{"formattedCitation":"(Loffler, 2008)","plainCitation":"(Loffler, 2008)","dontUpdate":true,"noteIndex":0},"citationItems":[{"id":197,"uris":["http://zotero.org/groups/318634/items/MMHEKC4K"],"uri":["http://zotero.org/groups/318634/items/MMHEKC4K"],"itemData":{"id":197,"type":"article-journal","title":"Perception of contours and shapes: low and intermediate stage mechanisms","container-title":"Vision Research","page":"2106-2127","volume":"48","issue":"20","source":"PubMed","abstract":"This review focuses on low and intermediate stages of contour shape processing. It is split into two main sections, 'Contour Detection' and 'Shape Discrimination and Representation'. The first section examines contrast detection of elements within a contour (\"collinear facilitation\") and the detection of contours in noise (\"contour integration\"). The second section deals with the discrimination and representation of simple and complex shapes. Perceptual effects on contour detection have been linked to low-level, long-range lateral interactions between neighbouring neurons in V1. Experimental results suggest a complex network of interactions that are context dependent, with collinearity being the dominant factor. While lateral connections are an obvious candidate for linking contour elements into spatially extended contours, the long-range interactions are insufficient to account for human performance in a variety of tasks. Data suggest the existence of global mechanisms that integrate information beyond that of neighbouring cells and are influenced by the overall features of a stimulus. Evidence from psychophysics and physiology is converging towards the identification of an intermediate level of shape processing, where sensitivity to such global attributes emerge.","DOI":"10.1016/j.visres.2008.03.006","ISSN":"1878-5646","note":"PMID: 18502467","title-short":"Perception of contours and shapes","journalAbbreviation":"Vision Res.","language":"eng","author":[{"family":"Loffler","given":"Gunter"}],"issued":{"date-parts":[["2008",9]]}}}],"schema":"https://github.com/citation-style-language/schema/raw/master/csl-citation.json"} </w:instrText>
      </w:r>
      <w:r w:rsidR="000C73FA" w:rsidRPr="00225AB0">
        <w:rPr>
          <w:rFonts w:ascii="Arial" w:hAnsi="Arial" w:cs="Arial"/>
        </w:rPr>
        <w:fldChar w:fldCharType="separate"/>
      </w:r>
      <w:r w:rsidR="000C73FA" w:rsidRPr="00225AB0">
        <w:rPr>
          <w:rFonts w:ascii="Arial" w:hAnsi="Arial" w:cs="Arial"/>
          <w:noProof/>
        </w:rPr>
        <w:t>Loffler, 2008)</w:t>
      </w:r>
      <w:r w:rsidR="000C73FA" w:rsidRPr="00225AB0">
        <w:rPr>
          <w:rFonts w:ascii="Arial" w:hAnsi="Arial" w:cs="Arial"/>
        </w:rPr>
        <w:fldChar w:fldCharType="end"/>
      </w:r>
      <w:r w:rsidR="000C73FA" w:rsidRPr="00225AB0">
        <w:rPr>
          <w:rFonts w:ascii="Arial" w:hAnsi="Arial" w:cs="Arial"/>
        </w:rPr>
        <w:t xml:space="preserve">. In support, research has demonstrated that lesioning V4 can profoundly negatively impact shape discrimination in primates </w:t>
      </w:r>
      <w:r w:rsidR="000C73FA" w:rsidRPr="00225AB0">
        <w:rPr>
          <w:rFonts w:ascii="Arial" w:hAnsi="Arial" w:cs="Arial"/>
        </w:rPr>
        <w:fldChar w:fldCharType="begin"/>
      </w:r>
      <w:r w:rsidR="005B4361">
        <w:rPr>
          <w:rFonts w:ascii="Arial" w:hAnsi="Arial" w:cs="Arial"/>
        </w:rPr>
        <w:instrText xml:space="preserve"> ADDIN ZOTERO_ITEM CSL_CITATION {"citationID":"O2WMqYVX","properties":{"formattedCitation":"(Merigan, 1996; Merigan &amp; Pham, 1998; Schiller, 1995)","plainCitation":"(Merigan, 1996; Merigan &amp; Pham, 1998; Schiller, 1995)","noteIndex":0},"citationItems":[{"id":195,"uris":["http://zotero.org/groups/318634/items/F8JAUP5Y"],"uri":["http://zotero.org/groups/318634/items/F8JAUP5Y"],"itemData":{"id":195,"type":"article-journal","title":"Basic visual capacities and shape discrimination after lesions of extrastriate area V4 in macaques","container-title":"Visual Neuroscience","page":"51-60","volume":"13","issue":"1","source":"PubMed","abstract":"Ibotenic acid lesions were made in four macaque monkeys in a region of cortical area V4 that corresponds to the lower quadrant of one hemifield. For visual testing, fixation locus was monitored with scleral search coils and controlled behaviorally to place test stimuli either in the lesioned quadrant or in a control location in the opposite hemifield. Some basic visual capacities were slightly altered by the lesions; there was a two-fold reduction of luminance contrast sensitivity as well as red-green chromatic contrast sensitivity, both tested with stationary gratings. On the other hand, little or no loss was found when contrast sensitivity for detection or direction discrimination was tested with 10-Hz drifting gratings nor was there a reliable change in visual acuity. Hue and luminance matching were tested with a spatially more complex matching-to-sample task, but monkeys could not learn this task in the visual field locus of a V4 lesion. If previously trained at this locus, performance was not affected by the lesion. In contrast to the small effects on basic visual capabilities, performance on two form discrimination tasks was devastated by V4 lesions. The first involved discriminating the orientation of colinear groups of dots on a background of randomly placed dots. The second involved discriminating the orientation of a group of three line segments surrounded by differently oriented line segments. Some selectivity of the deficits for form discrimination was shown by the lack of an effect of the lesions on a global motion discrimination. These results show that while V4 lesions cause only slight disruptions of basic visual capacities, they profoundly disrupt form discriminations.","ISSN":"0952-5238","note":"PMID: 8730989","journalAbbreviation":"Vis. Neurosci.","language":"eng","author":[{"family":"Merigan","given":"W. H."}],"issued":{"date-parts":[["1996",2]]}}},{"id":194,"uris":["http://zotero.org/groups/318634/items/PG2SSPTZ"],"uri":["http://zotero.org/groups/318634/items/PG2SSPTZ"],"itemData":{"id":194,"type":"article-journal","title":"V4 lesions in macaques affect both single- and multiple-viewpoint shape discriminations","container-title":"Visual Neuroscience","page":"359-367","volume":"15","issue":"2","source":"PubMed","abstract":"The role of cortical area V4 in complex shape discriminations was studied by testing the effects of V4 lesions in macaques on the ability to visually discriminate between images of three-dimensional (3D) objects from different viewpoints. Stimuli were presented in pairs in the lower left or lower right visual field quadrants about 4 deg from the fovea, and the monkeys judged on each trial whether the two views were of the same or of different objects. Object similarity was varied to determine a threshold shape difference. V4 lesions caused profound, retinotopic, and apparently permanent disruptions of discrimination, regardless of whether the images represented single or multiple viewpoints. In V4 lesioned portions of the visual field, monkeys could discriminate objects only when they differed much more grossly in shape than was true in control locations. These effects of the lesion were virtually identical for discriminations that had been learned before lesions were placed and for those learned afterwards. As in previous studies, V4 lesions elevated contrast thresholds by approximately a factor of two, but control observations showed that this was not the basis of the disruption of shape discrimination. Manipulation of cues to shape showed that in control locations, monkeys maintained excellent shape discrimination despite a variety of stimulus alterations, whereas in V4 lesioned areas their performance was easily disrupted. This finding suggests that V4 may support visual shape discriminations by facilitating the use of multiple visual cues. However, the fact that single-viewpoint and multiple-viewpoint discriminations were similarly affected indicates that the disruption was not specific to 3D shape discrimination, but may apply to a variety of subtle discriminations.","ISSN":"0952-5238","note":"PMID: 9605535","journalAbbreviation":"Vis. Neurosci.","language":"eng","author":[{"family":"Merigan","given":"W. H."},{"family":"Pham","given":"H. A."}],"issued":{"date-parts":[["1998",4]]}}},{"id":193,"uris":["http://zotero.org/groups/318634/items/HWAQBZ9Q"],"uri":["http://zotero.org/groups/318634/items/HWAQBZ9Q"],"itemData":{"id":193,"type":"article-journal","title":"Effect of lesions in visual cortical area V4 on the recognition of transformed objects","container-title":"Nature","page":"342-344","volume":"376","issue":"6538","source":"PubMed","abstract":"The primate visual system has a remarkable capability for recognizing objects irrespective of the multitude of images they form on the retinal surface by virtue of changes in size, perspective, contrast, colour and partial obstruction by other stimuli in the visual scene. There is increasing evidence that this remarkable capacity is brought about by processes that occur earlier in the visual system than had previously been thought. Here I show that after ablation of area V4 in the rhesus monkey, major deficits arise in the recognition of objects that have been transformed in size, in the degree of occlusion, and in the amount of contour information provided. The ability to detect these objects when presented individually was unaffected by these lesions.","DOI":"10.1038/376342a0","ISSN":"0028-0836","note":"PMID: 7630401","journalAbbreviation":"Nature","language":"eng","author":[{"family":"Schiller","given":"P. H."}],"issued":{"date-parts":[["1995",7,27]]}}}],"schema":"https://github.com/citation-style-language/schema/raw/master/csl-citation.json"} </w:instrText>
      </w:r>
      <w:r w:rsidR="000C73FA" w:rsidRPr="00225AB0">
        <w:rPr>
          <w:rFonts w:ascii="Arial" w:hAnsi="Arial" w:cs="Arial"/>
        </w:rPr>
        <w:fldChar w:fldCharType="separate"/>
      </w:r>
      <w:r w:rsidR="000C73FA" w:rsidRPr="00225AB0">
        <w:rPr>
          <w:rFonts w:ascii="Arial" w:hAnsi="Arial" w:cs="Arial"/>
          <w:noProof/>
        </w:rPr>
        <w:t>(Merigan, 1996; Merigan &amp; Pham, 1998; Schiller, 1995)</w:t>
      </w:r>
      <w:r w:rsidR="000C73FA" w:rsidRPr="00225AB0">
        <w:rPr>
          <w:rFonts w:ascii="Arial" w:hAnsi="Arial" w:cs="Arial"/>
        </w:rPr>
        <w:fldChar w:fldCharType="end"/>
      </w:r>
      <w:r w:rsidR="000C73FA" w:rsidRPr="00225AB0">
        <w:rPr>
          <w:rFonts w:ascii="Arial" w:hAnsi="Arial" w:cs="Arial"/>
        </w:rPr>
        <w:t xml:space="preserve">.  </w:t>
      </w:r>
    </w:p>
    <w:p w14:paraId="6FD55952" w14:textId="77777777" w:rsidR="000C73FA" w:rsidRPr="00225AB0" w:rsidRDefault="000C73FA" w:rsidP="000C73FA">
      <w:pPr>
        <w:spacing w:line="480" w:lineRule="auto"/>
        <w:rPr>
          <w:rFonts w:ascii="Arial" w:hAnsi="Arial" w:cs="Arial"/>
        </w:rPr>
      </w:pPr>
    </w:p>
    <w:p w14:paraId="66D09E8A" w14:textId="6385BC89" w:rsidR="000C73FA" w:rsidRDefault="000C73FA" w:rsidP="000C73FA">
      <w:pPr>
        <w:spacing w:line="480" w:lineRule="auto"/>
        <w:rPr>
          <w:rFonts w:ascii="Arial" w:hAnsi="Arial" w:cs="Arial"/>
        </w:rPr>
      </w:pPr>
      <w:r w:rsidRPr="00225AB0">
        <w:rPr>
          <w:rFonts w:ascii="Arial" w:hAnsi="Arial" w:cs="Arial"/>
        </w:rPr>
        <w:t xml:space="preserve">Additionally, the lateral occipital complex (LO) has been identified as a region of functionally segregated shape recognition </w:t>
      </w:r>
      <w:r w:rsidRPr="00225AB0">
        <w:rPr>
          <w:rFonts w:ascii="Arial" w:hAnsi="Arial" w:cs="Arial"/>
        </w:rPr>
        <w:fldChar w:fldCharType="begin"/>
      </w:r>
      <w:r w:rsidR="005B4361">
        <w:rPr>
          <w:rFonts w:ascii="Arial" w:hAnsi="Arial" w:cs="Arial"/>
        </w:rPr>
        <w:instrText xml:space="preserve"> ADDIN ZOTERO_ITEM CSL_CITATION {"citationID":"rvA6lmEb","properties":{"formattedCitation":"(Denys et al., 2004; Grill-Spector et al., 1999; Kourtzi &amp; Kanwisher, 2001; Malach et al., 1995)","plainCitation":"(Denys et al., 2004; Grill-Spector et al., 1999; Kourtzi &amp; Kanwisher, 2001; Malach et al., 1995)","noteIndex":0},"citationItems":[{"id":190,"uris":["http://zotero.org/groups/318634/items/2VR3D7R9"],"uri":["http://zotero.org/groups/318634/items/2VR3D7R9"],"itemData":{"id":190,"type":"article-journal","title":"The Processing of Visual Shape in the Cerebral Cortex of Human and Nonhuman Primates: A Functional Magnetic Resonance Imaging Study","container-title":"Journal of Neuroscience","page":"2551-2565","volume":"24","issue":"10","source":"www.jneurosci.org","abstract":"We compared neural substrates of two-dimensional shape processing in human and nonhuman primates using functional magnetic resonance (MR) imaging in awake subjects. The comparison of MR activity evoked by viewing intact and scrambled images of objects revealed shape-sensitive regions in occipital, temporal, and parietal cortex of both humans and macaques. Intraparietal cortex in monkeys was relatively more two-dimensional shape sensitive than that of humans. In both species, there was an interaction between scrambling and type of stimuli (grayscale images and drawings), but the effect of stimulus type was much stronger in monkeys than in humans. Shape- and motion-sensitive regions overlapped to some degree. However, this overlap was much more marked in humans than in monkeys. The shape-sensitive regions can be used to constrain the warping of monkey to human cortex and suggest a large expansion of lateral parietal and superior temporal cortex in humans compared with monkeys.","DOI":"10.1523/JNEUROSCI.3569-03.2004","ISSN":"0270-6474, 1529-2401","note":"PMID: 15014131","title-short":"The Processing of Visual Shape in the Cerebral Cortex of Human and Nonhuman Primates","journalAbbreviation":"J. Neurosci.","language":"en","author":[{"family":"Denys","given":"Katrien"},{"family":"Vanduffel","given":"Wim"},{"family":"Fize","given":"Denis"},{"family":"Nelissen","given":"Koen"},{"family":"Peuskens","given":"Hendrik"},{"family":"Essen","given":"David Van"},{"family":"Orban","given":"Guy A."}],"issued":{"date-parts":[["2004",3,10]]}}},{"id":189,"uris":["http://zotero.org/groups/318634/items/Q57EXWI4"],"uri":["http://zotero.org/groups/318634/items/Q57EXWI4"],"itemData":{"id":189,"type":"article-journal","title":"Differential Processing of Objects under Various Viewing Conditions in the Human Lateral Occipital Complex","container-title":"Neuron","page":"187-203","volume":"24","issue":"1","source":"ScienceDirect","abstract":"The invariant properties of human cortical neurons cannot be studied directly by fMRI due to its limited spatial resolution. Here, we circumvented this limitation by using fMR adaptation, namely, reduction of the fMR signal due to repeated presentation of identical images. Object-selective regions (lateral occipital complex [LOC]) showed a monotonic signal decrease as repetition frequency increased. The invariant properties of fMR adaptation were studied by presenting the same object in different viewing conditions. LOC exhibited stronger fMR adaptation to changes in size and position (more invariance) compared to illumination and viewpoint. The effect revealed two putative subdivisions within LOC: caudal–dorsal (LO), which exhibited substantial recovery from adaptation under all transformations, and posterior fusiform (PF/LOa), which displayed stronger adaptation. This study demonstrates the utility of fMR adaptation for revealing functional characteristics of neurons in fMRI studies.","DOI":"10.1016/S0896-6273(00)80832-6","ISSN":"0896-6273","journalAbbreviation":"Neuron","author":[{"family":"Grill-Spector","given":"Kalanit"},{"family":"Kushnir","given":"Tammar"},{"family":"Edelman","given":"Shimon"},{"family":"Avidan","given":"Galia"},{"family":"Itzchak","given":"Yacov"},{"family":"Malach","given":"Rafael"}],"issued":{"date-parts":[["1999",9,1]]}}},{"id":188,"uris":["http://zotero.org/groups/318634/items/7253UHFW"],"uri":["http://zotero.org/groups/318634/items/7253UHFW"],"itemData":{"id":188,"type":"article-journal","title":"Representation of perceived object shape by the human lateral occipital complex","container-title":"Science (New York, N.Y.)","page":"1506-1509","volume":"293","issue":"5534","source":"PubMed","abstract":"The human lateral occipital complex (LOC) has been implicated in object recognition, but it is unknown whether this region represents low-level image features or perceived object shape. We used an event-related functional magnetic resonance imaging adaptation paradigm in which the response to pairs of successively presented stimuli is lower when they are identical than when they are different. Adaptation across a change between the two stimuli in a pair provides evidence for a common neural representation invariant to that change. We found adaptation in the LOC when perceived shape was identical but contours differed, but not when contours were identical but perceived shape differed. These data indicate that the LOC represents not simple image features, but rather higher level shape information.","DOI":"10.1126/science.1061133","ISSN":"0036-8075","note":"PMID: 11520991","journalAbbreviation":"Science","language":"eng","author":[{"family":"Kourtzi","given":"Z."},{"family":"Kanwisher","given":"N."}],"issued":{"date-parts":[["2001",8,24]]}}},{"id":192,"uris":["http://zotero.org/groups/318634/items/WQQNNHXY"],"uri":["http://zotero.org/groups/318634/items/WQQNNHXY"],"itemData":{"id":192,"type":"article-journal","title":"Object-related activity revealed by functional magnetic resonance imaging in human occipital cortex.","container-title":"Proceedings of the National Academy of Sciences of the United States of America","page":"8135-8139","volume":"92","issue":"18","source":"PubMed Central","abstract":"The stages of integration leading from local feature analysis to object recognition were explored in human visual cortex by using the technique of functional magnetic resonance imaging. Here we report evidence for object-related activation. Such activation was located at the lateral-posterior aspect of the occipital lobe, just abutting the posterior aspect of the motion-sensitive area MT/V5, in a region termed the lateral occipital complex (LO). LO showed preferential activation to images of objects, compared to a wide range of texture patterns. This activation was not caused by a global difference in the Fourier spatial frequency content of objects versus texture images, since object images produced enhanced LO activation compared to textures matched in power spectra but randomized in phase. The preferential activation to objects also could not be explained by different patterns of eye movements: similar levels of activation were observed when subjects fixated on the objects and when they scanned the objects with their eyes. Additional manipulations such as spatial frequency filtering and a 4-fold change in visual size did not affect LO activation. These results suggest that the enhanced responses to objects were not a manifestation of low-level visual processing. A striking demonstration that activity in LO is uniquely correlated to object detectability was produced by the \"Lincoln\" illusion, in which blurring of objects digitized into large blocks paradoxically increases their recognizability. Such blurring led to significant enhancement of LO activation. Despite the preferential activation to objects, LO did not seem to be involved in the final, \"semantic,\" stages of the recognition process. Thus, objects varying widely in their recognizability (e.g., famous faces, common objects, and unfamiliar three-dimensional abstract sculptures) activated it to a similar degree. These results are thus evidence for an intermediate link in the chain of processing stages leading to object recognition in human visual cortex.","ISSN":"0027-8424","note":"PMID: 7667258\nPMCID: PMC41110","journalAbbreviation":"Proc Natl Acad Sci U S A","author":[{"family":"Malach","given":"R"},{"family":"Reppas","given":"J B"},{"family":"Benson","given":"R R"},{"family":"Kwong","given":"K K"},{"family":"Jiang","given":"H"},{"family":"Kennedy","given":"W A"},{"family":"Ledden","given":"P J"},{"family":"Brady","given":"T J"},{"family":"Rosen","given":"B R"},{"family":"Tootell","given":"R B"}],"issued":{"date-parts":[["1995",8,29]]}}}],"schema":"https://github.com/citation-style-language/schema/raw/master/csl-citation.json"} </w:instrText>
      </w:r>
      <w:r w:rsidRPr="00225AB0">
        <w:rPr>
          <w:rFonts w:ascii="Arial" w:hAnsi="Arial" w:cs="Arial"/>
        </w:rPr>
        <w:fldChar w:fldCharType="separate"/>
      </w:r>
      <w:r w:rsidRPr="00225AB0">
        <w:rPr>
          <w:rFonts w:ascii="Arial" w:hAnsi="Arial" w:cs="Arial"/>
          <w:noProof/>
        </w:rPr>
        <w:t>(Denys et al., 2004; Grill-Spector et al., 1999; Kourtzi &amp; Kanwisher, 2001; Malach et al., 1995)</w:t>
      </w:r>
      <w:r w:rsidRPr="00225AB0">
        <w:rPr>
          <w:rFonts w:ascii="Arial" w:hAnsi="Arial" w:cs="Arial"/>
        </w:rPr>
        <w:fldChar w:fldCharType="end"/>
      </w:r>
      <w:r w:rsidRPr="00225AB0">
        <w:rPr>
          <w:rFonts w:ascii="Arial" w:hAnsi="Arial" w:cs="Arial"/>
        </w:rPr>
        <w:t xml:space="preserve">. Visual object agnosia, a condition in which individuals fail to recognise the identity of visually-presented objects, is associated with LO damage </w:t>
      </w:r>
      <w:r w:rsidRPr="00225AB0">
        <w:rPr>
          <w:rFonts w:ascii="Arial" w:hAnsi="Arial" w:cs="Arial"/>
        </w:rPr>
        <w:fldChar w:fldCharType="begin"/>
      </w:r>
      <w:r w:rsidR="005B4361">
        <w:rPr>
          <w:rFonts w:ascii="Arial" w:hAnsi="Arial" w:cs="Arial"/>
        </w:rPr>
        <w:instrText xml:space="preserve"> ADDIN ZOTERO_ITEM CSL_CITATION {"citationID":"PIJRtm3j","properties":{"formattedCitation":"(Ptak, Lazeyras, Di Pietro, Schnider, &amp; Simon, 2014)","plainCitation":"(Ptak, Lazeyras, Di Pietro, Schnider, &amp; Simon, 2014)","noteIndex":0},"citationItems":[{"id":191,"uris":["http://zotero.org/groups/318634/items/JVAKGN7N"],"uri":["http://zotero.org/groups/318634/items/JVAKGN7N"],"itemData":{"id":191,"type":"article-journal","title":"Visual object agnosia is associated with a breakdown of object-selective responses in the lateral occipital cortex","container-title":"Neuropsychologia","page":"10-20","volume":"60","source":"PubMed","abstract":"Patients with visual object agnosia fail to recognize the identity of visually presented objects despite preserved semantic knowledge. Object agnosia may result from damage to visual cortex lying close to or overlapping with the lateral occipital complex (LOC), a brain region that exhibits selectivity to the shape of visually presented objects. Despite this anatomical overlap the relationship between shape processing in the LOC and shape representations in object agnosia is unknown. We studied a patient with object agnosia following isolated damage to the left occipito-temporal cortex overlapping with the LOC. The patient showed intact processing of object structure, yet often made identification errors that were mainly based on the global visual similarity between objects. Using functional Magnetic Resonance Imaging (fMRI) we found that the damaged as well as the contralateral, structurally intact right LOC failed to show any object-selective fMRI activity, though the latter retained selectivity for faces. Thus, unilateral damage to the left LOC led to a bilateral breakdown of neural responses to a specific stimulus class (objects and artefacts) while preserving the response to a different stimulus class (faces). These findings indicate that representations of structure necessary for the identification of objects crucially rely on bilateral, distributed coding of shape features.","DOI":"10.1016/j.neuropsychologia.2014.05.009","ISSN":"1873-3514","note":"PMID: 24863251","journalAbbreviation":"Neuropsychologia","language":"eng","author":[{"family":"Ptak","given":"Radek"},{"family":"Lazeyras","given":"François"},{"family":"Di Pietro","given":"Marie"},{"family":"Schnider","given":"Armin"},{"family":"Simon","given":"Stéphane R."}],"issued":{"date-parts":[["2014",7]]}}}],"schema":"https://github.com/citation-style-language/schema/raw/master/csl-citation.json"} </w:instrText>
      </w:r>
      <w:r w:rsidRPr="00225AB0">
        <w:rPr>
          <w:rFonts w:ascii="Arial" w:hAnsi="Arial" w:cs="Arial"/>
        </w:rPr>
        <w:fldChar w:fldCharType="separate"/>
      </w:r>
      <w:r w:rsidRPr="00225AB0">
        <w:rPr>
          <w:rFonts w:ascii="Arial" w:hAnsi="Arial" w:cs="Arial"/>
          <w:noProof/>
        </w:rPr>
        <w:t>(Ptak, Lazeyras, Di Pietro, Schnider, &amp; Simon, 2014)</w:t>
      </w:r>
      <w:r w:rsidRPr="00225AB0">
        <w:rPr>
          <w:rFonts w:ascii="Arial" w:hAnsi="Arial" w:cs="Arial"/>
        </w:rPr>
        <w:fldChar w:fldCharType="end"/>
      </w:r>
      <w:r w:rsidRPr="00225AB0">
        <w:rPr>
          <w:rFonts w:ascii="Arial" w:hAnsi="Arial" w:cs="Arial"/>
        </w:rPr>
        <w:t xml:space="preserve">. </w:t>
      </w:r>
      <w:r w:rsidRPr="00225AB0">
        <w:rPr>
          <w:rFonts w:ascii="Arial" w:hAnsi="Arial" w:cs="Arial"/>
        </w:rPr>
        <w:fldChar w:fldCharType="begin"/>
      </w:r>
      <w:r w:rsidR="005B4361">
        <w:rPr>
          <w:rFonts w:ascii="Arial" w:hAnsi="Arial" w:cs="Arial"/>
        </w:rPr>
        <w:instrText xml:space="preserve"> ADDIN ZOTERO_ITEM CSL_CITATION {"citationID":"B0oqFOX8","properties":{"formattedCitation":"(Larsson &amp; Heeger, 2006)","plainCitation":"(Larsson &amp; Heeger, 2006)","dontUpdate":true,"noteIndex":0},"citationItems":[{"id":239,"uris":["http://zotero.org/groups/318634/items/7JCMQW5A"],"uri":["http://zotero.org/groups/318634/items/7JCMQW5A"],"itemData":{"id":239,"type":"article-journal","title":"Two retinotopic visual areas in human lateral occipital cortex","container-title":"Journal of Neuroscience","page":"13128–13142","volume":"26","issue":"51","source":"Google Scholar","author":[{"family":"Larsson","given":"Jonas"},{"family":"Heeger","given":"David J."}],"issued":{"date-parts":[["2006"]]}}}],"schema":"https://github.com/citation-style-language/schema/raw/master/csl-citation.json"} </w:instrText>
      </w:r>
      <w:r w:rsidRPr="00225AB0">
        <w:rPr>
          <w:rFonts w:ascii="Arial" w:hAnsi="Arial" w:cs="Arial"/>
        </w:rPr>
        <w:fldChar w:fldCharType="separate"/>
      </w:r>
      <w:r w:rsidRPr="00225AB0">
        <w:rPr>
          <w:rFonts w:ascii="Arial" w:hAnsi="Arial" w:cs="Arial"/>
          <w:noProof/>
        </w:rPr>
        <w:t>Larsson &amp; Heeger, (2006)</w:t>
      </w:r>
      <w:r w:rsidRPr="00225AB0">
        <w:rPr>
          <w:rFonts w:ascii="Arial" w:hAnsi="Arial" w:cs="Arial"/>
        </w:rPr>
        <w:fldChar w:fldCharType="end"/>
      </w:r>
      <w:r w:rsidRPr="00225AB0">
        <w:rPr>
          <w:rFonts w:ascii="Arial" w:hAnsi="Arial" w:cs="Arial"/>
        </w:rPr>
        <w:t xml:space="preserve"> identified two retinotopically-distinct regions LO-1 and LO-2, which overlap with posterior regions of LO, proposed to integrate abstract shape information from lower visual areas </w:t>
      </w:r>
      <w:r w:rsidRPr="00225AB0">
        <w:rPr>
          <w:rFonts w:ascii="Arial" w:hAnsi="Arial" w:cs="Arial"/>
        </w:rPr>
        <w:fldChar w:fldCharType="begin"/>
      </w:r>
      <w:r w:rsidR="005B4361">
        <w:rPr>
          <w:rFonts w:ascii="Arial" w:hAnsi="Arial" w:cs="Arial"/>
        </w:rPr>
        <w:instrText xml:space="preserve"> ADDIN ZOTERO_ITEM CSL_CITATION {"citationID":"qWh7rk50","properties":{"formattedCitation":"(Vernon, Gouws, Lawrence, Wade, &amp; Morland, 2016)","plainCitation":"(Vernon, Gouws, Lawrence, Wade, &amp; Morland, 2016)","noteIndex":0},"citationItems":[{"id":52,"uris":["http://zotero.org/groups/318634/items/SQGC7HHQ"],"uri":["http://zotero.org/groups/318634/items/SQGC7HHQ"],"itemData":{"id":52,"type":"article-journal","title":"Multivariate Patterns in the Human Object-Processing Pathway Reveal a Shift from Retinotopic to Shape Curvature Representations in Lateral Occipital Areas, LO-1 and LO-2","container-title":"Journal of Neuroscience","page":"5763-5774","volume":"36","issue":"21","source":"www.jneurosci.org","abstract":"Representations in early visual areas are organized on the basis of retinotopy, but this organizational principle appears to lose prominence in the extrastriate cortex. Nevertheless, an extrastriate region, such as the shape-selective lateral occipital cortex (LO), must still base its activation on the responses from earlier retinotopic visual areas, implying that a transition from retinotopic to “functional” organizations should exist. We hypothesized that such a transition may lie in LO-1 or LO-2, two visual areas lying between retinotopically defined V3d and functionally defined LO. Using a rapid event-related fMRI paradigm, we measured neural similarity in 12 human participants between pairs of stimuli differing along dimensions of shape exemplar and shape complexity within both retinotopically and functionally defined visual areas. These neural similarity measures were then compared with low-level and more abstract (curvature-based) measures of stimulus similarity. We found that low-level, but not abstract, stimulus measures predicted V1–V3 responses, whereas the converse was true for LO, a double dissociation. Critically, abstract stimulus measures were most predictive of responses within LO-2, akin to LO, whereas both low-level and abstract measures were predictive for responses within LO-1, perhaps indicating a transitional point between those two organizational principles. Similar transitions to abstract representations were not observed in the more ventral stream passing through V4 and VO-1/2. The transition we observed in LO-1 and LO-2 demonstrates that a more “abstracted” representation, typically considered the preserve of “category-selective” extrastriate cortex, can nevertheless emerge in retinotopic regions.\nSIGNIFICANCE STATEMENT Visual areas are typically identified either through retinotopy (e.g., V1–V3) or from functional selectivity [e.g., shape-selective lateral occipital complex (LOC)]. We combined these approaches to explore the nature of shape representations through the visual hierarchy. Two different representations emerged: the first reflected low-level shape properties (dependent on the spatial layout of the shape outline), whereas the second captured more abstract curvature-related shape features. Critically, early visual cortex represented low-level information but this diminished in the extrastriate cortex (LO-1/LO-2/LOC), in which the abstract representation emerged. Therefore, this work further elucidates the nature of shape representations in the LOC, provides insight into how those representations emerge from early retinotopic cortex, and crucially demonstrates that retinotopically tuned regions (LO-1/LO-2) are not necessarily constrained to retinotopic representations.","DOI":"10.1523/JNEUROSCI.3603-15.2016","ISSN":"0270-6474, 1529-2401","note":"PMID: 27225766","journalAbbreviation":"J. Neurosci.","language":"en","author":[{"family":"Vernon","given":"Richard J. W."},{"family":"Gouws","given":"André D."},{"family":"Lawrence","given":"Samuel J. D."},{"family":"Wade","given":"Alex R."},{"family":"Morland","given":"Antony B."}],"issued":{"date-parts":[["2016",5,25]]}}}],"schema":"https://github.com/citation-style-language/schema/raw/master/csl-citation.json"} </w:instrText>
      </w:r>
      <w:r w:rsidRPr="00225AB0">
        <w:rPr>
          <w:rFonts w:ascii="Arial" w:hAnsi="Arial" w:cs="Arial"/>
        </w:rPr>
        <w:fldChar w:fldCharType="separate"/>
      </w:r>
      <w:r w:rsidRPr="00225AB0">
        <w:rPr>
          <w:rFonts w:ascii="Arial" w:hAnsi="Arial" w:cs="Arial"/>
          <w:noProof/>
        </w:rPr>
        <w:t>(Vernon, Gouws, Lawrence, Wade, &amp; Morland, 2016)</w:t>
      </w:r>
      <w:r w:rsidRPr="00225AB0">
        <w:rPr>
          <w:rFonts w:ascii="Arial" w:hAnsi="Arial" w:cs="Arial"/>
        </w:rPr>
        <w:fldChar w:fldCharType="end"/>
      </w:r>
      <w:r w:rsidRPr="00225AB0">
        <w:rPr>
          <w:rFonts w:ascii="Arial" w:hAnsi="Arial" w:cs="Arial"/>
        </w:rPr>
        <w:t xml:space="preserve">. However, other research has suggested a distinct difference in the visual information LO-1 and LO-2 selectively encode. </w:t>
      </w:r>
      <w:r w:rsidRPr="00225AB0">
        <w:rPr>
          <w:rFonts w:ascii="Arial" w:hAnsi="Arial" w:cs="Arial"/>
        </w:rPr>
        <w:fldChar w:fldCharType="begin"/>
      </w:r>
      <w:r w:rsidR="005B4361">
        <w:rPr>
          <w:rFonts w:ascii="Arial" w:hAnsi="Arial" w:cs="Arial"/>
        </w:rPr>
        <w:instrText xml:space="preserve"> ADDIN ZOTERO_ITEM CSL_CITATION {"citationID":"EcJ1ujxq","properties":{"formattedCitation":"(Silson et al., 2013)","plainCitation":"(Silson et al., 2013)","dontUpdate":true,"noteIndex":0},"citationItems":[{"id":229,"uris":["http://zotero.org/groups/318634/items/W2MJSXD2"],"uri":["http://zotero.org/groups/318634/items/W2MJSXD2"],"itemData":{"id":229,"type":"article-journal","title":"Specialized and independent processing of orientation and shape in visual field maps LO1 and LO2","container-title":"Nature Neuroscience","page":"267","volume":"16","issue":"3","source":"Google Scholar","author":[{"family":"Silson","given":"Edward H."},{"family":"McKeefry","given":"Declan J."},{"family":"Rodgers","given":"Jessica"},{"family":"Gouws","given":"Andre D."},{"family":"Hymers","given":"Mark"},{"family":"Morland","given":"Antony B."}],"issued":{"date-parts":[["2013"]]}}}],"schema":"https://github.com/citation-style-language/schema/raw/master/csl-citation.json"} </w:instrText>
      </w:r>
      <w:r w:rsidRPr="00225AB0">
        <w:rPr>
          <w:rFonts w:ascii="Arial" w:hAnsi="Arial" w:cs="Arial"/>
        </w:rPr>
        <w:fldChar w:fldCharType="separate"/>
      </w:r>
      <w:r w:rsidRPr="00225AB0">
        <w:rPr>
          <w:rFonts w:ascii="Arial" w:hAnsi="Arial" w:cs="Arial"/>
          <w:noProof/>
        </w:rPr>
        <w:t>Silson et al., (2013)</w:t>
      </w:r>
      <w:r w:rsidRPr="00225AB0">
        <w:rPr>
          <w:rFonts w:ascii="Arial" w:hAnsi="Arial" w:cs="Arial"/>
        </w:rPr>
        <w:fldChar w:fldCharType="end"/>
      </w:r>
      <w:r w:rsidRPr="00225AB0">
        <w:rPr>
          <w:rFonts w:ascii="Arial" w:hAnsi="Arial" w:cs="Arial"/>
        </w:rPr>
        <w:t xml:space="preserve"> used transcranial magnetic stimulation (TMS) and identified a double dissociation, with LO-2 impaired in shape processing, but not orientation processing during the application of TMS to temporarily disrupt activity </w:t>
      </w:r>
      <w:r w:rsidR="00D44AC6">
        <w:rPr>
          <w:rFonts w:ascii="Arial" w:hAnsi="Arial" w:cs="Arial"/>
        </w:rPr>
        <w:t>in</w:t>
      </w:r>
      <w:r w:rsidRPr="00225AB0">
        <w:rPr>
          <w:rFonts w:ascii="Arial" w:hAnsi="Arial" w:cs="Arial"/>
        </w:rPr>
        <w:t xml:space="preserve"> the region. Conversely, TMS applied to area LO-1 disrupted orientation processing, but not shape. This suggests a specialised role for LO-2 in the processing of shape information </w:t>
      </w:r>
      <w:r w:rsidR="00D44AC6">
        <w:rPr>
          <w:rFonts w:ascii="Arial" w:hAnsi="Arial" w:cs="Arial"/>
        </w:rPr>
        <w:t>in</w:t>
      </w:r>
      <w:r w:rsidRPr="00225AB0">
        <w:rPr>
          <w:rFonts w:ascii="Arial" w:hAnsi="Arial" w:cs="Arial"/>
        </w:rPr>
        <w:t xml:space="preserve"> the human visual cortex. </w:t>
      </w:r>
    </w:p>
    <w:p w14:paraId="6C5F08CB" w14:textId="77777777" w:rsidR="00697512" w:rsidRPr="00225AB0" w:rsidRDefault="00697512" w:rsidP="000C73FA">
      <w:pPr>
        <w:spacing w:line="480" w:lineRule="auto"/>
        <w:rPr>
          <w:rFonts w:ascii="Arial" w:hAnsi="Arial" w:cs="Arial"/>
        </w:rPr>
      </w:pPr>
    </w:p>
    <w:p w14:paraId="14E14CD5" w14:textId="77777777" w:rsidR="00B82607" w:rsidRPr="00225AB0" w:rsidRDefault="000C73FA" w:rsidP="001811CC">
      <w:pPr>
        <w:pStyle w:val="Heading4"/>
        <w:numPr>
          <w:ilvl w:val="3"/>
          <w:numId w:val="2"/>
        </w:numPr>
        <w:rPr>
          <w:rFonts w:ascii="Arial" w:hAnsi="Arial" w:cs="Arial"/>
          <w:color w:val="000000" w:themeColor="text1"/>
          <w:sz w:val="28"/>
          <w:szCs w:val="28"/>
        </w:rPr>
      </w:pPr>
      <w:bookmarkStart w:id="106" w:name="_Toc11147954"/>
      <w:bookmarkStart w:id="107" w:name="_Toc11930025"/>
      <w:bookmarkStart w:id="108" w:name="_Toc16075341"/>
      <w:r w:rsidRPr="00225AB0">
        <w:rPr>
          <w:rFonts w:ascii="Arial" w:hAnsi="Arial" w:cs="Arial"/>
          <w:color w:val="000000" w:themeColor="text1"/>
          <w:sz w:val="28"/>
          <w:szCs w:val="28"/>
        </w:rPr>
        <w:t>Perception of colour</w:t>
      </w:r>
      <w:bookmarkEnd w:id="106"/>
      <w:bookmarkEnd w:id="107"/>
      <w:bookmarkEnd w:id="108"/>
    </w:p>
    <w:p w14:paraId="14B3FE0D" w14:textId="1C9EBDCC" w:rsidR="005B4361" w:rsidRDefault="000C73FA" w:rsidP="000C73FA">
      <w:pPr>
        <w:spacing w:line="480" w:lineRule="auto"/>
        <w:rPr>
          <w:rFonts w:ascii="Arial" w:hAnsi="Arial" w:cs="Arial"/>
        </w:rPr>
      </w:pPr>
      <w:r w:rsidRPr="00225AB0">
        <w:rPr>
          <w:rFonts w:ascii="Arial" w:hAnsi="Arial" w:cs="Arial"/>
        </w:rPr>
        <w:t xml:space="preserve">The perception of colour begins with the cone photoreceptors present </w:t>
      </w:r>
      <w:r w:rsidR="00D44AC6">
        <w:rPr>
          <w:rFonts w:ascii="Arial" w:hAnsi="Arial" w:cs="Arial"/>
        </w:rPr>
        <w:t>in</w:t>
      </w:r>
      <w:r w:rsidRPr="00225AB0">
        <w:rPr>
          <w:rFonts w:ascii="Arial" w:hAnsi="Arial" w:cs="Arial"/>
        </w:rPr>
        <w:t xml:space="preserve"> the retina. Retinal photoreceptors are classified </w:t>
      </w:r>
      <w:r w:rsidR="00B85F19" w:rsidRPr="00225AB0">
        <w:rPr>
          <w:rFonts w:ascii="Arial" w:hAnsi="Arial" w:cs="Arial"/>
        </w:rPr>
        <w:t>into three distinct types</w:t>
      </w:r>
      <w:r w:rsidR="00B85F19">
        <w:rPr>
          <w:rFonts w:ascii="Arial" w:hAnsi="Arial" w:cs="Arial"/>
        </w:rPr>
        <w:t xml:space="preserve"> </w:t>
      </w:r>
      <w:r w:rsidRPr="00225AB0">
        <w:rPr>
          <w:rFonts w:ascii="Arial" w:hAnsi="Arial" w:cs="Arial"/>
        </w:rPr>
        <w:t>on</w:t>
      </w:r>
      <w:r w:rsidR="00B85F19">
        <w:rPr>
          <w:rFonts w:ascii="Arial" w:hAnsi="Arial" w:cs="Arial"/>
        </w:rPr>
        <w:t xml:space="preserve"> the basis of </w:t>
      </w:r>
      <w:r w:rsidRPr="00225AB0">
        <w:rPr>
          <w:rFonts w:ascii="Arial" w:hAnsi="Arial" w:cs="Arial"/>
        </w:rPr>
        <w:t xml:space="preserve">their sensitivity to wavelengths of light. Long-wavelength cones (L) have a peak sensitivity at approximately 560nm, medium-wavelength cones (M) </w:t>
      </w:r>
      <w:r w:rsidR="00B85F19">
        <w:rPr>
          <w:rFonts w:ascii="Arial" w:hAnsi="Arial" w:cs="Arial"/>
        </w:rPr>
        <w:t xml:space="preserve">have </w:t>
      </w:r>
      <w:r w:rsidRPr="00225AB0">
        <w:rPr>
          <w:rFonts w:ascii="Arial" w:hAnsi="Arial" w:cs="Arial"/>
        </w:rPr>
        <w:t xml:space="preserve">maximum light absorption peaks at ~530nm, and around 420nm for </w:t>
      </w:r>
      <w:r w:rsidRPr="00225AB0">
        <w:rPr>
          <w:rFonts w:ascii="Arial" w:hAnsi="Arial" w:cs="Arial"/>
        </w:rPr>
        <w:lastRenderedPageBreak/>
        <w:t xml:space="preserve">short-wavelength (S) cones </w:t>
      </w:r>
      <w:r w:rsidRPr="00225AB0">
        <w:rPr>
          <w:rFonts w:ascii="Arial" w:hAnsi="Arial" w:cs="Arial"/>
        </w:rPr>
        <w:fldChar w:fldCharType="begin"/>
      </w:r>
      <w:r w:rsidR="005B4361">
        <w:rPr>
          <w:rFonts w:ascii="Arial" w:hAnsi="Arial" w:cs="Arial"/>
        </w:rPr>
        <w:instrText xml:space="preserve"> ADDIN ZOTERO_ITEM CSL_CITATION {"citationID":"nH7KMo7q","properties":{"formattedCitation":"(Bowmaker &amp; Dartnall, 1980; Schnapf, Kraft, &amp; Baylor, 1987)","plainCitation":"(Bowmaker &amp; Dartnall, 1980; Schnapf, Kraft, &amp; Baylor, 1987)","noteIndex":0},"citationItems":[{"id":186,"uris":["http://zotero.org/groups/318634/items/5GGUGLE3"],"uri":["http://zotero.org/groups/318634/items/5GGUGLE3"],"itemData":{"id":186,"type":"article-journal","title":"Visual pigments of rods and cones in a human retina","container-title":"The Journal of Physiology","page":"501-511","volume":"298","source":"PubMed","abstract":"1. Microspectrophotometric measurements have been made of the photopigments of individual rods and cones from the retina of a man. The measuring beam was passed transversely through the isolated outer segments. 2. The mean absorbance spectrum for rods (n = 11) had a peak at 497.6 +/- 3.3 nm and the mean transverse absorbance was 0.035 +/- 0.007. 3. Three classes of cones were identified. The long-wave cones ('red' cones) had a lambda max of 562.8 +/- 4.7 nm (n = 19) with a mean transverse absorbance of 0.027 +/- 0.005. The middle-wave cones ('green' cones) had a lambda max of 533.8 +/- 3.7 nm (n = 11) with a mean transverse absorbance of 0.032 +/- 0.007. The short-wave cones ('blue' cones) had a lambda max of 420.3 +/- 4.7 nm (n = 3) with a mean transverse absorbance of 0.037 +/- 0.011. 4. If assumptions are made about the length of cones and about pre-receptoral absorption, it is possible to derive psychophysical sensitivities for the cones that closely resemble the appropriate pi mechanisms of W. S. Stiles. 5. If assumptions are made about the length of rods and about pre-receptoral absorption, however, the psychophysical sensitivity derived for the rods is considerably broader than the C.I.E. scotopic sensitivity function.","DOI":"10.1113/jphysiol.1980.sp013097","ISSN":"0022-3751","note":"PMID: 7359434\nPMCID: PMC1279132","journalAbbreviation":"J. Physiol. (Lond.)","language":"eng","author":[{"family":"Bowmaker","given":"J. K."},{"family":"Dartnall","given":"H. J."}],"issued":{"date-parts":[["1980",1]]}}},{"id":187,"uris":["http://zotero.org/groups/318634/items/T2LMVIHJ"],"uri":["http://zotero.org/groups/318634/items/T2LMVIHJ"],"itemData":{"id":187,"type":"article-journal","title":"Spectral sensitivity of human cone photoreceptors","container-title":"Nature","page":"439-441","volume":"325","issue":"6103","source":"PubMed","abstract":"The brain computes visual colour by analysing the relative excitations of three types of retinal cones. Each cone excitation is governed by a spectral sensitivity function which relates the amplitude of the neural response to wavelength at constant light intensity. The spectral sensitivities of human cones are not well characterized. We report measuring the sensitivities by recording electrical responses of human cones to stimuli of different wavelengths. Spectral sensitivities of 'green' and 'red' cones, determined over the entire visible region, show peaks near 530 and 560 nm respectively, and are remarkably similar to those of the old-world monkey Macaca fascicularis. They satisfactorily predict the photopic luminosity function, a measure of the sensitivity of cone-mediated human vision to light of different wavelengths. The kinetics of the light responses of human cones also appeared similar to those of macaque cones: the time to peak response to a dim flash was 50-100 ms and there was a characteristic undershoot during recovery.","DOI":"10.1038/325439a0","ISSN":"0028-0836","note":"PMID: 3808045","journalAbbreviation":"Nature","language":"eng","author":[{"family":"Schnapf","given":"J. L."},{"family":"Kraft","given":"T. W."},{"family":"Baylor","given":"D. A."}],"issued":{"date-parts":[["1987",2,29]]}}}],"schema":"https://github.com/citation-style-language/schema/raw/master/csl-citation.json"} </w:instrText>
      </w:r>
      <w:r w:rsidRPr="00225AB0">
        <w:rPr>
          <w:rFonts w:ascii="Arial" w:hAnsi="Arial" w:cs="Arial"/>
        </w:rPr>
        <w:fldChar w:fldCharType="separate"/>
      </w:r>
      <w:r w:rsidRPr="00225AB0">
        <w:rPr>
          <w:rFonts w:ascii="Arial" w:hAnsi="Arial" w:cs="Arial"/>
          <w:noProof/>
        </w:rPr>
        <w:t>(Bowmaker &amp; Dartnall, 1980; Schnapf, Kraft, &amp; Baylor, 1987)</w:t>
      </w:r>
      <w:r w:rsidRPr="00225AB0">
        <w:rPr>
          <w:rFonts w:ascii="Arial" w:hAnsi="Arial" w:cs="Arial"/>
        </w:rPr>
        <w:fldChar w:fldCharType="end"/>
      </w:r>
      <w:r w:rsidR="00697512">
        <w:rPr>
          <w:rFonts w:ascii="Arial" w:hAnsi="Arial" w:cs="Arial"/>
        </w:rPr>
        <w:t xml:space="preserve"> (see Figure 1.3). </w:t>
      </w:r>
    </w:p>
    <w:p w14:paraId="40A7006D" w14:textId="77777777" w:rsidR="005B4361" w:rsidRDefault="005B4361" w:rsidP="000C73FA">
      <w:pPr>
        <w:spacing w:line="480" w:lineRule="auto"/>
        <w:rPr>
          <w:rFonts w:ascii="Arial" w:hAnsi="Arial" w:cs="Arial"/>
        </w:rPr>
      </w:pPr>
    </w:p>
    <w:p w14:paraId="224D4F3D" w14:textId="123694FB" w:rsidR="000C73FA" w:rsidRDefault="005B4361" w:rsidP="000C73FA">
      <w:pPr>
        <w:spacing w:line="480" w:lineRule="auto"/>
        <w:rPr>
          <w:rFonts w:ascii="Arial" w:hAnsi="Arial" w:cs="Arial"/>
        </w:rPr>
      </w:pPr>
      <w:r w:rsidRPr="00EA4EBE">
        <w:rPr>
          <w:rFonts w:ascii="Arial" w:hAnsi="Arial" w:cs="Arial"/>
        </w:rPr>
        <w:t xml:space="preserve">More recently, researchers have identified a third type of light-sensitive cell, in addition to rod and cone photoreceptors, which contains a pigment called melanopsin. These intrinsically photosensitive retinal ganglion cells (ipRGCs) were initially thought to be involved solely in the regulation of non-visual responses to photic stimuli, such as the pupillary light reflex and regulation of sleep. Yet, recent research has also demonstrated this pigment is light-sensitive. For example, </w:t>
      </w:r>
      <w:r w:rsidRPr="00EA4EBE">
        <w:rPr>
          <w:rFonts w:ascii="Arial" w:hAnsi="Arial" w:cs="Arial"/>
        </w:rPr>
        <w:fldChar w:fldCharType="begin"/>
      </w:r>
      <w:r w:rsidR="00995B3D" w:rsidRPr="00EA4EBE">
        <w:rPr>
          <w:rFonts w:ascii="Arial" w:hAnsi="Arial" w:cs="Arial"/>
        </w:rPr>
        <w:instrText xml:space="preserve"> ADDIN ZOTERO_ITEM CSL_CITATION {"citationID":"F0qIIDuX","properties":{"formattedCitation":"(Panda et al., 2005)","plainCitation":"(Panda et al., 2005)","dontUpdate":true,"noteIndex":0},"citationItems":[{"id":534,"uris":["http://zotero.org/groups/318634/items/3AX3ITRW"],"uri":["http://zotero.org/groups/318634/items/3AX3ITRW"],"itemData":{"id":534,"type":"article-journal","title":"Illumination of the melanopsin signaling pathway","container-title":"Science (New York, N.Y.)","page":"600-604","volume":"307","issue":"5709","source":"PubMed","abstract":"In mammals, a small population of intrinsically photosensitive retinal ganglion cells (ipRGCs) plays a key role in the regulation of nonvisual photic responses, such as behavioral responses to light, pineal melatonin synthesis, pupillary light reflex, and sleep latency. These ipRGCs also express melanopsin (Opn4), a putative opsin-family photopigment that has been shown to play a role in mediating these nonvisual photic responses. Melanopsin is required for the function of this inner retinal pathway, but its precise role in generating photic responses has not yet been determined. We found that expression of melanopsin in Xenopus oocytes results in light-dependent activation of membrane currents through the Galpha(q)/Galpha(11) G protein pathway, with an action spectrum closely matching that of melanopsin-expressing ipRGCs and of behavioral responses to light in mice lacking rods and cones. When coexpressed with arrestins, melanopsin could use all-trans-retinaldehyde as a chromophore, which suggests that it may function as a bireactive opsin. We also found that melanopsin could activate the cation channel TRPC3, a mammalian homolog of the Drosophila phototransduction channels TRP and TRPL. Melanopsin therefore signals more like an invertebrate opsin than like a classical vertebrate rod-and-cone opsin.","DOI":"10.1126/science.1105121","ISSN":"1095-9203","note":"PMID: 15681390","journalAbbreviation":"Science","language":"eng","author":[{"family":"Panda","given":"Satchidananda"},{"family":"Nayak","given":"Surendra K."},{"family":"Campo","given":"Brice"},{"family":"Walker","given":"John R."},{"family":"Hogenesch","given":"John B."},{"family":"Jegla","given":"Tim"}],"issued":{"date-parts":[["2005",1,28]]}}}],"schema":"https://github.com/citation-style-language/schema/raw/master/csl-citation.json"} </w:instrText>
      </w:r>
      <w:r w:rsidRPr="00EA4EBE">
        <w:rPr>
          <w:rFonts w:ascii="Arial" w:hAnsi="Arial" w:cs="Arial"/>
        </w:rPr>
        <w:fldChar w:fldCharType="separate"/>
      </w:r>
      <w:r w:rsidRPr="00EA4EBE">
        <w:rPr>
          <w:rFonts w:ascii="Arial" w:hAnsi="Arial" w:cs="Arial"/>
          <w:noProof/>
        </w:rPr>
        <w:t>Panda et al., (2005)</w:t>
      </w:r>
      <w:r w:rsidRPr="00EA4EBE">
        <w:rPr>
          <w:rFonts w:ascii="Arial" w:hAnsi="Arial" w:cs="Arial"/>
        </w:rPr>
        <w:fldChar w:fldCharType="end"/>
      </w:r>
      <w:r w:rsidRPr="00EA4EBE">
        <w:rPr>
          <w:rFonts w:ascii="Arial" w:hAnsi="Arial" w:cs="Arial"/>
        </w:rPr>
        <w:t xml:space="preserve">, produced light-sensitive frog eggs when injected with the genes for melanopsin, and </w:t>
      </w:r>
      <w:r w:rsidRPr="00EA4EBE">
        <w:rPr>
          <w:rFonts w:ascii="Arial" w:hAnsi="Arial" w:cs="Arial"/>
        </w:rPr>
        <w:fldChar w:fldCharType="begin"/>
      </w:r>
      <w:r w:rsidR="00995B3D" w:rsidRPr="00EA4EBE">
        <w:rPr>
          <w:rFonts w:ascii="Arial" w:hAnsi="Arial" w:cs="Arial"/>
        </w:rPr>
        <w:instrText xml:space="preserve"> ADDIN ZOTERO_ITEM CSL_CITATION {"citationID":"8kBd0uX6","properties":{"formattedCitation":"(Melyan, Tarttelin, Bellingham, Lucas, &amp; Hankins, 2005)","plainCitation":"(Melyan, Tarttelin, Bellingham, Lucas, &amp; Hankins, 2005)","dontUpdate":true,"noteIndex":0},"citationItems":[{"id":532,"uris":["http://zotero.org/groups/318634/items/Y9E4KZWP"],"uri":["http://zotero.org/groups/318634/items/Y9E4KZWP"],"itemData":{"id":532,"type":"article-journal","title":"Addition of human melanopsin renders mammalian cells photoresponsive","container-title":"Nature","page":"741-745","volume":"433","issue":"7027","source":"PubMed","abstract":"A small number of mammalian retinal ganglion cells act as photoreceptors for regulating certain non-image forming photoresponses. These intrinsically photosensitive retinal ganglion cells express the putative photopigment melanopsin. Ablation of the melanopsin gene renders these cells insensitive to light; however, the precise role of melanopsin in supporting cellular photosensitivity is unconfirmed. Here we show that heterologous expression of human melanopsin in a mouse paraneuronal cell line (Neuro-2a) is sufficient to render these cells photoreceptive. Under such conditions, melanopsin acts as a sensory photopigment, coupled to a native ion channel via a G-protein signalling cascade, to drive physiological light detection. The melanopsin photoresponse relies on the presence of cis-isoforms of retinaldehyde and is selectively sensitive to short-wavelength light. We also present evidence to show that melanopsin functions as a bistable pigment in this system, having an intrinsic photoisomerase regeneration function that is chromatically shifted to longer wavelengths.","DOI":"10.1038/nature03344","ISSN":"1476-4687","note":"PMID: 15674244","journalAbbreviation":"Nature","language":"eng","author":[{"family":"Melyan","given":"Z."},{"family":"Tarttelin","given":"E. E."},{"family":"Bellingham","given":"J."},{"family":"Lucas","given":"R. J."},{"family":"Hankins","given":"M. W."}],"issued":{"date-parts":[["2005",2,17]]}}}],"schema":"https://github.com/citation-style-language/schema/raw/master/csl-citation.json"} </w:instrText>
      </w:r>
      <w:r w:rsidRPr="00EA4EBE">
        <w:rPr>
          <w:rFonts w:ascii="Arial" w:hAnsi="Arial" w:cs="Arial"/>
        </w:rPr>
        <w:fldChar w:fldCharType="separate"/>
      </w:r>
      <w:r w:rsidRPr="00EA4EBE">
        <w:rPr>
          <w:rFonts w:ascii="Arial" w:hAnsi="Arial" w:cs="Arial"/>
          <w:noProof/>
        </w:rPr>
        <w:t xml:space="preserve">Melyan, Tarttelin, Bellingham, Lucas, &amp; Hankins, </w:t>
      </w:r>
      <w:r w:rsidR="00F91EF8" w:rsidRPr="00EA4EBE">
        <w:rPr>
          <w:rFonts w:ascii="Arial" w:hAnsi="Arial" w:cs="Arial"/>
          <w:noProof/>
        </w:rPr>
        <w:t>(</w:t>
      </w:r>
      <w:r w:rsidRPr="00EA4EBE">
        <w:rPr>
          <w:rFonts w:ascii="Arial" w:hAnsi="Arial" w:cs="Arial"/>
          <w:noProof/>
        </w:rPr>
        <w:t>2005)</w:t>
      </w:r>
      <w:r w:rsidRPr="00EA4EBE">
        <w:rPr>
          <w:rFonts w:ascii="Arial" w:hAnsi="Arial" w:cs="Arial"/>
        </w:rPr>
        <w:fldChar w:fldCharType="end"/>
      </w:r>
      <w:r w:rsidRPr="00EA4EBE">
        <w:rPr>
          <w:rFonts w:ascii="Arial" w:hAnsi="Arial" w:cs="Arial"/>
        </w:rPr>
        <w:t xml:space="preserve"> </w:t>
      </w:r>
      <w:r w:rsidR="00AD1836" w:rsidRPr="00EA4EBE">
        <w:rPr>
          <w:rFonts w:ascii="Arial" w:hAnsi="Arial" w:cs="Arial"/>
        </w:rPr>
        <w:t xml:space="preserve">modified </w:t>
      </w:r>
      <w:r w:rsidRPr="00EA4EBE">
        <w:rPr>
          <w:rFonts w:ascii="Arial" w:hAnsi="Arial" w:cs="Arial"/>
        </w:rPr>
        <w:t xml:space="preserve">embryonic mouse neurons </w:t>
      </w:r>
      <w:r w:rsidR="00AD1836" w:rsidRPr="00EA4EBE">
        <w:rPr>
          <w:rFonts w:ascii="Arial" w:hAnsi="Arial" w:cs="Arial"/>
        </w:rPr>
        <w:t xml:space="preserve">to </w:t>
      </w:r>
      <w:r w:rsidRPr="00EA4EBE">
        <w:rPr>
          <w:rFonts w:ascii="Arial" w:hAnsi="Arial" w:cs="Arial"/>
        </w:rPr>
        <w:t xml:space="preserve">produce melanopsin, </w:t>
      </w:r>
      <w:r w:rsidR="00AD1836" w:rsidRPr="00EA4EBE">
        <w:rPr>
          <w:rFonts w:ascii="Arial" w:hAnsi="Arial" w:cs="Arial"/>
        </w:rPr>
        <w:t>which then demonstrated light-sensitive responses</w:t>
      </w:r>
      <w:r w:rsidRPr="00EA4EBE">
        <w:rPr>
          <w:rFonts w:ascii="Arial" w:hAnsi="Arial" w:cs="Arial"/>
        </w:rPr>
        <w:t>.</w:t>
      </w:r>
      <w:r w:rsidR="00F91EF8" w:rsidRPr="00EA4EBE">
        <w:rPr>
          <w:rFonts w:ascii="Arial" w:hAnsi="Arial" w:cs="Arial"/>
        </w:rPr>
        <w:t xml:space="preserve"> Human melanopsin has been demonstrated to possess a spectral sensitivity to blue light (peaking at 479nm)</w:t>
      </w:r>
      <w:r w:rsidRPr="00EA4EBE">
        <w:rPr>
          <w:rFonts w:ascii="Arial" w:hAnsi="Arial" w:cs="Arial"/>
        </w:rPr>
        <w:t xml:space="preserve"> </w:t>
      </w:r>
      <w:r w:rsidR="00F91EF8" w:rsidRPr="00EA4EBE">
        <w:rPr>
          <w:rFonts w:ascii="Arial" w:hAnsi="Arial" w:cs="Arial"/>
        </w:rPr>
        <w:fldChar w:fldCharType="begin"/>
      </w:r>
      <w:r w:rsidR="00F91EF8" w:rsidRPr="00EA4EBE">
        <w:rPr>
          <w:rFonts w:ascii="Arial" w:hAnsi="Arial" w:cs="Arial"/>
        </w:rPr>
        <w:instrText xml:space="preserve"> ADDIN ZOTERO_ITEM CSL_CITATION {"citationID":"IXz0IPri","properties":{"formattedCitation":"(Bailes &amp; Lucas, 2013)","plainCitation":"(Bailes &amp; Lucas, 2013)","noteIndex":0},"citationItems":[{"id":536,"uris":["http://zotero.org/groups/318634/items/WIQ4XN2W"],"uri":["http://zotero.org/groups/318634/items/WIQ4XN2W"],"itemData":{"id":536,"type":"article-journal","title":"Human melanopsin forms a pigment maximally sensitive to blue light (λmax ≈ 479 nm) supporting activation of G(q/11) and G(i/o) signalling cascades","container-title":"Proceedings. Biological Sciences","page":"20122987","volume":"280","issue":"1759","source":"PubMed","abstract":"A subset of mammalian retinal ganglion cells expresses an opsin photopigment (melanopsin, Opn4) and is intrinsically photosensitive. The human retina contains melanopsin, but the literature lacks a direct investigation of its spectral sensitivity or G-protein selectivity. Here, we address this deficit by studying physiological responses driven by human melanopsin under heterologous expression in HEK293 cells. Luminescent reporters for common second messenger systems revealed that light induces a high amplitude increase in intracellular calcium and a modest reduction in cAMP in cells expressing human melanopsin, implying that this pigment is able to drive responses via both Gq and Gi/o class G-proteins. Melanopsins from mouse and amphioxus had a similar profile of G-protein coupling in HEK293 cells, but chicken Opn4m and Opn4x pigments exhibited some Gs activity in addition to a strong Gq/11 response. An action spectrum for the calcium response in cells expressing human melanopsin had the predicted form for an opsin : vitamin A1 pigment and peaked at 479 nm. The G-protein selectivity and spectral sensitivity of human melanopsin is similar to that previously described for rodents, supporting the utility of such laboratory animals for developing methods of manipulating this system using light or pharmacological agents.","DOI":"10.1098/rspb.2012.2987","ISSN":"1471-2954","note":"PMID: 23554393\nPMCID: PMC3619500","journalAbbreviation":"Proc. Biol. Sci.","language":"eng","author":[{"family":"Bailes","given":"Helena J."},{"family":"Lucas","given":"Robert J."}],"issued":{"date-parts":[["2013",5,22]]}}}],"schema":"https://github.com/citation-style-language/schema/raw/master/csl-citation.json"} </w:instrText>
      </w:r>
      <w:r w:rsidR="00F91EF8" w:rsidRPr="00EA4EBE">
        <w:rPr>
          <w:rFonts w:ascii="Arial" w:hAnsi="Arial" w:cs="Arial"/>
        </w:rPr>
        <w:fldChar w:fldCharType="separate"/>
      </w:r>
      <w:r w:rsidR="00F91EF8" w:rsidRPr="00EA4EBE">
        <w:rPr>
          <w:rFonts w:ascii="Arial" w:hAnsi="Arial" w:cs="Arial"/>
          <w:noProof/>
        </w:rPr>
        <w:t>(Bailes &amp; Lucas, 2013)</w:t>
      </w:r>
      <w:r w:rsidR="00F91EF8" w:rsidRPr="00EA4EBE">
        <w:rPr>
          <w:rFonts w:ascii="Arial" w:hAnsi="Arial" w:cs="Arial"/>
        </w:rPr>
        <w:fldChar w:fldCharType="end"/>
      </w:r>
      <w:r w:rsidR="00F91EF8" w:rsidRPr="00EA4EBE">
        <w:rPr>
          <w:rFonts w:ascii="Arial" w:hAnsi="Arial" w:cs="Arial"/>
        </w:rPr>
        <w:t>.</w:t>
      </w:r>
      <w:r w:rsidR="00F91EF8">
        <w:rPr>
          <w:rFonts w:ascii="Arial" w:hAnsi="Arial" w:cs="Arial"/>
        </w:rPr>
        <w:t xml:space="preserve"> </w:t>
      </w:r>
    </w:p>
    <w:p w14:paraId="1A0F4C0A" w14:textId="136460BF" w:rsidR="009F3085" w:rsidRDefault="001B7359" w:rsidP="000C73FA">
      <w:pPr>
        <w:spacing w:line="480" w:lineRule="auto"/>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852800" behindDoc="1" locked="0" layoutInCell="1" allowOverlap="1" wp14:anchorId="1D3129DB" wp14:editId="62346C45">
                <wp:simplePos x="0" y="0"/>
                <wp:positionH relativeFrom="column">
                  <wp:posOffset>-5715</wp:posOffset>
                </wp:positionH>
                <wp:positionV relativeFrom="paragraph">
                  <wp:posOffset>0</wp:posOffset>
                </wp:positionV>
                <wp:extent cx="5291455" cy="431927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291455" cy="4319270"/>
                        </a:xfrm>
                        <a:prstGeom prst="rect">
                          <a:avLst/>
                        </a:prstGeom>
                        <a:noFill/>
                        <a:ln w="6350">
                          <a:noFill/>
                        </a:ln>
                      </wps:spPr>
                      <wps:txbx>
                        <w:txbxContent>
                          <w:p w14:paraId="6E9794A8" w14:textId="77777777" w:rsidR="00C93BE0" w:rsidRDefault="00C93BE0" w:rsidP="001B7359">
                            <w:pPr>
                              <w:keepNext/>
                              <w:jc w:val="center"/>
                            </w:pPr>
                            <w:r>
                              <w:rPr>
                                <w:noProof/>
                              </w:rPr>
                              <w:drawing>
                                <wp:inline distT="0" distB="0" distL="0" distR="0" wp14:anchorId="29BFDAB0" wp14:editId="40354903">
                                  <wp:extent cx="5102225" cy="3176905"/>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ure1.3_real.jpeg"/>
                                          <pic:cNvPicPr/>
                                        </pic:nvPicPr>
                                        <pic:blipFill>
                                          <a:blip r:embed="rId12">
                                            <a:extLst>
                                              <a:ext uri="{28A0092B-C50C-407E-A947-70E740481C1C}">
                                                <a14:useLocalDpi xmlns:a14="http://schemas.microsoft.com/office/drawing/2010/main" val="0"/>
                                              </a:ext>
                                            </a:extLst>
                                          </a:blip>
                                          <a:stretch>
                                            <a:fillRect/>
                                          </a:stretch>
                                        </pic:blipFill>
                                        <pic:spPr>
                                          <a:xfrm>
                                            <a:off x="0" y="0"/>
                                            <a:ext cx="5102225" cy="3176905"/>
                                          </a:xfrm>
                                          <a:prstGeom prst="rect">
                                            <a:avLst/>
                                          </a:prstGeom>
                                        </pic:spPr>
                                      </pic:pic>
                                    </a:graphicData>
                                  </a:graphic>
                                </wp:inline>
                              </w:drawing>
                            </w:r>
                          </w:p>
                          <w:p w14:paraId="482ED283" w14:textId="77777777" w:rsidR="00C93BE0" w:rsidRDefault="00C93BE0" w:rsidP="00170639">
                            <w:pPr>
                              <w:spacing w:line="360" w:lineRule="auto"/>
                              <w:rPr>
                                <w:rFonts w:ascii="Arial" w:hAnsi="Arial" w:cs="Arial"/>
                              </w:rPr>
                            </w:pPr>
                            <w:r w:rsidRPr="00896C7F">
                              <w:rPr>
                                <w:rFonts w:ascii="Arial" w:hAnsi="Arial" w:cs="Arial"/>
                                <w:b/>
                                <w:color w:val="000000" w:themeColor="text1"/>
                              </w:rPr>
                              <w:t xml:space="preserve">Figure </w:t>
                            </w:r>
                            <w:r>
                              <w:rPr>
                                <w:rFonts w:ascii="Arial" w:hAnsi="Arial" w:cs="Arial"/>
                                <w:b/>
                                <w:i/>
                                <w:color w:val="000000" w:themeColor="text1"/>
                              </w:rPr>
                              <w:fldChar w:fldCharType="begin"/>
                            </w:r>
                            <w:r>
                              <w:rPr>
                                <w:rFonts w:ascii="Arial" w:hAnsi="Arial" w:cs="Arial"/>
                                <w:b/>
                                <w:color w:val="000000" w:themeColor="text1"/>
                              </w:rPr>
                              <w:instrText xml:space="preserve"> STYLEREF 1 \s </w:instrText>
                            </w:r>
                            <w:r>
                              <w:rPr>
                                <w:rFonts w:ascii="Arial" w:hAnsi="Arial" w:cs="Arial"/>
                                <w:b/>
                                <w:i/>
                                <w:color w:val="000000" w:themeColor="text1"/>
                              </w:rPr>
                              <w:fldChar w:fldCharType="separate"/>
                            </w:r>
                            <w:r>
                              <w:rPr>
                                <w:rFonts w:ascii="Arial" w:hAnsi="Arial" w:cs="Arial"/>
                                <w:b/>
                                <w:noProof/>
                                <w:color w:val="000000" w:themeColor="text1"/>
                              </w:rPr>
                              <w:t>1</w:t>
                            </w:r>
                            <w:r>
                              <w:rPr>
                                <w:rFonts w:ascii="Arial" w:hAnsi="Arial" w:cs="Arial"/>
                                <w:b/>
                                <w:i/>
                                <w:color w:val="000000" w:themeColor="text1"/>
                              </w:rPr>
                              <w:fldChar w:fldCharType="end"/>
                            </w:r>
                            <w:r>
                              <w:rPr>
                                <w:rFonts w:ascii="Arial" w:hAnsi="Arial" w:cs="Arial"/>
                                <w:b/>
                                <w:color w:val="000000" w:themeColor="text1"/>
                              </w:rPr>
                              <w:t>.</w:t>
                            </w:r>
                            <w:r>
                              <w:rPr>
                                <w:rFonts w:ascii="Arial" w:hAnsi="Arial" w:cs="Arial"/>
                                <w:b/>
                                <w:i/>
                                <w:color w:val="000000" w:themeColor="text1"/>
                              </w:rPr>
                              <w:fldChar w:fldCharType="begin"/>
                            </w:r>
                            <w:r>
                              <w:rPr>
                                <w:rFonts w:ascii="Arial" w:hAnsi="Arial" w:cs="Arial"/>
                                <w:b/>
                                <w:color w:val="000000" w:themeColor="text1"/>
                              </w:rPr>
                              <w:instrText xml:space="preserve"> SEQ Figure \* ARABIC \s 1 </w:instrText>
                            </w:r>
                            <w:r>
                              <w:rPr>
                                <w:rFonts w:ascii="Arial" w:hAnsi="Arial" w:cs="Arial"/>
                                <w:b/>
                                <w:i/>
                                <w:color w:val="000000" w:themeColor="text1"/>
                              </w:rPr>
                              <w:fldChar w:fldCharType="separate"/>
                            </w:r>
                            <w:r>
                              <w:rPr>
                                <w:rFonts w:ascii="Arial" w:hAnsi="Arial" w:cs="Arial"/>
                                <w:b/>
                                <w:noProof/>
                                <w:color w:val="000000" w:themeColor="text1"/>
                              </w:rPr>
                              <w:t>3</w:t>
                            </w:r>
                            <w:r>
                              <w:rPr>
                                <w:rFonts w:ascii="Arial" w:hAnsi="Arial" w:cs="Arial"/>
                                <w:b/>
                                <w:i/>
                                <w:color w:val="000000" w:themeColor="text1"/>
                              </w:rPr>
                              <w:fldChar w:fldCharType="end"/>
                            </w:r>
                            <w:r w:rsidRPr="00896C7F">
                              <w:rPr>
                                <w:rFonts w:ascii="Arial" w:hAnsi="Arial" w:cs="Arial"/>
                                <w:color w:val="000000" w:themeColor="text1"/>
                              </w:rPr>
                              <w:t xml:space="preserve"> Rod and cone photoreceptor sensitivities. Retinal photoreceptors have peak sensitivities at different wavelengths of light, and comparisons of these signals provide the initial stage of colour processing within the visual system</w:t>
                            </w:r>
                            <w:r>
                              <w:rPr>
                                <w:rFonts w:ascii="Arial" w:hAnsi="Arial" w:cs="Arial"/>
                                <w:i/>
                                <w:color w:val="000000" w:themeColor="text1"/>
                              </w:rPr>
                              <w:t xml:space="preserve"> </w:t>
                            </w:r>
                            <w:r>
                              <w:rPr>
                                <w:rFonts w:ascii="Arial" w:hAnsi="Arial" w:cs="Arial"/>
                                <w:iCs/>
                                <w:color w:val="000000" w:themeColor="text1"/>
                              </w:rPr>
                              <w:t>(Fi</w:t>
                            </w:r>
                            <w:r w:rsidRPr="00E70FDC">
                              <w:rPr>
                                <w:rFonts w:ascii="Arial" w:hAnsi="Arial" w:cs="Arial"/>
                                <w:iCs/>
                                <w:color w:val="000000" w:themeColor="text1"/>
                              </w:rPr>
                              <w:t>gure from</w:t>
                            </w:r>
                            <w:r>
                              <w:rPr>
                                <w:rFonts w:ascii="Arial" w:hAnsi="Arial" w:cs="Arial"/>
                                <w:i/>
                                <w:color w:val="000000" w:themeColor="text1"/>
                              </w:rPr>
                              <w:t xml:space="preserve"> </w:t>
                            </w:r>
                            <w:r>
                              <w:rPr>
                                <w:rFonts w:ascii="Arial" w:hAnsi="Arial" w:cs="Arial"/>
                              </w:rPr>
                              <w:fldChar w:fldCharType="begin"/>
                            </w:r>
                            <w:r>
                              <w:rPr>
                                <w:rFonts w:ascii="Arial" w:hAnsi="Arial" w:cs="Arial"/>
                              </w:rPr>
                              <w:instrText xml:space="preserve"> ADDIN ZOTERO_ITEM CSL_CITATION {"citationID":"ZIsTWhGx","properties":{"formattedCitation":"(Foster, 2010)","plainCitation":"(Foster, 2010)","noteIndex":0},"citationItems":[{"id":569,"uris":["http://zotero.org/groups/318634/items/EZFCQRCS"],"uri":["http://zotero.org/groups/318634/items/EZFCQRCS"],"itemData":{"id":569,"type":"chapter","title":"Chromatic Function of the Cone","container-title":"Encyclopedia of the Eye","publisher":"Academic Press","publisher-place":"Oxford","page":"266-274","source":"ScienceDirect","event-place":"Oxford","abstract":"The spectral properties of light are analyzed by the long-, medium-, and short-wavelength sensitive cone photoreceptors. This article provides an overview of their contribution to chromatic function and its modification by prereceptoral filtering and postreceptoral processing within the eye. Successive sections provide an introduction to cone photopigments and phototransduction, and then a description of the in vivo fundamental spectral sensitivities, prereceptoral attenuation in the ocular media, cone spectral sensitivities, psychophysical techniques for isolating cone responses, retinal variations in cone numerosity and their effects on chromatic function, and, finally, cone opponency and postreceptoral spectral sensitivities.","URL":"http://www.sciencedirect.com/science/article/pii/B9780123742032002323","ISBN":"978-0-12-374203-2","note":"DOI: 10.1016/B978-0-12-374203-2.00232-3","author":[{"family":"Foster","given":"D. H."}],"editor":[{"family":"Dartt","given":"Darlene A."}],"issued":{"date-parts":[["2010",1,1]]},"accessed":{"date-parts":[["2019",10,9]]}}}],"schema":"https://github.com/citation-style-language/schema/raw/master/csl-citation.json"} </w:instrText>
                            </w:r>
                            <w:r>
                              <w:rPr>
                                <w:rFonts w:ascii="Arial" w:hAnsi="Arial" w:cs="Arial"/>
                              </w:rPr>
                              <w:fldChar w:fldCharType="separate"/>
                            </w:r>
                            <w:r>
                              <w:rPr>
                                <w:rFonts w:ascii="Arial" w:hAnsi="Arial" w:cs="Arial"/>
                                <w:noProof/>
                              </w:rPr>
                              <w:t>Foster, 2010)</w:t>
                            </w:r>
                            <w:r>
                              <w:rPr>
                                <w:rFonts w:ascii="Arial" w:hAnsi="Arial" w:cs="Arial"/>
                              </w:rPr>
                              <w:fldChar w:fldCharType="end"/>
                            </w:r>
                            <w:r>
                              <w:rPr>
                                <w:rFonts w:ascii="Arial" w:hAnsi="Arial" w:cs="Arial"/>
                              </w:rPr>
                              <w:t>.</w:t>
                            </w:r>
                          </w:p>
                          <w:p w14:paraId="474ED191" w14:textId="77777777" w:rsidR="00C93BE0" w:rsidRPr="00896C7F" w:rsidRDefault="00C93BE0" w:rsidP="001B7359">
                            <w:pPr>
                              <w:pStyle w:val="Caption"/>
                              <w:spacing w:line="360" w:lineRule="auto"/>
                              <w:jc w:val="both"/>
                              <w:rPr>
                                <w:rFonts w:ascii="Arial" w:hAnsi="Arial" w:cs="Arial"/>
                                <w:color w:val="000000" w:themeColor="text1"/>
                                <w:sz w:val="24"/>
                                <w:szCs w:val="24"/>
                              </w:rPr>
                            </w:pPr>
                          </w:p>
                          <w:p w14:paraId="35CA89AF" w14:textId="77777777" w:rsidR="00C93BE0" w:rsidRPr="006A2FD0" w:rsidRDefault="00C93BE0" w:rsidP="001B7359">
                            <w:pPr>
                              <w:keepNext/>
                              <w:jc w:val="center"/>
                            </w:pPr>
                          </w:p>
                          <w:p w14:paraId="3610C888" w14:textId="77777777" w:rsidR="00C93BE0" w:rsidRPr="006A2FD0" w:rsidRDefault="00C93BE0" w:rsidP="001B7359">
                            <w:pPr>
                              <w:keepNext/>
                              <w:jc w:val="center"/>
                            </w:pPr>
                          </w:p>
                          <w:p w14:paraId="3CE9C799" w14:textId="77777777" w:rsidR="00C93BE0" w:rsidRPr="006A2FD0" w:rsidRDefault="00C93BE0" w:rsidP="001B7359">
                            <w:pPr>
                              <w:pStyle w:val="Caption"/>
                              <w:spacing w:line="480" w:lineRule="auto"/>
                              <w:jc w:val="both"/>
                              <w:rPr>
                                <w:rFonts w:ascii="Arial" w:hAnsi="Arial" w:cs="Arial"/>
                                <w:i w:val="0"/>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129DB" id="Text Box 1" o:spid="_x0000_s1028" type="#_x0000_t202" style="position:absolute;margin-left:-.45pt;margin-top:0;width:416.65pt;height:340.1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" filled="f" stroked="f" strokeweight=".5pt">
                <v:textbox>
                  <w:txbxContent>
                    <w:p w14:paraId="6E9794A8" w14:textId="77777777" w:rsidR="00C93BE0" w:rsidRDefault="00C93BE0" w:rsidP="001B7359">
                      <w:pPr>
                        <w:keepNext/>
                        <w:jc w:val="center"/>
                      </w:pPr>
                      <w:r>
                        <w:rPr>
                          <w:noProof/>
                        </w:rPr>
                        <w:drawing>
                          <wp:inline distT="0" distB="0" distL="0" distR="0" wp14:anchorId="29BFDAB0" wp14:editId="40354903">
                            <wp:extent cx="5102225" cy="3176905"/>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ure1.3_real.jpeg"/>
                                    <pic:cNvPicPr/>
                                  </pic:nvPicPr>
                                  <pic:blipFill>
                                    <a:blip r:embed="rId13">
                                      <a:extLst>
                                        <a:ext uri="{28A0092B-C50C-407E-A947-70E740481C1C}">
                                          <a14:useLocalDpi xmlns:a14="http://schemas.microsoft.com/office/drawing/2010/main" val="0"/>
                                        </a:ext>
                                      </a:extLst>
                                    </a:blip>
                                    <a:stretch>
                                      <a:fillRect/>
                                    </a:stretch>
                                  </pic:blipFill>
                                  <pic:spPr>
                                    <a:xfrm>
                                      <a:off x="0" y="0"/>
                                      <a:ext cx="5102225" cy="3176905"/>
                                    </a:xfrm>
                                    <a:prstGeom prst="rect">
                                      <a:avLst/>
                                    </a:prstGeom>
                                  </pic:spPr>
                                </pic:pic>
                              </a:graphicData>
                            </a:graphic>
                          </wp:inline>
                        </w:drawing>
                      </w:r>
                    </w:p>
                    <w:p w14:paraId="482ED283" w14:textId="77777777" w:rsidR="00C93BE0" w:rsidRDefault="00C93BE0" w:rsidP="00170639">
                      <w:pPr>
                        <w:spacing w:line="360" w:lineRule="auto"/>
                        <w:rPr>
                          <w:rFonts w:ascii="Arial" w:hAnsi="Arial" w:cs="Arial"/>
                        </w:rPr>
                      </w:pPr>
                      <w:r w:rsidRPr="00896C7F">
                        <w:rPr>
                          <w:rFonts w:ascii="Arial" w:hAnsi="Arial" w:cs="Arial"/>
                          <w:b/>
                          <w:color w:val="000000" w:themeColor="text1"/>
                        </w:rPr>
                        <w:t xml:space="preserve">Figure </w:t>
                      </w:r>
                      <w:r>
                        <w:rPr>
                          <w:rFonts w:ascii="Arial" w:hAnsi="Arial" w:cs="Arial"/>
                          <w:b/>
                          <w:i/>
                          <w:color w:val="000000" w:themeColor="text1"/>
                        </w:rPr>
                        <w:fldChar w:fldCharType="begin"/>
                      </w:r>
                      <w:r>
                        <w:rPr>
                          <w:rFonts w:ascii="Arial" w:hAnsi="Arial" w:cs="Arial"/>
                          <w:b/>
                          <w:color w:val="000000" w:themeColor="text1"/>
                        </w:rPr>
                        <w:instrText xml:space="preserve"> STYLEREF 1 \s </w:instrText>
                      </w:r>
                      <w:r>
                        <w:rPr>
                          <w:rFonts w:ascii="Arial" w:hAnsi="Arial" w:cs="Arial"/>
                          <w:b/>
                          <w:i/>
                          <w:color w:val="000000" w:themeColor="text1"/>
                        </w:rPr>
                        <w:fldChar w:fldCharType="separate"/>
                      </w:r>
                      <w:r>
                        <w:rPr>
                          <w:rFonts w:ascii="Arial" w:hAnsi="Arial" w:cs="Arial"/>
                          <w:b/>
                          <w:noProof/>
                          <w:color w:val="000000" w:themeColor="text1"/>
                        </w:rPr>
                        <w:t>1</w:t>
                      </w:r>
                      <w:r>
                        <w:rPr>
                          <w:rFonts w:ascii="Arial" w:hAnsi="Arial" w:cs="Arial"/>
                          <w:b/>
                          <w:i/>
                          <w:color w:val="000000" w:themeColor="text1"/>
                        </w:rPr>
                        <w:fldChar w:fldCharType="end"/>
                      </w:r>
                      <w:r>
                        <w:rPr>
                          <w:rFonts w:ascii="Arial" w:hAnsi="Arial" w:cs="Arial"/>
                          <w:b/>
                          <w:color w:val="000000" w:themeColor="text1"/>
                        </w:rPr>
                        <w:t>.</w:t>
                      </w:r>
                      <w:r>
                        <w:rPr>
                          <w:rFonts w:ascii="Arial" w:hAnsi="Arial" w:cs="Arial"/>
                          <w:b/>
                          <w:i/>
                          <w:color w:val="000000" w:themeColor="text1"/>
                        </w:rPr>
                        <w:fldChar w:fldCharType="begin"/>
                      </w:r>
                      <w:r>
                        <w:rPr>
                          <w:rFonts w:ascii="Arial" w:hAnsi="Arial" w:cs="Arial"/>
                          <w:b/>
                          <w:color w:val="000000" w:themeColor="text1"/>
                        </w:rPr>
                        <w:instrText xml:space="preserve"> SEQ Figure \* ARABIC \s 1 </w:instrText>
                      </w:r>
                      <w:r>
                        <w:rPr>
                          <w:rFonts w:ascii="Arial" w:hAnsi="Arial" w:cs="Arial"/>
                          <w:b/>
                          <w:i/>
                          <w:color w:val="000000" w:themeColor="text1"/>
                        </w:rPr>
                        <w:fldChar w:fldCharType="separate"/>
                      </w:r>
                      <w:r>
                        <w:rPr>
                          <w:rFonts w:ascii="Arial" w:hAnsi="Arial" w:cs="Arial"/>
                          <w:b/>
                          <w:noProof/>
                          <w:color w:val="000000" w:themeColor="text1"/>
                        </w:rPr>
                        <w:t>3</w:t>
                      </w:r>
                      <w:r>
                        <w:rPr>
                          <w:rFonts w:ascii="Arial" w:hAnsi="Arial" w:cs="Arial"/>
                          <w:b/>
                          <w:i/>
                          <w:color w:val="000000" w:themeColor="text1"/>
                        </w:rPr>
                        <w:fldChar w:fldCharType="end"/>
                      </w:r>
                      <w:r w:rsidRPr="00896C7F">
                        <w:rPr>
                          <w:rFonts w:ascii="Arial" w:hAnsi="Arial" w:cs="Arial"/>
                          <w:color w:val="000000" w:themeColor="text1"/>
                        </w:rPr>
                        <w:t xml:space="preserve"> Rod and cone photoreceptor sensitivities. Retinal photoreceptors have peak sensitivities at different wavelengths of light, and comparisons of these signals provide the initial stage of colour processing within the visual system</w:t>
                      </w:r>
                      <w:r>
                        <w:rPr>
                          <w:rFonts w:ascii="Arial" w:hAnsi="Arial" w:cs="Arial"/>
                          <w:i/>
                          <w:color w:val="000000" w:themeColor="text1"/>
                        </w:rPr>
                        <w:t xml:space="preserve"> </w:t>
                      </w:r>
                      <w:r>
                        <w:rPr>
                          <w:rFonts w:ascii="Arial" w:hAnsi="Arial" w:cs="Arial"/>
                          <w:iCs/>
                          <w:color w:val="000000" w:themeColor="text1"/>
                        </w:rPr>
                        <w:t>(Fi</w:t>
                      </w:r>
                      <w:r w:rsidRPr="00E70FDC">
                        <w:rPr>
                          <w:rFonts w:ascii="Arial" w:hAnsi="Arial" w:cs="Arial"/>
                          <w:iCs/>
                          <w:color w:val="000000" w:themeColor="text1"/>
                        </w:rPr>
                        <w:t>gure from</w:t>
                      </w:r>
                      <w:r>
                        <w:rPr>
                          <w:rFonts w:ascii="Arial" w:hAnsi="Arial" w:cs="Arial"/>
                          <w:i/>
                          <w:color w:val="000000" w:themeColor="text1"/>
                        </w:rPr>
                        <w:t xml:space="preserve"> </w:t>
                      </w:r>
                      <w:r>
                        <w:rPr>
                          <w:rFonts w:ascii="Arial" w:hAnsi="Arial" w:cs="Arial"/>
                        </w:rPr>
                        <w:fldChar w:fldCharType="begin"/>
                      </w:r>
                      <w:r>
                        <w:rPr>
                          <w:rFonts w:ascii="Arial" w:hAnsi="Arial" w:cs="Arial"/>
                        </w:rPr>
                        <w:instrText xml:space="preserve"> ADDIN ZOTERO_ITEM CSL_CITATION {"citationID":"ZIsTWhGx","properties":{"formattedCitation":"(Foster, 2010)","plainCitation":"(Foster, 2010)","noteIndex":0},"citationItems":[{"id":569,"uris":["http://zotero.org/groups/318634/items/EZFCQRCS"],"uri":["http://zotero.org/groups/318634/items/EZFCQRCS"],"itemData":{"id":569,"type":"chapter","title":"Chromatic Function of the Cone","container-title":"Encyclopedia of the Eye","publisher":"Academic Press","publisher-place":"Oxford","page":"266-274","source":"ScienceDirect","event-place":"Oxford","abstract":"The spectral properties of light are analyzed by the long-, medium-, and short-wavelength sensitive cone photoreceptors. This article provides an overview of their contribution to chromatic function and its modification by prereceptoral filtering and postreceptoral processing within the eye. Successive sections provide an introduction to cone photopigments and phototransduction, and then a description of the in vivo fundamental spectral sensitivities, prereceptoral attenuation in the ocular media, cone spectral sensitivities, psychophysical techniques for isolating cone responses, retinal variations in cone numerosity and their effects on chromatic function, and, finally, cone opponency and postreceptoral spectral sensitivities.","URL":"http://www.sciencedirect.com/science/article/pii/B9780123742032002323","ISBN":"978-0-12-374203-2","note":"DOI: 10.1016/B978-0-12-374203-2.00232-3","author":[{"family":"Foster","given":"D. H."}],"editor":[{"family":"Dartt","given":"Darlene A."}],"issued":{"date-parts":[["2010",1,1]]},"accessed":{"date-parts":[["2019",10,9]]}}}],"schema":"https://github.com/citation-style-language/schema/raw/master/csl-citation.json"} </w:instrText>
                      </w:r>
                      <w:r>
                        <w:rPr>
                          <w:rFonts w:ascii="Arial" w:hAnsi="Arial" w:cs="Arial"/>
                        </w:rPr>
                        <w:fldChar w:fldCharType="separate"/>
                      </w:r>
                      <w:r>
                        <w:rPr>
                          <w:rFonts w:ascii="Arial" w:hAnsi="Arial" w:cs="Arial"/>
                          <w:noProof/>
                        </w:rPr>
                        <w:t>Foster, 2010)</w:t>
                      </w:r>
                      <w:r>
                        <w:rPr>
                          <w:rFonts w:ascii="Arial" w:hAnsi="Arial" w:cs="Arial"/>
                        </w:rPr>
                        <w:fldChar w:fldCharType="end"/>
                      </w:r>
                      <w:r>
                        <w:rPr>
                          <w:rFonts w:ascii="Arial" w:hAnsi="Arial" w:cs="Arial"/>
                        </w:rPr>
                        <w:t>.</w:t>
                      </w:r>
                    </w:p>
                    <w:p w14:paraId="474ED191" w14:textId="77777777" w:rsidR="00C93BE0" w:rsidRPr="00896C7F" w:rsidRDefault="00C93BE0" w:rsidP="001B7359">
                      <w:pPr>
                        <w:pStyle w:val="Caption"/>
                        <w:spacing w:line="360" w:lineRule="auto"/>
                        <w:jc w:val="both"/>
                        <w:rPr>
                          <w:rFonts w:ascii="Arial" w:hAnsi="Arial" w:cs="Arial"/>
                          <w:color w:val="000000" w:themeColor="text1"/>
                          <w:sz w:val="24"/>
                          <w:szCs w:val="24"/>
                        </w:rPr>
                      </w:pPr>
                    </w:p>
                    <w:p w14:paraId="35CA89AF" w14:textId="77777777" w:rsidR="00C93BE0" w:rsidRPr="006A2FD0" w:rsidRDefault="00C93BE0" w:rsidP="001B7359">
                      <w:pPr>
                        <w:keepNext/>
                        <w:jc w:val="center"/>
                      </w:pPr>
                    </w:p>
                    <w:p w14:paraId="3610C888" w14:textId="77777777" w:rsidR="00C93BE0" w:rsidRPr="006A2FD0" w:rsidRDefault="00C93BE0" w:rsidP="001B7359">
                      <w:pPr>
                        <w:keepNext/>
                        <w:jc w:val="center"/>
                      </w:pPr>
                    </w:p>
                    <w:p w14:paraId="3CE9C799" w14:textId="77777777" w:rsidR="00C93BE0" w:rsidRPr="006A2FD0" w:rsidRDefault="00C93BE0" w:rsidP="001B7359">
                      <w:pPr>
                        <w:pStyle w:val="Caption"/>
                        <w:spacing w:line="480" w:lineRule="auto"/>
                        <w:jc w:val="both"/>
                        <w:rPr>
                          <w:rFonts w:ascii="Arial" w:hAnsi="Arial" w:cs="Arial"/>
                          <w:i w:val="0"/>
                          <w:color w:val="000000" w:themeColor="text1"/>
                          <w:sz w:val="24"/>
                          <w:szCs w:val="24"/>
                        </w:rPr>
                      </w:pPr>
                    </w:p>
                  </w:txbxContent>
                </v:textbox>
                <w10:wrap type="square"/>
              </v:shape>
            </w:pict>
          </mc:Fallback>
        </mc:AlternateContent>
      </w:r>
    </w:p>
    <w:p w14:paraId="2420F416" w14:textId="0CE02B73" w:rsidR="000C73FA" w:rsidRPr="00225AB0" w:rsidRDefault="000C73FA" w:rsidP="000C73FA">
      <w:pPr>
        <w:spacing w:line="480" w:lineRule="auto"/>
        <w:rPr>
          <w:rFonts w:ascii="Arial" w:hAnsi="Arial" w:cs="Arial"/>
        </w:rPr>
      </w:pPr>
      <w:r w:rsidRPr="00225AB0">
        <w:rPr>
          <w:rFonts w:ascii="Arial" w:hAnsi="Arial" w:cs="Arial"/>
        </w:rPr>
        <w:t xml:space="preserve">Chromatic information is </w:t>
      </w:r>
      <w:r w:rsidR="00B85F19">
        <w:rPr>
          <w:rFonts w:ascii="Arial" w:hAnsi="Arial" w:cs="Arial"/>
        </w:rPr>
        <w:t>extracted</w:t>
      </w:r>
      <w:r w:rsidRPr="00225AB0">
        <w:rPr>
          <w:rFonts w:ascii="Arial" w:hAnsi="Arial" w:cs="Arial"/>
        </w:rPr>
        <w:t xml:space="preserve"> from these retinal photoreceptors and supplied to V1. Each cone photoreceptor connects to a series of retinal cells, which process information </w:t>
      </w:r>
      <w:r w:rsidR="00D44AC6">
        <w:rPr>
          <w:rFonts w:ascii="Arial" w:hAnsi="Arial" w:cs="Arial"/>
        </w:rPr>
        <w:t>in</w:t>
      </w:r>
      <w:r w:rsidRPr="00225AB0">
        <w:rPr>
          <w:rFonts w:ascii="Arial" w:hAnsi="Arial" w:cs="Arial"/>
        </w:rPr>
        <w:t xml:space="preserve"> their receptive field in a centre-surround organisation (chromatic-opponency).  Midget bipolar retinal ganglion cells receive input in the centre of their receptive field from few cone photoreceptors, and input from horizontal cells in their surround, containing information about nearby cone photoreceptors </w:t>
      </w:r>
      <w:r w:rsidR="00F91EF8">
        <w:rPr>
          <w:rFonts w:ascii="Arial" w:hAnsi="Arial" w:cs="Arial"/>
        </w:rPr>
        <w:fldChar w:fldCharType="begin"/>
      </w:r>
      <w:r w:rsidR="00995B3D">
        <w:rPr>
          <w:rFonts w:ascii="Arial" w:hAnsi="Arial" w:cs="Arial"/>
        </w:rPr>
        <w:instrText xml:space="preserve"> ADDIN ZOTERO_ITEM CSL_CITATION {"citationID":"b1ILJuRN","properties":{"formattedCitation":"(D. M. Dacey, 1996; D. Dacey et al., 2000)","plainCitation":"(D. M. Dacey, 1996; D. Dacey et al., 2000)","dontUpdate":true,"noteIndex":0},"citationItems":[{"id":184,"uris":["http://zotero.org/groups/318634/items/VYHBWYUY"],"uri":["http://zotero.org/groups/318634/items/VYHBWYUY"],"itemData":{"id":184,"type":"article-journal","title":"Circuitry for color coding in the primate retina","container-title":"Proceedings of the National Academy of Sciences of the United States of America","page":"582-588","volume":"93","issue":"2","source":"PubMed","abstract":"Human color vision starts with the signals from three cone photoreceptor types, maximally sensitive to long (L-cone), middle (M-cone), and short (S-cone) wavelengths. Within the retina these signals combine in an antagonistic way to form red-green and blue-yellow spectral opponent pathways. In the classical model this antagonism is thought to arise from the convergence of cone type-specific excitatory and inhibitory inputs to retinal ganglion cells. The circuitry for spectral opponency is now being investigated using an in vitro preparation of the macaque monkey retina. Intracellular recording and staining has shown that blue-ON/yellow-OFF opponent responses arise from a distinctive bistratified ganglion cell type. Surprisingly, this cone opponency appears to arise by dual excitatory cone bipolar cell inputs: an ON bipolar cell that contacts only S-cones and an OFF bipolar cell that contacts L- and M-cones. Red-green spectral opponency has long been linked to the midget ganglion cells, but an underlying mechanism remains unclear. For example, receptive field mapping argues for segregation of L-and M-cone signals to the midget cell center and surround, but horizontal cell interneurons, believed to generate the inhibitory surround, lack opponency and cannot contribute selective L- or M-cone input to the midget cell surround. The solution to this color puzzle no doubt lies in the great diversity of cell types in the primate retina that still await discovery and analysis.","DOI":"10.1073/pnas.93.2.582","ISSN":"0027-8424","note":"PMID: 8570599\nPMCID: PMC40095","journalAbbreviation":"Proc. Natl. Acad. Sci. U.S.A.","language":"eng","author":[{"family":"Dacey","given":"D. M."}],"issued":{"date-parts":[["1996",1,23]]}}},{"id":185,"uris":["http://zotero.org/groups/318634/items/TF5BMEKD"],"uri":["http://zotero.org/groups/318634/items/TF5BMEKD"],"itemData":{"id":185,"type":"article-journal","title":"Center surround receptive field structure of cone bipolar cells in primate retina","container-title":"Vision Research","page":"1801-1811","volume":"40","issue":"14","source":"ScienceDirect","abstract":"In non-mammalian vertebrates, retinal bipolar cells show center-surround receptive field organization. In mammals, recordings from bipolar cells are rare and have not revealed a clear surround. Here we report center-surround receptive fields of identified cone bipolar cells in the macaque monkey retina. In the peripheral retina, cone bipolar cell nuclei were labeled in vitro with diamidino-phenylindole (DAPI), targeted for recording under microscopic control, and anatomically identified by intracellular staining. Identified cells included ‘diffuse’ bipolar cells, which contact multiple cones, and ‘midget’ bipolar cells, which contact a single cone. Responses to flickering spots and annuli revealed a clear surround: both hyperpolarizing (OFF) and depolarizing (ON) cells responded with reversed polarity to annular stimuli. Center and surround dimensions were calculated for 12 bipolar cells from the spatial frequency response to drifting, sinusoidal luminance modulated gratings. The frequency response was bandpass and well fit by a difference of Gaussians receptive field model. Center diameters were all two to three times larger than known dendritic tree diameters for both diffuse and midget bipolar cells in the retinal periphery. In one instance intracellular staining revealed tracer spread between a recorded cell and its nearest neighbors, suggesting that homotypic electrical coupling may contribute to receptive field center size. Surrounds were around ten times larger in diameter than centers and in most cases the ratio of center to surround strength was </w:instrText>
      </w:r>
      <w:r w:rsidR="00995B3D">
        <w:rPr>
          <w:rFonts w:ascii="Cambria Math" w:hAnsi="Cambria Math" w:cs="Cambria Math"/>
        </w:rPr>
        <w:instrText>∼</w:instrText>
      </w:r>
      <w:r w:rsidR="00995B3D">
        <w:rPr>
          <w:rFonts w:ascii="Arial" w:hAnsi="Arial" w:cs="Arial"/>
        </w:rPr>
        <w:instrText xml:space="preserve">1. We suggest that the center-surround receptive fields of the major primate ganglion cell types are established at the bipolar cell, probably by the circuitry of the outer retina.","DOI":"10.1016/S0042-6989(00)00039-0","ISSN":"0042-6989","journalAbbreviation":"Vision Research","author":[{"family":"Dacey","given":"Dennis"},{"family":"Packer","given":"Orin S."},{"family":"Diller","given":"Lisa"},{"family":"Brainard","given":"David"},{"family":"Peterson","given":"Beth"},{"family":"Lee","given":"Barry"}],"issued":{"date-parts":[["2000",6,1]]}}}],"schema":"https://github.com/citation-style-language/schema/raw/master/csl-citation.json"} </w:instrText>
      </w:r>
      <w:r w:rsidR="00F91EF8">
        <w:rPr>
          <w:rFonts w:ascii="Arial" w:hAnsi="Arial" w:cs="Arial"/>
        </w:rPr>
        <w:fldChar w:fldCharType="separate"/>
      </w:r>
      <w:r w:rsidR="00F91EF8">
        <w:rPr>
          <w:rFonts w:ascii="Arial" w:hAnsi="Arial" w:cs="Arial"/>
          <w:noProof/>
        </w:rPr>
        <w:t>(Dacey, 1996; Dacey et al., 2000)</w:t>
      </w:r>
      <w:r w:rsidR="00F91EF8">
        <w:rPr>
          <w:rFonts w:ascii="Arial" w:hAnsi="Arial" w:cs="Arial"/>
        </w:rPr>
        <w:fldChar w:fldCharType="end"/>
      </w:r>
      <w:r w:rsidR="00F91EF8">
        <w:rPr>
          <w:rFonts w:ascii="Arial" w:hAnsi="Arial" w:cs="Arial"/>
        </w:rPr>
        <w:t xml:space="preserve">. </w:t>
      </w:r>
      <w:r w:rsidRPr="00225AB0">
        <w:rPr>
          <w:rFonts w:ascii="Arial" w:hAnsi="Arial" w:cs="Arial"/>
        </w:rPr>
        <w:t xml:space="preserve">This centre-surround organisation allows for comparison of cone photoreceptor activation between the centre and surround regions of the receptive field. This comparison of L- and M-cone activation (L-M) is transmitted to the LGN and V1 via the parvocellular pathway </w:t>
      </w:r>
      <w:r w:rsidRPr="00225AB0">
        <w:rPr>
          <w:rFonts w:ascii="Arial" w:hAnsi="Arial" w:cs="Arial"/>
        </w:rPr>
        <w:fldChar w:fldCharType="begin"/>
      </w:r>
      <w:r w:rsidR="00995B3D">
        <w:rPr>
          <w:rFonts w:ascii="Arial" w:hAnsi="Arial" w:cs="Arial"/>
        </w:rPr>
        <w:instrText xml:space="preserve"> ADDIN ZOTERO_ITEM CSL_CITATION {"citationID":"A2TM9a9d","properties":{"formattedCitation":"(Sumner et al., 2008)","plainCitation":"(Sumner et al., 2008)","noteIndex":0},"citationItems":[{"id":56,"uris":["http://zotero.org/groups/318634/items/LRFY4LYQ"],"uri":["http://zotero.org/groups/318634/items/LRFY4LYQ"],"itemData":{"id":56,"type":"article-journal","title":"Combined orientation and colour information in human V1 for both L-M and S-cone chromatic axes","container-title":"NeuroImage","page":"814-824","volume":"39","issue":"2","source":"PubMed","abstract":"Although it is widely held that colour and form are processed separately in early visual cortex, there is growing evidence that primary visual cortex (V1) may show some joint selectivity for orientation and colour. Colour is supplied to V1 via two very different pathways: the parvocellular pathway (which also supports detailed form processing) carries L-M (\"red-green\") chromatic information, while a koniocellular pathway carries S-cone (\"lilac-yellow\") information. Therefore on entering V1, S-cone information is segregated from the pathways carrying form information, while L-M information is not. Whether signals from neuronal populations in human V1 reflect combined orientation and S-cone information has not been systematically addressed. We used fMRI in combination with a multivariate data analysis technique to investigate whether BOLD signals recorded from V1 contain information that could directly discriminate between orientations based on different types of chromatic information. We found selectivity in V1 for L-M and luminance-defined orientation signals, and most interestingly, also for S-cone defined orientation. We also found similarly successful orientation discrimination for both colour dimensions in V2 and V3. These results imply that a proportion of cells throughout human visual cortex show joint sensitivity to both colour and orientation. We discuss also the potential role of feedback to V1 from higher visual areas.","DOI":"10.1016/j.neuroimage.2007.09.013","ISSN":"1053-8119","note":"PMID: 17964188","journalAbbreviation":"Neuroimage","language":"eng","author":[{"family":"Sumner","given":"Petroc"},{"family":"Anderson","given":"Elaine J."},{"family":"Sylvester","given":"Richard"},{"family":"Haynes","given":"John-Dylan"},{"family":"Rees","given":"Geraint"}],"issued":{"date-parts":[["2008",1,15]]}}}],"schema":"https://github.com/citation-style-language/schema/raw/master/csl-citation.json"} </w:instrText>
      </w:r>
      <w:r w:rsidRPr="00225AB0">
        <w:rPr>
          <w:rFonts w:ascii="Arial" w:hAnsi="Arial" w:cs="Arial"/>
        </w:rPr>
        <w:fldChar w:fldCharType="separate"/>
      </w:r>
      <w:r w:rsidRPr="00225AB0">
        <w:rPr>
          <w:rFonts w:ascii="Arial" w:hAnsi="Arial" w:cs="Arial"/>
          <w:noProof/>
        </w:rPr>
        <w:t>(Sumner et al., 2008)</w:t>
      </w:r>
      <w:r w:rsidRPr="00225AB0">
        <w:rPr>
          <w:rFonts w:ascii="Arial" w:hAnsi="Arial" w:cs="Arial"/>
        </w:rPr>
        <w:fldChar w:fldCharType="end"/>
      </w:r>
      <w:r w:rsidRPr="00225AB0">
        <w:rPr>
          <w:rFonts w:ascii="Arial" w:hAnsi="Arial" w:cs="Arial"/>
        </w:rPr>
        <w:t xml:space="preserve">. However, information from the S-cones remains segregated, and </w:t>
      </w:r>
      <w:r w:rsidR="005A21A4">
        <w:rPr>
          <w:rFonts w:ascii="Arial" w:hAnsi="Arial" w:cs="Arial"/>
        </w:rPr>
        <w:lastRenderedPageBreak/>
        <w:t xml:space="preserve">projects </w:t>
      </w:r>
      <w:r w:rsidRPr="00225AB0">
        <w:rPr>
          <w:rFonts w:ascii="Arial" w:hAnsi="Arial" w:cs="Arial"/>
        </w:rPr>
        <w:t xml:space="preserve">from small bistratified retinal cells to the koniocellular layers of the LGN and then </w:t>
      </w:r>
      <w:r w:rsidR="005A21A4">
        <w:rPr>
          <w:rFonts w:ascii="Arial" w:hAnsi="Arial" w:cs="Arial"/>
        </w:rPr>
        <w:t xml:space="preserve">to </w:t>
      </w:r>
      <w:r w:rsidRPr="00225AB0">
        <w:rPr>
          <w:rFonts w:ascii="Arial" w:hAnsi="Arial" w:cs="Arial"/>
        </w:rPr>
        <w:t xml:space="preserve">distinct layers 3B and 4A of the primary visual cortex. This pathway provides colour-opponent signals, comparing S-cone activation with L- and M-cone responses (S-(L+M)) </w:t>
      </w:r>
      <w:r w:rsidRPr="00225AB0">
        <w:rPr>
          <w:rFonts w:ascii="Arial" w:hAnsi="Arial" w:cs="Arial"/>
        </w:rPr>
        <w:fldChar w:fldCharType="begin"/>
      </w:r>
      <w:r w:rsidR="00995B3D">
        <w:rPr>
          <w:rFonts w:ascii="Arial" w:hAnsi="Arial" w:cs="Arial"/>
        </w:rPr>
        <w:instrText xml:space="preserve"> ADDIN ZOTERO_ITEM CSL_CITATION {"citationID":"CrhT2PGe","properties":{"formattedCitation":"(Casagrande, 1994; Chatterjee &amp; Callaway, 2003)","plainCitation":"(Casagrande, 1994; Chatterjee &amp; Callaway, 2003)","noteIndex":0},"citationItems":[{"id":11,"uris":["http://zotero.org/groups/318634/items/WSK7JD7I"],"uri":["http://zotero.org/groups/318634/items/WSK7JD7I"],"itemData":{"id":11,"type":"article-journal","title":"A third parallel visual pathway to primate area V1","container-title":"Trends in Neurosciences","page":"305-310","volume":"17","issue":"7","source":"PubMed","abstract":"Recent studies of the primate visual system have focused on the proposal that the perception of form and motion are processed by two parallel pathways that originate from separate populations of cells in the retina. Earlier proposals for parallel processing of visual signals identified a third pathway that could be traced from the retina to the visual cortex. This third pathway was assumed to be unimportant. A growing body of evidence suggests that this pathway to cortex is distinct anatomically, physiologically and neurochemically, and is well represented in primates. These findings raise new and interesting questions not only about the role of this pathway, but also about the intracortical integration of afferent parallel signals.","ISSN":"0166-2236","note":"PMID: 7524217","journalAbbreviation":"Trends Neurosci.","language":"eng","author":[{"family":"Casagrande","given":"V. A."}],"issued":{"date-parts":[["1994",7]]}}},{"id":183,"uris":["http://zotero.org/groups/318634/items/RU2KQT8G"],"uri":["http://zotero.org/groups/318634/items/RU2KQT8G"],"itemData":{"id":183,"type":"article-journal","title":"Parallel colour-opponent pathways to primary visual cortex","container-title":"Nature","page":"668-671","volume":"426","issue":"6967","source":"PubMed","abstract":"The trichromatic primate retina parses the colour content of a visual scene into 'red/green' and 'blue/yellow' representations. Cortical circuits must combine the information encoded in these colour-opponent signals to reconstruct the full range of perceived colours. Red/green and blue/yellow inputs are relayed by the lateral geniculate nucleus (LGN) of thalamus to primary visual cortex (V1), so understanding how cortical circuits transform these signals requires understanding how LGN inputs to V1 are organized. Here we report direct recordings from LGN afferent axons in muscimol-inactivated V1. We found that blue/yellow afferents terminated exclusively in superficial cortical layers 3B and 4A, whereas red/green afferents were encountered only in deeper cortex, in lower layer 4C. We also describe a distinct cortical target for 'blue-OFF' cells, whose afferents terminated in layer 4A and seemed patchy in organization. The more common 'blue-ON' afferents were found in 4A as well as lower layer 2/3. Chromatic information is thus conveyed to V1 by parallel, anatomically segregated colour-opponent systems, to be combined at a later stage of the colour circuit.","DOI":"10.1038/nature02167","ISSN":"1476-4687","note":"PMID: 14668866","journalAbbreviation":"Nature","language":"eng","author":[{"family":"Chatterjee","given":"Soumya"},{"family":"Callaway","given":"Edward M."}],"issued":{"date-parts":[["2003",12,11]]}}}],"schema":"https://github.com/citation-style-language/schema/raw/master/csl-citation.json"} </w:instrText>
      </w:r>
      <w:r w:rsidRPr="00225AB0">
        <w:rPr>
          <w:rFonts w:ascii="Arial" w:hAnsi="Arial" w:cs="Arial"/>
        </w:rPr>
        <w:fldChar w:fldCharType="separate"/>
      </w:r>
      <w:r w:rsidRPr="00225AB0">
        <w:rPr>
          <w:rFonts w:ascii="Arial" w:hAnsi="Arial" w:cs="Arial"/>
          <w:noProof/>
        </w:rPr>
        <w:t>(Casagrande, 1994; Chatterjee &amp; Callaway, 2003)</w:t>
      </w:r>
      <w:r w:rsidRPr="00225AB0">
        <w:rPr>
          <w:rFonts w:ascii="Arial" w:hAnsi="Arial" w:cs="Arial"/>
        </w:rPr>
        <w:fldChar w:fldCharType="end"/>
      </w:r>
      <w:r w:rsidRPr="00225AB0">
        <w:rPr>
          <w:rFonts w:ascii="Arial" w:hAnsi="Arial" w:cs="Arial"/>
        </w:rPr>
        <w:t xml:space="preserve">. </w:t>
      </w:r>
    </w:p>
    <w:p w14:paraId="1F40B108" w14:textId="77777777" w:rsidR="000C73FA" w:rsidRPr="00225AB0" w:rsidRDefault="000C73FA" w:rsidP="000C73FA">
      <w:pPr>
        <w:spacing w:line="480" w:lineRule="auto"/>
        <w:rPr>
          <w:rFonts w:ascii="Arial" w:hAnsi="Arial" w:cs="Arial"/>
        </w:rPr>
      </w:pPr>
    </w:p>
    <w:p w14:paraId="0FD44CDC" w14:textId="77777777" w:rsidR="000C73FA" w:rsidRPr="00225AB0" w:rsidRDefault="000C73FA" w:rsidP="000C73FA">
      <w:pPr>
        <w:spacing w:line="480" w:lineRule="auto"/>
        <w:rPr>
          <w:rFonts w:ascii="Arial" w:hAnsi="Arial" w:cs="Arial"/>
        </w:rPr>
      </w:pPr>
      <w:r w:rsidRPr="00225AB0">
        <w:rPr>
          <w:rFonts w:ascii="Arial" w:hAnsi="Arial" w:cs="Arial"/>
        </w:rPr>
        <w:t xml:space="preserve">The comparison of inputs to centre-surround receptive fields provides three colour-opponent pathways, which form the basis for the processing of colour across the visual cortex. A luminance (L+M) pathway which encodes the sum of L- and M-cone responses, is insensitive to wavelength (colour) and responds to achromatic contrast. A ‘red-green’ (L-M) pathway performs a chromatic comparison of signals from L- and M-sensitive cones, </w:t>
      </w:r>
      <w:r w:rsidR="005A21A4">
        <w:rPr>
          <w:rFonts w:ascii="Arial" w:hAnsi="Arial" w:cs="Arial"/>
        </w:rPr>
        <w:t>encoding</w:t>
      </w:r>
      <w:r w:rsidRPr="00225AB0">
        <w:rPr>
          <w:rFonts w:ascii="Arial" w:hAnsi="Arial" w:cs="Arial"/>
        </w:rPr>
        <w:t xml:space="preserve"> the red-green dimension of colour space, and a ‘blue-yellow’ sensitive pathway (S-(L+M)), which is driven predominantly by S-cones. </w:t>
      </w:r>
    </w:p>
    <w:p w14:paraId="5E955C4D" w14:textId="77777777" w:rsidR="000C73FA" w:rsidRPr="00225AB0" w:rsidRDefault="000C73FA" w:rsidP="000C73FA">
      <w:pPr>
        <w:spacing w:line="480" w:lineRule="auto"/>
        <w:rPr>
          <w:rFonts w:ascii="Arial" w:hAnsi="Arial" w:cs="Arial"/>
        </w:rPr>
      </w:pPr>
    </w:p>
    <w:p w14:paraId="2302E1A6" w14:textId="1611B238" w:rsidR="000C73FA" w:rsidRPr="00225AB0" w:rsidRDefault="000C73FA" w:rsidP="000C73FA">
      <w:pPr>
        <w:spacing w:line="480" w:lineRule="auto"/>
        <w:rPr>
          <w:rFonts w:ascii="Arial" w:hAnsi="Arial" w:cs="Arial"/>
        </w:rPr>
      </w:pPr>
      <w:r w:rsidRPr="00225AB0">
        <w:rPr>
          <w:rFonts w:ascii="Arial" w:hAnsi="Arial" w:cs="Arial"/>
        </w:rPr>
        <w:t>The encoding of colour is considered to be distributed across the visual cortex</w:t>
      </w:r>
      <w:r w:rsidR="00D06512">
        <w:rPr>
          <w:rFonts w:ascii="Arial" w:hAnsi="Arial" w:cs="Arial"/>
        </w:rPr>
        <w:t xml:space="preserve"> </w:t>
      </w:r>
      <w:r w:rsidR="00D06512">
        <w:rPr>
          <w:rFonts w:ascii="Arial" w:hAnsi="Arial" w:cs="Arial"/>
        </w:rPr>
        <w:fldChar w:fldCharType="begin"/>
      </w:r>
      <w:r w:rsidR="00995B3D">
        <w:rPr>
          <w:rFonts w:ascii="Arial" w:hAnsi="Arial" w:cs="Arial"/>
        </w:rPr>
        <w:instrText xml:space="preserve"> ADDIN ZOTERO_ITEM CSL_CITATION {"citationID":"msrqSIQV","properties":{"formattedCitation":"(K. J. Seymour, Williams, &amp; Rich, 2016)","plainCitation":"(K. J. Seymour, Williams, &amp; Rich, 2016)","dontUpdate":true,"noteIndex":0},"citationItems":[{"id":182,"uris":["http://zotero.org/groups/318634/items/F7TEW2SB"],"uri":["http://zotero.org/groups/318634/items/F7TEW2SB"],"itemData":{"id":182,"type":"article-journal","title":"The Representation of Color across the Human Visual Cortex: Distinguishing Chromatic Signals Contributing to Object Form Versus Surface Color","container-title":"Cerebral Cortex (New York, N.Y.: 1991)","page":"1997-2005","volume":"26","issue":"5","source":"PubMed","abstract":"Many theories of visual object perception assume the visual system initially extracts borders between objects and their background and then \"fills in\" color to the resulting object surfaces. We investigated the transformation of chromatic signals across the human ventral visual stream, with particular interest in distinguishing representations of object surface color from representations of chromatic signals reflecting the retinal input. We used fMRI to measure brain activity while participants viewed figure-ground stimuli that differed either in the position or in the color contrast polarity of the foreground object (the figure). Multivariate pattern analysis revealed that classifiers were able to decode information about which color was presented at a particular retinal location from early visual areas, whereas regions further along the ventral stream exhibited biases for representing color as part of an object's surface, irrespective of its position on the retina. Additional analyses showed that although activity in V2 contained strong chromatic contrast information to support the early parsing of objects within a visual scene, activity in this area also signaled information about object surface color. These findings are consistent with the view that mechanisms underlying scene segmentation and the binding of color to object surfaces converge in V2.","DOI":"10.1093/cercor/bhv021","ISSN":"1460-2199","note":"PMID: 25681421","title-short":"The Representation of Color across the Human Visual Cortex","journalAbbreviation":"Cereb. Cortex","language":"eng","author":[{"family":"Seymour","given":"K. J."},{"family":"Williams","given":"M. A."},{"family":"Rich","given":"A. N."}],"issued":{"date-parts":[["2016",5]]}}}],"schema":"https://github.com/citation-style-language/schema/raw/master/csl-citation.json"} </w:instrText>
      </w:r>
      <w:r w:rsidR="00D06512">
        <w:rPr>
          <w:rFonts w:ascii="Arial" w:hAnsi="Arial" w:cs="Arial"/>
        </w:rPr>
        <w:fldChar w:fldCharType="separate"/>
      </w:r>
      <w:r w:rsidR="00D06512">
        <w:rPr>
          <w:rFonts w:ascii="Arial" w:hAnsi="Arial" w:cs="Arial"/>
          <w:noProof/>
        </w:rPr>
        <w:t>(Seymour, Williams, &amp; Rich, 2016)</w:t>
      </w:r>
      <w:r w:rsidR="00D06512">
        <w:rPr>
          <w:rFonts w:ascii="Arial" w:hAnsi="Arial" w:cs="Arial"/>
        </w:rPr>
        <w:fldChar w:fldCharType="end"/>
      </w:r>
      <w:r w:rsidRPr="00225AB0">
        <w:rPr>
          <w:rFonts w:ascii="Arial" w:hAnsi="Arial" w:cs="Arial"/>
        </w:rPr>
        <w:t>. However, previous research originally identified area hV4 as a ‘colour centre’, based on the predominance of colour-sensitive cells detected</w:t>
      </w:r>
      <w:r w:rsidR="00D06512">
        <w:rPr>
          <w:rFonts w:ascii="Arial" w:hAnsi="Arial" w:cs="Arial"/>
        </w:rPr>
        <w:t xml:space="preserve"> </w:t>
      </w:r>
      <w:r w:rsidR="00D06512">
        <w:rPr>
          <w:rFonts w:ascii="Arial" w:hAnsi="Arial" w:cs="Arial"/>
        </w:rPr>
        <w:fldChar w:fldCharType="begin"/>
      </w:r>
      <w:r w:rsidR="00995B3D">
        <w:rPr>
          <w:rFonts w:ascii="Arial" w:hAnsi="Arial" w:cs="Arial"/>
        </w:rPr>
        <w:instrText xml:space="preserve"> ADDIN ZOTERO_ITEM CSL_CITATION {"citationID":"8Y77QTjn","properties":{"formattedCitation":"(S. M. Zeki, 1969, 1973)","plainCitation":"(S. M. Zeki, 1969, 1973)","dontUpdate":true,"noteIndex":0},"citationItems":[{"id":181,"uris":["http://zotero.org/groups/318634/items/YK9ZSF5T"],"uri":["http://zotero.org/groups/318634/items/YK9ZSF5T"],"itemData":{"id":181,"type":"article-journal","title":"Representation of central visual fields in prestriate cortex of monkey","container-title":"Brain Research","page":"271-291","volume":"14","issue":"2","source":"PubMed","ISSN":"0006-8993","note":"PMID: 4978525","journalAbbreviation":"Brain Res.","language":"eng","author":[{"family":"Zeki","given":"S. M."}],"issued":{"date-parts":[["1969",7]]}}},{"id":180,"uris":["http://zotero.org/groups/318634/items/YQVC9ATB"],"uri":["http://zotero.org/groups/318634/items/YQVC9ATB"],"itemData":{"id":180,"type":"article-journal","title":"Colour coding in rhesus monkey prestriate cortex","container-title":"Brain Research","page":"422-427","volume":"53","issue":"2","source":"PubMed","ISSN":"0006-8993","note":"PMID: 4196224","journalAbbreviation":"Brain Res.","language":"eng","author":[{"family":"Zeki","given":"S. M."}],"issued":{"date-parts":[["1973",4,27]]}}}],"schema":"https://github.com/citation-style-language/schema/raw/master/csl-citation.json"} </w:instrText>
      </w:r>
      <w:r w:rsidR="00D06512">
        <w:rPr>
          <w:rFonts w:ascii="Arial" w:hAnsi="Arial" w:cs="Arial"/>
        </w:rPr>
        <w:fldChar w:fldCharType="separate"/>
      </w:r>
      <w:r w:rsidR="00D06512">
        <w:rPr>
          <w:rFonts w:ascii="Arial" w:hAnsi="Arial" w:cs="Arial"/>
          <w:noProof/>
        </w:rPr>
        <w:t>(first proposed by Zeki, 1969, 1973)</w:t>
      </w:r>
      <w:r w:rsidR="00D06512">
        <w:rPr>
          <w:rFonts w:ascii="Arial" w:hAnsi="Arial" w:cs="Arial"/>
        </w:rPr>
        <w:fldChar w:fldCharType="end"/>
      </w:r>
      <w:r w:rsidR="00D06512">
        <w:rPr>
          <w:rFonts w:ascii="Arial" w:hAnsi="Arial" w:cs="Arial"/>
        </w:rPr>
        <w:t xml:space="preserve"> </w:t>
      </w:r>
      <w:r w:rsidRPr="00225AB0">
        <w:rPr>
          <w:rFonts w:ascii="Arial" w:hAnsi="Arial" w:cs="Arial"/>
        </w:rPr>
        <w:t xml:space="preserve">. Research also identified mm-scale colour-sensitive ‘globs’ </w:t>
      </w:r>
      <w:r w:rsidR="00D44AC6">
        <w:rPr>
          <w:rFonts w:ascii="Arial" w:hAnsi="Arial" w:cs="Arial"/>
        </w:rPr>
        <w:t>in</w:t>
      </w:r>
      <w:r w:rsidRPr="00225AB0">
        <w:rPr>
          <w:rFonts w:ascii="Arial" w:hAnsi="Arial" w:cs="Arial"/>
        </w:rPr>
        <w:t xml:space="preserve"> hV4, thought to reflect the specialisation of CO blobs </w:t>
      </w:r>
      <w:r w:rsidR="00D44AC6">
        <w:rPr>
          <w:rFonts w:ascii="Arial" w:hAnsi="Arial" w:cs="Arial"/>
        </w:rPr>
        <w:t>in</w:t>
      </w:r>
      <w:r w:rsidRPr="00225AB0">
        <w:rPr>
          <w:rFonts w:ascii="Arial" w:hAnsi="Arial" w:cs="Arial"/>
        </w:rPr>
        <w:t xml:space="preserve"> V1 </w:t>
      </w:r>
      <w:r w:rsidRPr="00225AB0">
        <w:rPr>
          <w:rFonts w:ascii="Arial" w:hAnsi="Arial" w:cs="Arial"/>
        </w:rPr>
        <w:fldChar w:fldCharType="begin"/>
      </w:r>
      <w:r w:rsidR="00995B3D">
        <w:rPr>
          <w:rFonts w:ascii="Arial" w:hAnsi="Arial" w:cs="Arial"/>
        </w:rPr>
        <w:instrText xml:space="preserve"> ADDIN ZOTERO_ITEM CSL_CITATION {"citationID":"GIQbZOud","properties":{"formattedCitation":"(Bevil R. Conway et al., 2007)","plainCitation":"(Bevil R. Conway et al., 2007)","dontUpdate":true,"noteIndex":0},"citationItems":[{"id":136,"uris":["http://zotero.org/groups/318634/items/AZPYGK6V"],"uri":["http://zotero.org/groups/318634/items/AZPYGK6V"],"itemData":{"id":136,"type":"article-journal","title":"Specialized color modules in macaque extrastriate cortex","container-title":"Neuron","page":"560-573","volume":"56","issue":"3","source":"PubMed","abstract":"Imaging studies are consistent with the existence of brain regions specialized for color, but electrophysiological studies have produced conflicting results. Here we address the neural basis for color, using targeted single-unit recording in alert macaque monkeys, guided by functional magnetic resonance imaging (fMRI) of the same subjects. Distributed within posterior inferior temporal cortex, a large region encompassing V4, PITd, and posterior TEO that some have proposed functions as a single visual complex, we found color-biased fMRI hotspots that we call \"globs,\" each several millimeters wide. Almost all cells located in globs showed strong luminance-invariant color tuning and some shape selectivity. Cells in different globs represented distinct visual field locations, consistent with the coarse retinotopy of this brain region. Cells in \"interglob\" regions were not color tuned, but were more strongly shape selective. Neither population was direction selective. These results suggest that color perception is mediated by specialized neurons that are clustered within the extrastriate brain.","DOI":"10.1016/j.neuron.2007.10.008","ISSN":"0896-6273","note":"PMID: 17988638","journalAbbreviation":"Neuron","language":"eng","author":[{"family":"Conway","given":"Bevil R."},{"family":"Moeller","given":"Sebastian"},{"family":"Tsao","given":"Doris Y."}],"issued":{"date-parts":[["2007",11,8]]}}}],"schema":"https://github.com/citation-style-language/schema/raw/master/csl-citation.json"} </w:instrText>
      </w:r>
      <w:r w:rsidRPr="00225AB0">
        <w:rPr>
          <w:rFonts w:ascii="Arial" w:hAnsi="Arial" w:cs="Arial"/>
        </w:rPr>
        <w:fldChar w:fldCharType="separate"/>
      </w:r>
      <w:r w:rsidRPr="00225AB0">
        <w:rPr>
          <w:rFonts w:ascii="Arial" w:hAnsi="Arial" w:cs="Arial"/>
          <w:noProof/>
        </w:rPr>
        <w:t>(Conway et al., 2007)</w:t>
      </w:r>
      <w:r w:rsidRPr="00225AB0">
        <w:rPr>
          <w:rFonts w:ascii="Arial" w:hAnsi="Arial" w:cs="Arial"/>
        </w:rPr>
        <w:fldChar w:fldCharType="end"/>
      </w:r>
      <w:r w:rsidRPr="00225AB0">
        <w:rPr>
          <w:rFonts w:ascii="Arial" w:hAnsi="Arial" w:cs="Arial"/>
        </w:rPr>
        <w:t xml:space="preserve">. This was supported by research on cerebral achromatopsia, a loss of colour perception, which resulted from lesions in regions considered to be homologous to macaque V4 </w:t>
      </w:r>
      <w:r w:rsidRPr="00225AB0">
        <w:rPr>
          <w:rFonts w:ascii="Arial" w:hAnsi="Arial" w:cs="Arial"/>
        </w:rPr>
        <w:fldChar w:fldCharType="begin"/>
      </w:r>
      <w:r w:rsidR="00995B3D">
        <w:rPr>
          <w:rFonts w:ascii="Arial" w:hAnsi="Arial" w:cs="Arial"/>
        </w:rPr>
        <w:instrText xml:space="preserve"> ADDIN ZOTERO_ITEM CSL_CITATION {"citationID":"p0wk5LGJ","properties":{"formattedCitation":"(Meadows, 1974)","plainCitation":"(Meadows, 1974)","noteIndex":0},"citationItems":[{"id":3,"uris":["http://zotero.org/groups/318634/items/5BYZLGRY"],"uri":["http://zotero.org/groups/318634/items/5BYZLGRY"],"itemData":{"id":3,"type":"article-journal","title":"Disturbed perception of colours associated with localized cerebral lesions","container-title":"Brain: A Journal of Neurology","page":"615-632","volume":"97","issue":"4","source":"PubMed","DOI":"10.1093/brain/97.1.615","ISSN":"0006-8950","note":"PMID: 4547992","journalAbbreviation":"Brain","language":"eng","author":[{"family":"Meadows","given":"J. C."}],"issued":{"date-parts":[["1974",12]]}}}],"schema":"https://github.com/citation-style-language/schema/raw/master/csl-citation.json"} </w:instrText>
      </w:r>
      <w:r w:rsidRPr="00225AB0">
        <w:rPr>
          <w:rFonts w:ascii="Arial" w:hAnsi="Arial" w:cs="Arial"/>
        </w:rPr>
        <w:fldChar w:fldCharType="separate"/>
      </w:r>
      <w:r w:rsidRPr="00225AB0">
        <w:rPr>
          <w:rFonts w:ascii="Arial" w:hAnsi="Arial" w:cs="Arial"/>
          <w:noProof/>
        </w:rPr>
        <w:t>(Meadows, 1974)</w:t>
      </w:r>
      <w:r w:rsidRPr="00225AB0">
        <w:rPr>
          <w:rFonts w:ascii="Arial" w:hAnsi="Arial" w:cs="Arial"/>
        </w:rPr>
        <w:fldChar w:fldCharType="end"/>
      </w:r>
      <w:r w:rsidRPr="00225AB0">
        <w:rPr>
          <w:rFonts w:ascii="Arial" w:hAnsi="Arial" w:cs="Arial"/>
        </w:rPr>
        <w:t xml:space="preserve">. However, more recent research has moved away from this complete functional specialisation of area hV4, after identifying that lesions in macaque V4 did not significantly </w:t>
      </w:r>
      <w:r w:rsidRPr="00225AB0">
        <w:rPr>
          <w:rFonts w:ascii="Arial" w:hAnsi="Arial" w:cs="Arial"/>
        </w:rPr>
        <w:lastRenderedPageBreak/>
        <w:t xml:space="preserve">negatively impact colour perception, suggesting other regions across the visual cortex must contribute to complete colour perception </w:t>
      </w:r>
      <w:r w:rsidRPr="00225AB0">
        <w:rPr>
          <w:rFonts w:ascii="Arial" w:hAnsi="Arial" w:cs="Arial"/>
        </w:rPr>
        <w:fldChar w:fldCharType="begin"/>
      </w:r>
      <w:r w:rsidR="00995B3D">
        <w:rPr>
          <w:rFonts w:ascii="Arial" w:hAnsi="Arial" w:cs="Arial"/>
        </w:rPr>
        <w:instrText xml:space="preserve"> ADDIN ZOTERO_ITEM CSL_CITATION {"citationID":"hkoz6pME","properties":{"formattedCitation":"(Heywood, Gadotti, &amp; Cowey, 1992)","plainCitation":"(Heywood, Gadotti, &amp; Cowey, 1992)","noteIndex":0},"citationItems":[{"id":179,"uris":["http://zotero.org/groups/318634/items/W2YYE4ZP"],"uri":["http://zotero.org/groups/318634/items/W2YYE4ZP"],"itemData":{"id":179,"type":"article-journal","title":"Cortical area V4 and its role in the perception of color","container-title":"The Journal of Neuroscience: The Official Journal of the Society for Neuroscience","page":"4056-4065","volume":"12","issue":"10","source":"PubMed","abstract":"The color and lightness vision of three monkeys with bilateral removal of cortical area V4 and three unoperated controls were tested by measuring their ability to discriminate between two rows of colored or gray stimuli. In one row, the stimuli were ordered in terms of either chromaticity or luminance, whereas in the other row they were disordered. Their ability to select the odd-one-out in an array of colors or grays and to select the colored patch from an array of achromatic grays was also assessed. Unlike an achromatopsic patient tested previously in an identical fashion, monkeys with V4 lesions performed indistinguishably from controls in the oddity test. The animals lacking V4 were slightly impaired at discriminating between ordered and disordered arrays of colors or grays, but the color impairment was no more severe than the impairment with grays. These deficits were readily accounted for in terms of the conspicuous deficits in pattern discrimination apparent in a nine-choice pattern oddity task. The results do not support the view that cortical area V4 in the monkey is the homolog of the cortical \"color center\" in humans, located in the lingual and fusiform gyri and damage to which leads to the clinical syndrome of cerebral achromatopsia, unless it is the additional damage to underlying white matter that leads to the severe color disorder in patients.","ISSN":"0270-6474","note":"PMID: 1403100","journalAbbreviation":"J. Neurosci.","language":"eng","author":[{"family":"Heywood","given":"C. A."},{"family":"Gadotti","given":"A."},{"family":"Cowey","given":"A."}],"issued":{"date-parts":[["1992",10]]}}}],"schema":"https://github.com/citation-style-language/schema/raw/master/csl-citation.json"} </w:instrText>
      </w:r>
      <w:r w:rsidRPr="00225AB0">
        <w:rPr>
          <w:rFonts w:ascii="Arial" w:hAnsi="Arial" w:cs="Arial"/>
        </w:rPr>
        <w:fldChar w:fldCharType="separate"/>
      </w:r>
      <w:r w:rsidRPr="00225AB0">
        <w:rPr>
          <w:rFonts w:ascii="Arial" w:hAnsi="Arial" w:cs="Arial"/>
          <w:noProof/>
        </w:rPr>
        <w:t>(Heywood, Gadotti, &amp; Cowey, 1992)</w:t>
      </w:r>
      <w:r w:rsidRPr="00225AB0">
        <w:rPr>
          <w:rFonts w:ascii="Arial" w:hAnsi="Arial" w:cs="Arial"/>
        </w:rPr>
        <w:fldChar w:fldCharType="end"/>
      </w:r>
      <w:r w:rsidRPr="00225AB0">
        <w:rPr>
          <w:rFonts w:ascii="Arial" w:hAnsi="Arial" w:cs="Arial"/>
        </w:rPr>
        <w:t xml:space="preserve">. </w:t>
      </w:r>
    </w:p>
    <w:p w14:paraId="40975174" w14:textId="77777777" w:rsidR="000C73FA" w:rsidRPr="00225AB0" w:rsidRDefault="000C73FA" w:rsidP="000C73FA">
      <w:pPr>
        <w:spacing w:line="480" w:lineRule="auto"/>
        <w:rPr>
          <w:rFonts w:ascii="Arial" w:hAnsi="Arial" w:cs="Arial"/>
          <w:b/>
        </w:rPr>
      </w:pPr>
    </w:p>
    <w:p w14:paraId="081CB92B" w14:textId="77777777" w:rsidR="00B82607" w:rsidRPr="00225AB0" w:rsidRDefault="000C73FA" w:rsidP="001811CC">
      <w:pPr>
        <w:pStyle w:val="Heading4"/>
        <w:numPr>
          <w:ilvl w:val="3"/>
          <w:numId w:val="2"/>
        </w:numPr>
        <w:rPr>
          <w:rFonts w:ascii="Arial" w:hAnsi="Arial" w:cs="Arial"/>
          <w:color w:val="000000" w:themeColor="text1"/>
          <w:sz w:val="28"/>
          <w:szCs w:val="28"/>
        </w:rPr>
      </w:pPr>
      <w:bookmarkStart w:id="109" w:name="_Toc11147955"/>
      <w:bookmarkStart w:id="110" w:name="_Toc11930026"/>
      <w:bookmarkStart w:id="111" w:name="_Toc16075342"/>
      <w:r w:rsidRPr="00225AB0">
        <w:rPr>
          <w:rFonts w:ascii="Arial" w:hAnsi="Arial" w:cs="Arial"/>
          <w:color w:val="000000" w:themeColor="text1"/>
          <w:sz w:val="28"/>
          <w:szCs w:val="28"/>
        </w:rPr>
        <w:t>Perception of faces</w:t>
      </w:r>
      <w:bookmarkEnd w:id="109"/>
      <w:bookmarkEnd w:id="110"/>
      <w:bookmarkEnd w:id="111"/>
    </w:p>
    <w:p w14:paraId="50F85AEC" w14:textId="3FEEDDD8" w:rsidR="000C73FA" w:rsidRPr="00225AB0" w:rsidRDefault="000C73FA" w:rsidP="000C73FA">
      <w:pPr>
        <w:spacing w:line="480" w:lineRule="auto"/>
        <w:rPr>
          <w:rFonts w:ascii="Arial" w:hAnsi="Arial" w:cs="Arial"/>
        </w:rPr>
      </w:pPr>
      <w:r w:rsidRPr="00225AB0">
        <w:rPr>
          <w:rFonts w:ascii="Arial" w:hAnsi="Arial" w:cs="Arial"/>
        </w:rPr>
        <w:t xml:space="preserve">Despite the distributed processing of many low-level visual features across the visual cortex, the perception of relatively higher-level, complex visual stimuli (formed from combinations of low-level stimulus attributes such as orientation, colour, contrast and shape) tends to be processed in a distinct, and segregated manner </w:t>
      </w:r>
      <w:r w:rsidR="00D44AC6">
        <w:rPr>
          <w:rFonts w:ascii="Arial" w:hAnsi="Arial" w:cs="Arial"/>
        </w:rPr>
        <w:t>in</w:t>
      </w:r>
      <w:r w:rsidRPr="00225AB0">
        <w:rPr>
          <w:rFonts w:ascii="Arial" w:hAnsi="Arial" w:cs="Arial"/>
        </w:rPr>
        <w:t xml:space="preserve"> the visual cortex. For example, the fusiform face area (FFA) is considered a specialised region dedicated to the perception of faces, first identified by</w:t>
      </w:r>
      <w:r w:rsidR="00D06512">
        <w:rPr>
          <w:rFonts w:ascii="Arial" w:hAnsi="Arial" w:cs="Arial"/>
        </w:rPr>
        <w:t xml:space="preserve"> </w:t>
      </w:r>
      <w:r w:rsidR="00D06512">
        <w:rPr>
          <w:rFonts w:ascii="Arial" w:hAnsi="Arial" w:cs="Arial"/>
        </w:rPr>
        <w:fldChar w:fldCharType="begin"/>
      </w:r>
      <w:r w:rsidR="00995B3D">
        <w:rPr>
          <w:rFonts w:ascii="Arial" w:hAnsi="Arial" w:cs="Arial"/>
        </w:rPr>
        <w:instrText xml:space="preserve"> ADDIN ZOTERO_ITEM CSL_CITATION {"citationID":"nMHq094A","properties":{"formattedCitation":"(N. Kanwisher, McDermott, &amp; Chun, 1997)","plainCitation":"(N. Kanwisher, McDermott, &amp; Chun, 1997)","dontUpdate":true,"noteIndex":0},"citationItems":[{"id":37,"uris":["http://zotero.org/groups/318634/items/M27FKGX4"],"uri":["http://zotero.org/groups/318634/items/M27FKGX4"],"itemData":{"id":37,"type":"article-journal","title":"The fusiform face area: a module in human extrastriate cortex specialized for face perception","container-title":"The Journal of Neuroscience: The Official Journal of the Society for Neuroscience","page":"4302-4311","volume":"17","issue":"11","source":"PubMed","abstract":"Using functional magnetic resonance imaging (fMRI), we found an area in the fusiform gyrus in 12 of the 15 subjects tested that was significantly more active when the subjects viewed faces than when they viewed assorted common objects. This face activation was used to define a specific region of interest individually for each subject, within which several new tests of face specificity were run. In each of five subjects tested, the predefined candidate \"face area\" also responded significantly more strongly to passive viewing of (1) intact than scrambled two-tone faces, (2) full front-view face photos than front-view photos of houses, and (in a different set of five subjects) (3) three-quarter-view face photos (with hair concealed) than photos of human hands; it also responded more strongly during (4) a consecutive matching task performed on three-quarter-view faces versus hands. Our technique of running multiple tests applied to the same region defined functionally within individual subjects provides a solution to two common problems in functional imaging: (1) the requirement to correct for multiple statistical comparisons and (2) the inevitable ambiguity in the interpretation of any study in which only two or three conditions are compared. Our data allow us to reject alternative accounts of the function of the fusiform face area (area \"FF\") that appeal to visual attention, subordinate-level classification, or general processing of any animate or human forms, demonstrating that this region is selectively involved in the perception of faces.","ISSN":"0270-6474","note":"PMID: 9151747","title-short":"The fusiform face area","journalAbbreviation":"J. Neurosci.","language":"eng","author":[{"family":"Kanwisher","given":"N."},{"family":"McDermott","given":"J."},{"family":"Chun","given":"M. M."}],"issued":{"date-parts":[["1997",6,1]]}}}],"schema":"https://github.com/citation-style-language/schema/raw/master/csl-citation.json"} </w:instrText>
      </w:r>
      <w:r w:rsidR="00D06512">
        <w:rPr>
          <w:rFonts w:ascii="Arial" w:hAnsi="Arial" w:cs="Arial"/>
        </w:rPr>
        <w:fldChar w:fldCharType="separate"/>
      </w:r>
      <w:r w:rsidR="00D06512">
        <w:rPr>
          <w:rFonts w:ascii="Arial" w:hAnsi="Arial" w:cs="Arial"/>
          <w:noProof/>
        </w:rPr>
        <w:t>Kanwisher, McDermott, &amp; Chun, (1997)</w:t>
      </w:r>
      <w:r w:rsidR="00D06512">
        <w:rPr>
          <w:rFonts w:ascii="Arial" w:hAnsi="Arial" w:cs="Arial"/>
        </w:rPr>
        <w:fldChar w:fldCharType="end"/>
      </w:r>
      <w:r w:rsidRPr="00225AB0">
        <w:rPr>
          <w:rFonts w:ascii="Arial" w:hAnsi="Arial" w:cs="Arial"/>
        </w:rPr>
        <w:t xml:space="preserve">, as a region with significantly greater response to face stimuli than to a variety of comparison stimuli (such as scrambled faces, houses and hands). However, others argue that instead of reflecting a face-specific mechanism, the FFA provides evidence of a region responsive to fine-grain discriminations </w:t>
      </w:r>
      <w:r w:rsidRPr="00225AB0">
        <w:rPr>
          <w:rFonts w:ascii="Arial" w:hAnsi="Arial" w:cs="Arial"/>
        </w:rPr>
        <w:fldChar w:fldCharType="begin"/>
      </w:r>
      <w:r w:rsidR="00995B3D">
        <w:rPr>
          <w:rFonts w:ascii="Arial" w:hAnsi="Arial" w:cs="Arial"/>
        </w:rPr>
        <w:instrText xml:space="preserve"> ADDIN ZOTERO_ITEM CSL_CITATION {"citationID":"SAYOEleC","properties":{"formattedCitation":"(Gauthier, Behrmann, &amp; Tarr, 1999)","plainCitation":"(Gauthier, Behrmann, &amp; Tarr, 1999)","dontUpdate":true,"noteIndex":0},"citationItems":[{"id":167,"uris":["http://zotero.org/groups/318634/items/NXKIAC5P"],"uri":["http://zotero.org/groups/318634/items/NXKIAC5P"],"itemData":{"id":167,"type":"article-journal","title":"Can face recognition really be dissociated from object recognition?","container-title":"Journal of Cognitive Neuroscience","page":"349-370","volume":"11","issue":"4","source":"PubMed","abstract":"We argue that the current literature on prosopagnosia fails to demonstrate unequivocal evidence for a disproportionate impairment for faces as compared to nonface objects. Two prosopagnosic subjects were tested for the discrimination of objects from several categories (face as well as nonface) at different levels of categorization (basic, subordinate, and exemplar levels). Several dependent measures were obtained including accuracy, signal detection measures, and response times. The results from Experiments 1 to 4 demonstrate that, in simultaneous-matching tasks, response times may reveal impairments with nonface objects in subjects whose error rates only indicate a face deficit. The results from Experiments 5 and 6 show that, given limited stimulus presentation times for face and nonface objects, the same subjects may demonstrate a deficit for both stimulus categories in sensitivity. In Experiments 7, 8 and 9, a match-to-sample task that places greater demands on memory led to comparable recognition sensitivity with both face and nonface objects. Regardless of object category, the prosopagnosic subjects were more affected by manipulations of the level of categorization than normal controls. This result raises questions regarding neuropsychological evidence for the modularity of face recognition, as well as its theoretical and methodological foundations.","ISSN":"0898-929X","note":"PMID: 10471845","journalAbbreviation":"J Cogn Neurosci","language":"eng","author":[{"family":"Gauthier","given":"I."},{"family":"Behrmann","given":"M."},{"family":"Tarr","given":"M. J."}],"issued":{"date-parts":[["1999",7]]}}}],"schema":"https://github.com/citation-style-language/schema/raw/master/csl-citation.json"} </w:instrText>
      </w:r>
      <w:r w:rsidRPr="00225AB0">
        <w:rPr>
          <w:rFonts w:ascii="Arial" w:hAnsi="Arial" w:cs="Arial"/>
        </w:rPr>
        <w:fldChar w:fldCharType="separate"/>
      </w:r>
      <w:r w:rsidRPr="00225AB0">
        <w:rPr>
          <w:rFonts w:ascii="Arial" w:hAnsi="Arial" w:cs="Arial"/>
          <w:noProof/>
        </w:rPr>
        <w:t>(e.g. Gauthier, Behrmann, &amp; Tarr, 1999)</w:t>
      </w:r>
      <w:r w:rsidRPr="00225AB0">
        <w:rPr>
          <w:rFonts w:ascii="Arial" w:hAnsi="Arial" w:cs="Arial"/>
        </w:rPr>
        <w:fldChar w:fldCharType="end"/>
      </w:r>
      <w:r w:rsidRPr="00225AB0">
        <w:rPr>
          <w:rFonts w:ascii="Arial" w:hAnsi="Arial" w:cs="Arial"/>
        </w:rPr>
        <w:t xml:space="preserve">. </w:t>
      </w:r>
      <w:r w:rsidR="00D06512">
        <w:rPr>
          <w:rFonts w:ascii="Arial" w:hAnsi="Arial" w:cs="Arial"/>
        </w:rPr>
        <w:t xml:space="preserve">In respect of this, the </w:t>
      </w:r>
      <w:r w:rsidRPr="00225AB0">
        <w:rPr>
          <w:rFonts w:ascii="Arial" w:hAnsi="Arial" w:cs="Arial"/>
        </w:rPr>
        <w:t>expertise hypothesis</w:t>
      </w:r>
      <w:r w:rsidR="00D06512">
        <w:rPr>
          <w:rFonts w:ascii="Arial" w:hAnsi="Arial" w:cs="Arial"/>
        </w:rPr>
        <w:t xml:space="preserve"> </w:t>
      </w:r>
      <w:r w:rsidRPr="00225AB0">
        <w:rPr>
          <w:rFonts w:ascii="Arial" w:hAnsi="Arial" w:cs="Arial"/>
        </w:rPr>
        <w:t xml:space="preserve">argues face-specific regions such as the FFA are not necessarily specialised for the processing of faces, but instead are activated when distinguishing category exemplars from one another which share a same basic configuration </w:t>
      </w:r>
      <w:r w:rsidRPr="00225AB0">
        <w:rPr>
          <w:rFonts w:ascii="Arial" w:hAnsi="Arial" w:cs="Arial"/>
        </w:rPr>
        <w:fldChar w:fldCharType="begin"/>
      </w:r>
      <w:r w:rsidR="00995B3D">
        <w:rPr>
          <w:rFonts w:ascii="Arial" w:hAnsi="Arial" w:cs="Arial"/>
        </w:rPr>
        <w:instrText xml:space="preserve"> ADDIN ZOTERO_ITEM CSL_CITATION {"citationID":"thrQr8Cr","properties":{"formattedCitation":"(Diamond &amp; Carey, 1986)","plainCitation":"(Diamond &amp; Carey, 1986)","noteIndex":0},"citationItems":[{"id":166,"uris":["http://zotero.org/groups/318634/items/JXEZDWH3"],"uri":["http://zotero.org/groups/318634/items/JXEZDWH3"],"itemData":{"id":166,"type":"article-journal","title":"Why faces are and are not special: an effect of expertise","container-title":"Journal of Experimental Psychology. General","page":"107-117","volume":"115","issue":"2","source":"PubMed","abstract":"Recognition memory for faces is hampered much more by inverted presentation than is memory for any other material so far examined. The present study demonstrates that faces are not unique with regard to this vulnerability to inversion. The experiments also attempt to isolate the source of the inversion effect. In one experiment, use of stimuli (landscapes) in which spatial relations among elements are potentially important distinguishing features is shown not to guarantee a large inversion effect. Two additional experiments show that for dog experts sufficiently knowledgeable to individuate dogs of the same breed, memory for photographs of dogs of that breed is as disrupted by inversion as is face recognition. A final experiment indicates that the effect of orientation on memory for faces does not depend on inability to identify single features of these stimuli upside down. These experiments are consistent with the view that experts represent items in memory in terms of distinguishing features of a different kind than do novices. Speculations as to the type of feature used and neuropsychological and developmental implications of this accomplishment are offered.","ISSN":"0096-3445","note":"PMID: 2940312","title-short":"Why faces are and are not special","journalAbbreviation":"J Exp Psychol Gen","language":"eng","author":[{"family":"Diamond","given":"R."},{"family":"Carey","given":"S."}],"issued":{"date-parts":[["1986",6]]}}}],"schema":"https://github.com/citation-style-language/schema/raw/master/csl-citation.json"} </w:instrText>
      </w:r>
      <w:r w:rsidRPr="00225AB0">
        <w:rPr>
          <w:rFonts w:ascii="Arial" w:hAnsi="Arial" w:cs="Arial"/>
        </w:rPr>
        <w:fldChar w:fldCharType="separate"/>
      </w:r>
      <w:r w:rsidRPr="00225AB0">
        <w:rPr>
          <w:rFonts w:ascii="Arial" w:hAnsi="Arial" w:cs="Arial"/>
          <w:noProof/>
        </w:rPr>
        <w:t>(Diamond &amp; Carey, 1986)</w:t>
      </w:r>
      <w:r w:rsidRPr="00225AB0">
        <w:rPr>
          <w:rFonts w:ascii="Arial" w:hAnsi="Arial" w:cs="Arial"/>
        </w:rPr>
        <w:fldChar w:fldCharType="end"/>
      </w:r>
      <w:r w:rsidRPr="00225AB0">
        <w:rPr>
          <w:rFonts w:ascii="Arial" w:hAnsi="Arial" w:cs="Arial"/>
        </w:rPr>
        <w:t xml:space="preserve">. </w:t>
      </w:r>
    </w:p>
    <w:p w14:paraId="62C4E154" w14:textId="77777777" w:rsidR="000C73FA" w:rsidRPr="00225AB0" w:rsidRDefault="000C73FA" w:rsidP="000C73FA">
      <w:pPr>
        <w:spacing w:line="480" w:lineRule="auto"/>
        <w:rPr>
          <w:rFonts w:ascii="Arial" w:hAnsi="Arial" w:cs="Arial"/>
        </w:rPr>
      </w:pPr>
    </w:p>
    <w:p w14:paraId="36054C4D" w14:textId="06D6408A" w:rsidR="000C73FA" w:rsidRPr="00225AB0" w:rsidRDefault="000C73FA" w:rsidP="000C73FA">
      <w:pPr>
        <w:spacing w:line="480" w:lineRule="auto"/>
        <w:rPr>
          <w:rFonts w:ascii="Arial" w:hAnsi="Arial" w:cs="Arial"/>
        </w:rPr>
      </w:pPr>
      <w:r w:rsidRPr="00225AB0">
        <w:rPr>
          <w:rFonts w:ascii="Arial" w:hAnsi="Arial" w:cs="Arial"/>
        </w:rPr>
        <w:t xml:space="preserve">Despite the debate regarding the precise functional segregation </w:t>
      </w:r>
      <w:r w:rsidR="005A21A4">
        <w:rPr>
          <w:rFonts w:ascii="Arial" w:hAnsi="Arial" w:cs="Arial"/>
        </w:rPr>
        <w:t xml:space="preserve">of </w:t>
      </w:r>
      <w:r w:rsidRPr="00225AB0">
        <w:rPr>
          <w:rFonts w:ascii="Arial" w:hAnsi="Arial" w:cs="Arial"/>
        </w:rPr>
        <w:t xml:space="preserve">the FFA, there is overwhelming evidence to support its specific response to face stimuli </w:t>
      </w:r>
      <w:r w:rsidRPr="00225AB0">
        <w:rPr>
          <w:rFonts w:ascii="Arial" w:hAnsi="Arial" w:cs="Arial"/>
        </w:rPr>
        <w:fldChar w:fldCharType="begin"/>
      </w:r>
      <w:r w:rsidR="00995B3D">
        <w:rPr>
          <w:rFonts w:ascii="Arial" w:hAnsi="Arial" w:cs="Arial"/>
        </w:rPr>
        <w:instrText xml:space="preserve"> ADDIN ZOTERO_ITEM CSL_CITATION {"citationID":"faCBDC8E","properties":{"formattedCitation":"(Nancy Kanwisher &amp; Yovel, 2006)","plainCitation":"(Nancy Kanwisher &amp; Yovel, 2006)","dontUpdate":true,"noteIndex":0},"citationItems":[{"id":36,"uris":["http://zotero.org/groups/318634/items/RIELCVYF"],"uri":["http://zotero.org/groups/318634/items/RIELCVYF"],"itemData":{"id":36,"type":"article-journal","title":"The fusiform face area: a cortical region specialized for the perception of faces","container-title":"Philosophical Transactions of the Royal Society of London. Series B, Biological Sciences","page":"2109-2128","volume":"361","issue":"1476","source":"PubMed","abstract":"Faces are among the most important visual stimuli we perceive, informing us not only about a person's identity, but also about their mood, sex, age and direction of gaze. The ability to extract this information within a fraction of a second of viewing a face is important for normal social interactions and has probably played a critical role in the survival of our primate ancestors. Considerable evidence from behavioural, neuropsychological and neurophysiological investigations supports the hypothesis that humans have specialized cognitive and neural mechanisms dedicated to the perception of faces (the face-specificity hypothesis). Here, we review the literature on a region of the human brain that appears to play a key role in face perception, known as the fusiform face area (FFA). Section 1 outlines the theoretical background for much of this work. The face-specificity hypothesis falls squarely on one side of a longstanding debate in the fields of cognitive science and cognitive neuroscience concerning the extent to which the mind/brain is composed of: (i) special-purpose ('domain-specific') mechanisms, each dedicated to processing a specific kind of information (e.g. faces, according to the face-specificity hypothesis), versus (ii) general-purpose ('domain-general') mechanisms, each capable of operating on any kind of information. Face perception has long served both as one of the prime candidates of a domain-specific process and as a key target for attack by proponents of domain-general theories of brain and mind. Section 2 briefly reviews the prior literature on face perception from behaviour and neurophysiology. This work supports the face-specificity hypothesis and argues against its domain-general alternatives (the individuation hypothesis, the expertise hypothesis and others). Section 3 outlines the more recent evidence on this debate from brain imaging, focusing particularly on the FFA. We review the evidence that the FFA is selectively engaged in face perception, by addressing (and rebutting) five of the most widely discussed alternatives to this hypothesis. In section 4, we consider recent findings that are beginning to provide clues into the computations conducted in the FFA and the nature of the representations the FFA extracts from faces. We argue that the FFA is engaged both in detecting faces and in extracting the necessary perceptual information to recognize them, and that the properties of the FFA mirror previously identified behavioural signatures of face-specific processing (e.g. the face-inversion effect). Section 5 asks how the computations and representations in the FFA differ from those occurring in other nearby regions of cortex that respond strongly to faces and objects. The evidence indicates clear functional dissociations between these regions, demonstrating that the FFA shows not only functional specificity but also area specificity. We end by speculating in section 6 on some of the broader questions raised by current research on the FFA, including the developmental origins of this region and the question of whether faces are unique versus whether similarly specialized mechanisms also exist for other domains of high-level perception and cognition.","DOI":"10.1098/rstb.2006.1934","ISSN":"0962-8436","note":"PMID: 17118927\nPMCID: PMC1857737","title-short":"The fusiform face area","journalAbbreviation":"Philos. Trans. R. Soc. Lond., B, Biol. Sci.","language":"eng","author":[{"family":"Kanwisher","given":"Nancy"},{"family":"Yovel","given":"Galit"}],"issued":{"date-parts":[["2006",12,29]]}}}],"schema":"https://github.com/citation-style-language/schema/raw/master/csl-citation.json"} </w:instrText>
      </w:r>
      <w:r w:rsidRPr="00225AB0">
        <w:rPr>
          <w:rFonts w:ascii="Arial" w:hAnsi="Arial" w:cs="Arial"/>
        </w:rPr>
        <w:fldChar w:fldCharType="separate"/>
      </w:r>
      <w:r w:rsidRPr="00225AB0">
        <w:rPr>
          <w:rFonts w:ascii="Arial" w:hAnsi="Arial" w:cs="Arial"/>
          <w:noProof/>
        </w:rPr>
        <w:t>(see Kanwisher &amp; Yovel, 2006 for a review)</w:t>
      </w:r>
      <w:r w:rsidRPr="00225AB0">
        <w:rPr>
          <w:rFonts w:ascii="Arial" w:hAnsi="Arial" w:cs="Arial"/>
        </w:rPr>
        <w:fldChar w:fldCharType="end"/>
      </w:r>
      <w:r w:rsidRPr="00225AB0">
        <w:rPr>
          <w:rFonts w:ascii="Arial" w:hAnsi="Arial" w:cs="Arial"/>
        </w:rPr>
        <w:t xml:space="preserve">. Two additional face-responsive areas have also been identified </w:t>
      </w:r>
      <w:r w:rsidR="00D44AC6">
        <w:rPr>
          <w:rFonts w:ascii="Arial" w:hAnsi="Arial" w:cs="Arial"/>
        </w:rPr>
        <w:t>in</w:t>
      </w:r>
      <w:r w:rsidRPr="00225AB0">
        <w:rPr>
          <w:rFonts w:ascii="Arial" w:hAnsi="Arial" w:cs="Arial"/>
        </w:rPr>
        <w:t xml:space="preserve"> the visual cortex, the occipital </w:t>
      </w:r>
      <w:r w:rsidRPr="00225AB0">
        <w:rPr>
          <w:rFonts w:ascii="Arial" w:hAnsi="Arial" w:cs="Arial"/>
        </w:rPr>
        <w:lastRenderedPageBreak/>
        <w:t xml:space="preserve">face area (OFA) and the superior temporal sulcus (STS). The OFA was first identified by </w:t>
      </w:r>
      <w:r w:rsidRPr="00225AB0">
        <w:rPr>
          <w:rFonts w:ascii="Arial" w:hAnsi="Arial" w:cs="Arial"/>
        </w:rPr>
        <w:fldChar w:fldCharType="begin"/>
      </w:r>
      <w:r w:rsidR="00995B3D">
        <w:rPr>
          <w:rFonts w:ascii="Arial" w:hAnsi="Arial" w:cs="Arial"/>
        </w:rPr>
        <w:instrText xml:space="preserve"> ADDIN ZOTERO_ITEM CSL_CITATION {"citationID":"EWiLPVlb","properties":{"formattedCitation":"(Gauthier et al., 2000)","plainCitation":"(Gauthier et al., 2000)","dontUpdate":true,"noteIndex":0},"citationItems":[{"id":32,"uris":["http://zotero.org/groups/318634/items/7IQ5I4DZ"],"uri":["http://zotero.org/groups/318634/items/7IQ5I4DZ"],"itemData":{"id":32,"type":"article-journal","title":"The fusiform \"face area\" is part of a network that processes faces at the individual level","container-title":"Journal of Cognitive Neuroscience","page":"495-504","volume":"12","issue":"3","source":"PubMed","abstract":"According to modular models of cortical organization, many areas of the extrastriate cortex are dedicated to object categories. These models often assume an early processing stage for the detection of category membership. Can functional imaging isolate areas responsible for detection of members of a category, such as faces or letters? We consider whether responses in three different areas (two selective for faces and one selective for letters) support category detection. Activity in these areas habituates to the repeated presentation of one exemplar more than to the presentation of different exemplars of the same category, but only for the category for which the area is selective. Thus, these areas appear to play computational roles more complex than detection, processing stimuli at the individual level. Drawing from prior work, we suggest that face-selective areas may be involved in the perception of faces at the individual level, whereas letter-selective regions may be tuning themselves to font information in order to recognize letters more efficiently.","ISSN":"0898-929X","note":"PMID: 10931774","journalAbbreviation":"J Cogn Neurosci","language":"eng","author":[{"family":"Gauthier","given":"I."},{"family":"Tarr","given":"M. J."},{"family":"Moylan","given":"J."},{"family":"Skudlarski","given":"P."},{"family":"Gore","given":"J. C."},{"family":"Anderson","given":"A. W."}],"issued":{"date-parts":[["2000",5]]}}}],"schema":"https://github.com/citation-style-language/schema/raw/master/csl-citation.json"} </w:instrText>
      </w:r>
      <w:r w:rsidRPr="00225AB0">
        <w:rPr>
          <w:rFonts w:ascii="Arial" w:hAnsi="Arial" w:cs="Arial"/>
        </w:rPr>
        <w:fldChar w:fldCharType="separate"/>
      </w:r>
      <w:r w:rsidRPr="00225AB0">
        <w:rPr>
          <w:rFonts w:ascii="Arial" w:hAnsi="Arial" w:cs="Arial"/>
          <w:noProof/>
        </w:rPr>
        <w:t xml:space="preserve">Gauthier et al., </w:t>
      </w:r>
      <w:r w:rsidR="005A21A4">
        <w:rPr>
          <w:rFonts w:ascii="Arial" w:hAnsi="Arial" w:cs="Arial"/>
          <w:noProof/>
        </w:rPr>
        <w:t>(</w:t>
      </w:r>
      <w:r w:rsidRPr="00225AB0">
        <w:rPr>
          <w:rFonts w:ascii="Arial" w:hAnsi="Arial" w:cs="Arial"/>
          <w:noProof/>
        </w:rPr>
        <w:t>2000)</w:t>
      </w:r>
      <w:r w:rsidRPr="00225AB0">
        <w:rPr>
          <w:rFonts w:ascii="Arial" w:hAnsi="Arial" w:cs="Arial"/>
        </w:rPr>
        <w:fldChar w:fldCharType="end"/>
      </w:r>
      <w:r w:rsidRPr="00225AB0">
        <w:rPr>
          <w:rFonts w:ascii="Arial" w:hAnsi="Arial" w:cs="Arial"/>
        </w:rPr>
        <w:t xml:space="preserve">, with greater responsivity to faces </w:t>
      </w:r>
      <w:r w:rsidR="005A21A4">
        <w:rPr>
          <w:rFonts w:ascii="Arial" w:hAnsi="Arial" w:cs="Arial"/>
        </w:rPr>
        <w:t>versus</w:t>
      </w:r>
      <w:r w:rsidRPr="00225AB0">
        <w:rPr>
          <w:rFonts w:ascii="Arial" w:hAnsi="Arial" w:cs="Arial"/>
        </w:rPr>
        <w:t xml:space="preserve"> objects than identified </w:t>
      </w:r>
      <w:r w:rsidR="00D44AC6">
        <w:rPr>
          <w:rFonts w:ascii="Arial" w:hAnsi="Arial" w:cs="Arial"/>
        </w:rPr>
        <w:t>in</w:t>
      </w:r>
      <w:r w:rsidRPr="00225AB0">
        <w:rPr>
          <w:rFonts w:ascii="Arial" w:hAnsi="Arial" w:cs="Arial"/>
        </w:rPr>
        <w:t xml:space="preserve"> the FFA. The STS was originally identified as a region in macaque cortex responsive to faces, parts of faces and facial expressions </w:t>
      </w:r>
      <w:r w:rsidRPr="00225AB0">
        <w:rPr>
          <w:rFonts w:ascii="Arial" w:hAnsi="Arial" w:cs="Arial"/>
        </w:rPr>
        <w:fldChar w:fldCharType="begin"/>
      </w:r>
      <w:r w:rsidR="00995B3D">
        <w:rPr>
          <w:rFonts w:ascii="Arial" w:hAnsi="Arial" w:cs="Arial"/>
        </w:rPr>
        <w:instrText xml:space="preserve"> ADDIN ZOTERO_ITEM CSL_CITATION {"citationID":"hUv3Df2D","properties":{"formattedCitation":"(Heywood &amp; Cowey, 1992)","plainCitation":"(Heywood &amp; Cowey, 1992)","noteIndex":0},"citationItems":[{"id":165,"uris":["http://zotero.org/groups/318634/items/HG42PJVJ"],"uri":["http://zotero.org/groups/318634/items/HG42PJVJ"],"itemData":{"id":165,"type":"article-journal","title":"The role of the 'face-cell' area in the discrimination and recognition of faces by monkeys","container-title":"Philosophical Transactions of the Royal Society of London. Series B, Biological Sciences","page":"31-37; discussion 37-38","volume":"335","issue":"1273","source":"PubMed","abstract":"Cortical neurons that are selectively sensitive to faces, parts of faces and particular facial expressions are concentrated in the banks and floor of the superior temporal sulcus in macaque monkeys. Their existence has prompted suggestions that it is damage to such a region in the human brain that leads to prosopagnosia: the inability to recognize faces or to discriminate between faces. This was tested by removing the face-cell area in a group of monkeys. The animals learned to discriminate between pictures of faces or inanimate objects, to select the odd face from a group, to inspect a face then select the matching face from a pair of faces after a variable delay, to discriminate between novel and familiar faces, and to identify specific faces. Removing the face-cell area produced no or little impairment which in the latter case was not specific for faces. In contrast, several prosopagnosic patients were impaired at several of these tasks. The animals were less able than before to discern the angle of regard in pictures of faces, suggesting that this area of the brain may be concerned with the perception of facial expression and bearing, which are important social signals in primates.","DOI":"10.1098/rstb.1992.0004","ISSN":"0962-8436","note":"PMID: 1348135","journalAbbreviation":"Philos. Trans. R. Soc. Lond., B, Biol. Sci.","language":"eng","author":[{"family":"Heywood","given":"C. A."},{"family":"Cowey","given":"A."}],"issued":{"date-parts":[["1992",1,29]]}}}],"schema":"https://github.com/citation-style-language/schema/raw/master/csl-citation.json"} </w:instrText>
      </w:r>
      <w:r w:rsidRPr="00225AB0">
        <w:rPr>
          <w:rFonts w:ascii="Arial" w:hAnsi="Arial" w:cs="Arial"/>
        </w:rPr>
        <w:fldChar w:fldCharType="separate"/>
      </w:r>
      <w:r w:rsidRPr="00225AB0">
        <w:rPr>
          <w:rFonts w:ascii="Arial" w:hAnsi="Arial" w:cs="Arial"/>
          <w:noProof/>
        </w:rPr>
        <w:t>(Heywood &amp; Cowey, 1992)</w:t>
      </w:r>
      <w:r w:rsidRPr="00225AB0">
        <w:rPr>
          <w:rFonts w:ascii="Arial" w:hAnsi="Arial" w:cs="Arial"/>
        </w:rPr>
        <w:fldChar w:fldCharType="end"/>
      </w:r>
      <w:r w:rsidRPr="00225AB0">
        <w:rPr>
          <w:rFonts w:ascii="Arial" w:hAnsi="Arial" w:cs="Arial"/>
        </w:rPr>
        <w:t xml:space="preserve">. More recently, the STS has also been identified as responsive to dynamic faces and bodies </w:t>
      </w:r>
      <w:r w:rsidRPr="00225AB0">
        <w:rPr>
          <w:rFonts w:ascii="Arial" w:hAnsi="Arial" w:cs="Arial"/>
        </w:rPr>
        <w:fldChar w:fldCharType="begin"/>
      </w:r>
      <w:r w:rsidR="00995B3D">
        <w:rPr>
          <w:rFonts w:ascii="Arial" w:hAnsi="Arial" w:cs="Arial"/>
        </w:rPr>
        <w:instrText xml:space="preserve"> ADDIN ZOTERO_ITEM CSL_CITATION {"citationID":"6qcVFs8R","properties":{"formattedCitation":"(Allison, Puce, &amp; McCarthy, 2000)","plainCitation":"(Allison, Puce, &amp; McCarthy, 2000)","noteIndex":0},"citationItems":[{"id":27,"uris":["http://zotero.org/groups/318634/items/EEN7GFLU"],"uri":["http://zotero.org/groups/318634/items/EEN7GFLU"],"itemData":{"id":27,"type":"article-journal","title":"Social perception from visual cues: role of the STS region","container-title":"Trends in Cognitive Sciences","page":"267-278","volume":"4","issue":"7","source":"PubMed","abstract":"Social perception refers to initial stages in the processing of information that culminates in the accurate analysis of the dispositions and intentions of other individuals. Single-cell recordings in monkeys, and neurophysiological and neuroimaging studies in humans, reveal that cerebral cortex in and near the superior temporal sulcus (STS) region is an important component of this perceptual system. In monkeys and humans, the STS region is activated by movements of the eyes, mouth, hands and body, suggesting that it is involved in analysis of biological motion. However, it is also activated by static images of the face and body, suggesting that it is sensitive to implied motion and more generally to stimuli that signal the actions of another individual. Subsequent analysis of socially relevant stimuli is carried out in the amygdala and orbitofrontal cortex, which supports a three-structure model proposed by Brothers. The homology of human and monkey areas involved in social perception, and the functional interrelationships between the STS region and the ventral face area, are unresolved issues.","ISSN":"1879-307X","note":"PMID: 10859571","title-short":"Social perception from visual cues","journalAbbreviation":"Trends Cogn. Sci. (Regul. Ed.)","language":"eng","author":[{"family":"Allison","given":"null"},{"family":"Puce","given":"null"},{"family":"McCarthy","given":"null"}],"issued":{"date-parts":[["2000",7]]}}}],"schema":"https://github.com/citation-style-language/schema/raw/master/csl-citation.json"} </w:instrText>
      </w:r>
      <w:r w:rsidRPr="00225AB0">
        <w:rPr>
          <w:rFonts w:ascii="Arial" w:hAnsi="Arial" w:cs="Arial"/>
        </w:rPr>
        <w:fldChar w:fldCharType="separate"/>
      </w:r>
      <w:r w:rsidRPr="00225AB0">
        <w:rPr>
          <w:rFonts w:ascii="Arial" w:hAnsi="Arial" w:cs="Arial"/>
          <w:noProof/>
        </w:rPr>
        <w:t>(Allison, Puce, &amp; McCarthy, 2000)</w:t>
      </w:r>
      <w:r w:rsidRPr="00225AB0">
        <w:rPr>
          <w:rFonts w:ascii="Arial" w:hAnsi="Arial" w:cs="Arial"/>
        </w:rPr>
        <w:fldChar w:fldCharType="end"/>
      </w:r>
      <w:r w:rsidRPr="00225AB0">
        <w:rPr>
          <w:rFonts w:ascii="Arial" w:hAnsi="Arial" w:cs="Arial"/>
        </w:rPr>
        <w:t xml:space="preserve">. Currently, the </w:t>
      </w:r>
      <w:r w:rsidR="00B14FF8">
        <w:rPr>
          <w:rFonts w:ascii="Arial" w:hAnsi="Arial" w:cs="Arial"/>
        </w:rPr>
        <w:t xml:space="preserve">neuronal </w:t>
      </w:r>
      <w:r w:rsidRPr="00225AB0">
        <w:rPr>
          <w:rFonts w:ascii="Arial" w:hAnsi="Arial" w:cs="Arial"/>
        </w:rPr>
        <w:t>mechanism</w:t>
      </w:r>
      <w:r w:rsidR="00B14FF8">
        <w:rPr>
          <w:rFonts w:ascii="Arial" w:hAnsi="Arial" w:cs="Arial"/>
        </w:rPr>
        <w:t>s</w:t>
      </w:r>
      <w:r w:rsidRPr="00225AB0">
        <w:rPr>
          <w:rFonts w:ascii="Arial" w:hAnsi="Arial" w:cs="Arial"/>
        </w:rPr>
        <w:t xml:space="preserve"> behind face-specific responses </w:t>
      </w:r>
      <w:r w:rsidR="00B14FF8">
        <w:rPr>
          <w:rFonts w:ascii="Arial" w:hAnsi="Arial" w:cs="Arial"/>
        </w:rPr>
        <w:t>are</w:t>
      </w:r>
      <w:r w:rsidR="00B14FF8" w:rsidRPr="00225AB0">
        <w:rPr>
          <w:rFonts w:ascii="Arial" w:hAnsi="Arial" w:cs="Arial"/>
        </w:rPr>
        <w:t xml:space="preserve"> </w:t>
      </w:r>
      <w:r w:rsidR="00B14FF8">
        <w:rPr>
          <w:rFonts w:ascii="Arial" w:hAnsi="Arial" w:cs="Arial"/>
        </w:rPr>
        <w:t>not fully</w:t>
      </w:r>
      <w:r w:rsidR="00B14FF8" w:rsidRPr="00225AB0">
        <w:rPr>
          <w:rFonts w:ascii="Arial" w:hAnsi="Arial" w:cs="Arial"/>
        </w:rPr>
        <w:t xml:space="preserve"> </w:t>
      </w:r>
      <w:r w:rsidRPr="00225AB0">
        <w:rPr>
          <w:rFonts w:ascii="Arial" w:hAnsi="Arial" w:cs="Arial"/>
        </w:rPr>
        <w:t xml:space="preserve">understood, however, evidence clearly suggests the existence of specialised regions for the processing of complex, higher-level face stimuli </w:t>
      </w:r>
      <w:r w:rsidR="00D44AC6">
        <w:rPr>
          <w:rFonts w:ascii="Arial" w:hAnsi="Arial" w:cs="Arial"/>
        </w:rPr>
        <w:t>in</w:t>
      </w:r>
      <w:r w:rsidRPr="00225AB0">
        <w:rPr>
          <w:rFonts w:ascii="Arial" w:hAnsi="Arial" w:cs="Arial"/>
        </w:rPr>
        <w:t xml:space="preserve"> the visual cortex. </w:t>
      </w:r>
    </w:p>
    <w:p w14:paraId="044CF853" w14:textId="77777777" w:rsidR="000C73FA" w:rsidRPr="00225AB0" w:rsidRDefault="000C73FA" w:rsidP="000C73FA">
      <w:pPr>
        <w:spacing w:line="480" w:lineRule="auto"/>
        <w:rPr>
          <w:rFonts w:ascii="Arial" w:hAnsi="Arial" w:cs="Arial"/>
        </w:rPr>
      </w:pPr>
    </w:p>
    <w:p w14:paraId="17DF2D2B" w14:textId="77777777" w:rsidR="000C73FA" w:rsidRPr="00225AB0" w:rsidRDefault="000C73FA" w:rsidP="001811CC">
      <w:pPr>
        <w:pStyle w:val="Heading2"/>
        <w:numPr>
          <w:ilvl w:val="1"/>
          <w:numId w:val="2"/>
        </w:numPr>
        <w:rPr>
          <w:rFonts w:ascii="Arial" w:hAnsi="Arial" w:cs="Arial"/>
          <w:b/>
          <w:color w:val="000000" w:themeColor="text1"/>
          <w:sz w:val="28"/>
          <w:szCs w:val="28"/>
        </w:rPr>
      </w:pPr>
      <w:bookmarkStart w:id="112" w:name="_Toc11147956"/>
      <w:bookmarkStart w:id="113" w:name="_Toc11153902"/>
      <w:bookmarkStart w:id="114" w:name="_Toc11753608"/>
      <w:bookmarkStart w:id="115" w:name="_Toc11926794"/>
      <w:bookmarkStart w:id="116" w:name="_Toc11930027"/>
      <w:bookmarkStart w:id="117" w:name="_Toc16075343"/>
      <w:bookmarkStart w:id="118" w:name="_Toc16236966"/>
      <w:r w:rsidRPr="00225AB0">
        <w:rPr>
          <w:rFonts w:ascii="Arial" w:hAnsi="Arial" w:cs="Arial"/>
          <w:b/>
          <w:color w:val="000000" w:themeColor="text1"/>
          <w:sz w:val="28"/>
          <w:szCs w:val="28"/>
        </w:rPr>
        <w:t>Visual Attention</w:t>
      </w:r>
      <w:bookmarkEnd w:id="112"/>
      <w:bookmarkEnd w:id="113"/>
      <w:bookmarkEnd w:id="114"/>
      <w:bookmarkEnd w:id="115"/>
      <w:bookmarkEnd w:id="116"/>
      <w:bookmarkEnd w:id="117"/>
      <w:bookmarkEnd w:id="118"/>
      <w:r w:rsidRPr="00225AB0">
        <w:rPr>
          <w:rFonts w:ascii="Arial" w:hAnsi="Arial" w:cs="Arial"/>
          <w:b/>
          <w:color w:val="000000" w:themeColor="text1"/>
          <w:sz w:val="28"/>
          <w:szCs w:val="28"/>
        </w:rPr>
        <w:t xml:space="preserve"> </w:t>
      </w:r>
    </w:p>
    <w:p w14:paraId="67D49A1E" w14:textId="77777777" w:rsidR="00A42D48" w:rsidRPr="00225AB0" w:rsidRDefault="00A42D48" w:rsidP="00A42D48">
      <w:pPr>
        <w:rPr>
          <w:rFonts w:ascii="Arial" w:hAnsi="Arial" w:cs="Arial"/>
        </w:rPr>
      </w:pPr>
    </w:p>
    <w:p w14:paraId="62296662" w14:textId="77777777" w:rsidR="000C73FA" w:rsidRPr="00225AB0" w:rsidRDefault="000C73FA" w:rsidP="001811CC">
      <w:pPr>
        <w:pStyle w:val="Heading3"/>
        <w:numPr>
          <w:ilvl w:val="2"/>
          <w:numId w:val="2"/>
        </w:numPr>
        <w:rPr>
          <w:rFonts w:ascii="Arial" w:hAnsi="Arial" w:cs="Arial"/>
          <w:b/>
          <w:i/>
          <w:color w:val="000000" w:themeColor="text1"/>
          <w:sz w:val="28"/>
          <w:szCs w:val="28"/>
        </w:rPr>
      </w:pPr>
      <w:bookmarkStart w:id="119" w:name="_Toc11147957"/>
      <w:bookmarkStart w:id="120" w:name="_Toc11153903"/>
      <w:bookmarkStart w:id="121" w:name="_Toc11753609"/>
      <w:bookmarkStart w:id="122" w:name="_Toc11926795"/>
      <w:bookmarkStart w:id="123" w:name="_Toc11930028"/>
      <w:bookmarkStart w:id="124" w:name="_Toc16075344"/>
      <w:bookmarkStart w:id="125" w:name="_Toc16236967"/>
      <w:r w:rsidRPr="00225AB0">
        <w:rPr>
          <w:rFonts w:ascii="Arial" w:hAnsi="Arial" w:cs="Arial"/>
          <w:b/>
          <w:i/>
          <w:color w:val="000000" w:themeColor="text1"/>
          <w:sz w:val="28"/>
          <w:szCs w:val="28"/>
        </w:rPr>
        <w:t>What is visual attention?</w:t>
      </w:r>
      <w:bookmarkEnd w:id="119"/>
      <w:bookmarkEnd w:id="120"/>
      <w:bookmarkEnd w:id="121"/>
      <w:bookmarkEnd w:id="122"/>
      <w:bookmarkEnd w:id="123"/>
      <w:bookmarkEnd w:id="124"/>
      <w:bookmarkEnd w:id="125"/>
      <w:r w:rsidRPr="00225AB0">
        <w:rPr>
          <w:rFonts w:ascii="Arial" w:hAnsi="Arial" w:cs="Arial"/>
          <w:b/>
          <w:i/>
          <w:color w:val="000000" w:themeColor="text1"/>
          <w:sz w:val="28"/>
          <w:szCs w:val="28"/>
        </w:rPr>
        <w:t xml:space="preserve"> </w:t>
      </w:r>
    </w:p>
    <w:p w14:paraId="6949B69C" w14:textId="77777777" w:rsidR="00A42D48" w:rsidRPr="00225AB0" w:rsidRDefault="00A42D48" w:rsidP="00A42D48">
      <w:pPr>
        <w:rPr>
          <w:rFonts w:ascii="Arial" w:hAnsi="Arial" w:cs="Arial"/>
        </w:rPr>
      </w:pPr>
    </w:p>
    <w:p w14:paraId="4BEF65EC" w14:textId="37DD5B6E" w:rsidR="000C73FA" w:rsidRPr="00225AB0" w:rsidRDefault="000C73FA" w:rsidP="000C73FA">
      <w:pPr>
        <w:spacing w:line="480" w:lineRule="auto"/>
        <w:rPr>
          <w:rFonts w:ascii="Arial" w:hAnsi="Arial" w:cs="Arial"/>
        </w:rPr>
      </w:pPr>
      <w:r w:rsidRPr="00225AB0">
        <w:rPr>
          <w:rFonts w:ascii="Arial" w:hAnsi="Arial" w:cs="Arial"/>
        </w:rPr>
        <w:t xml:space="preserve">The importance of attention as a mechanism for successful interaction with our visual world has been understood from very early in the development of Psychology as a discipline. William James reported attention as a </w:t>
      </w:r>
      <w:r w:rsidRPr="00225AB0">
        <w:rPr>
          <w:rFonts w:ascii="Arial" w:hAnsi="Arial" w:cs="Arial"/>
          <w:i/>
        </w:rPr>
        <w:t xml:space="preserve">‘[taking]’ one out of what seems several simultaneously possible objects or trains of thought’ </w:t>
      </w:r>
      <w:r w:rsidRPr="00225AB0">
        <w:rPr>
          <w:rFonts w:ascii="Arial" w:hAnsi="Arial" w:cs="Arial"/>
        </w:rPr>
        <w:t xml:space="preserve">and </w:t>
      </w:r>
      <w:r w:rsidRPr="00225AB0">
        <w:rPr>
          <w:rFonts w:ascii="Arial" w:hAnsi="Arial" w:cs="Arial"/>
          <w:i/>
        </w:rPr>
        <w:t xml:space="preserve">‘a withdrawal from some things in order to deal effectively with others’ </w:t>
      </w:r>
      <w:r w:rsidR="004A3DE3">
        <w:rPr>
          <w:rFonts w:ascii="Arial" w:hAnsi="Arial" w:cs="Arial"/>
          <w:i/>
        </w:rPr>
        <w:fldChar w:fldCharType="begin"/>
      </w:r>
      <w:r w:rsidR="004A3DE3">
        <w:rPr>
          <w:rFonts w:ascii="Arial" w:hAnsi="Arial" w:cs="Arial"/>
          <w:i/>
        </w:rPr>
        <w:instrText xml:space="preserve"> ADDIN ZOTERO_ITEM CSL_CITATION {"citationID":"0QDLB9i9","properties":{"formattedCitation":"(James, 1890)","plainCitation":"(James, 1890)","noteIndex":0},"citationItems":[{"id":164,"uris":["http://zotero.org/groups/318634/items/RWCJQES9"],"uri":["http://zotero.org/groups/318634/items/RWCJQES9"],"itemData":{"id":164,"type":"book","title":"The principles of psychology","publisher":"Macmillan London","volume":"1","author":[{"family":"James","given":"William"}],"issued":{"date-parts":[["1890"]]}}}],"schema":"https://github.com/citation-style-language/schema/raw/master/csl-citation.json"} </w:instrText>
      </w:r>
      <w:r w:rsidR="004A3DE3">
        <w:rPr>
          <w:rFonts w:ascii="Arial" w:hAnsi="Arial" w:cs="Arial"/>
          <w:i/>
        </w:rPr>
        <w:fldChar w:fldCharType="separate"/>
      </w:r>
      <w:r w:rsidR="004A3DE3">
        <w:rPr>
          <w:rFonts w:ascii="Arial" w:hAnsi="Arial" w:cs="Arial"/>
          <w:i/>
          <w:noProof/>
        </w:rPr>
        <w:t>(James, 1890)</w:t>
      </w:r>
      <w:r w:rsidR="004A3DE3">
        <w:rPr>
          <w:rFonts w:ascii="Arial" w:hAnsi="Arial" w:cs="Arial"/>
          <w:i/>
        </w:rPr>
        <w:fldChar w:fldCharType="end"/>
      </w:r>
      <w:r w:rsidR="004A3DE3">
        <w:rPr>
          <w:rFonts w:ascii="Arial" w:hAnsi="Arial" w:cs="Arial"/>
          <w:i/>
        </w:rPr>
        <w:t xml:space="preserve">. </w:t>
      </w:r>
      <w:r w:rsidRPr="00225AB0">
        <w:rPr>
          <w:rFonts w:ascii="Arial" w:hAnsi="Arial" w:cs="Arial"/>
        </w:rPr>
        <w:t xml:space="preserve">Without attentional mechanisms, we would become overwhelmed by the sheer amount of information present </w:t>
      </w:r>
      <w:r w:rsidR="00D44AC6">
        <w:rPr>
          <w:rFonts w:ascii="Arial" w:hAnsi="Arial" w:cs="Arial"/>
        </w:rPr>
        <w:t>in</w:t>
      </w:r>
      <w:r w:rsidRPr="00225AB0">
        <w:rPr>
          <w:rFonts w:ascii="Arial" w:hAnsi="Arial" w:cs="Arial"/>
        </w:rPr>
        <w:t xml:space="preserve"> our visual environment. Hence, visual attention, a mechanism to weight the current important of specific aspects of a stimulus, is vital. </w:t>
      </w:r>
    </w:p>
    <w:p w14:paraId="3A25F41D" w14:textId="77777777" w:rsidR="000C73FA" w:rsidRPr="00225AB0" w:rsidRDefault="000C73FA" w:rsidP="000C73FA">
      <w:pPr>
        <w:spacing w:line="480" w:lineRule="auto"/>
        <w:rPr>
          <w:rFonts w:ascii="Arial" w:hAnsi="Arial" w:cs="Arial"/>
        </w:rPr>
      </w:pPr>
    </w:p>
    <w:p w14:paraId="5D12CD28" w14:textId="7A3C82DF" w:rsidR="000C73FA" w:rsidRPr="00225AB0" w:rsidRDefault="000C73FA" w:rsidP="000C73FA">
      <w:pPr>
        <w:spacing w:line="480" w:lineRule="auto"/>
        <w:rPr>
          <w:rFonts w:ascii="Arial" w:hAnsi="Arial" w:cs="Arial"/>
        </w:rPr>
      </w:pPr>
      <w:r w:rsidRPr="00225AB0">
        <w:rPr>
          <w:rFonts w:ascii="Arial" w:hAnsi="Arial" w:cs="Arial"/>
        </w:rPr>
        <w:t xml:space="preserve">The primary function of attention is to optimise task performance, such as the detection of a salient stimulus in a cluttered visual environment </w:t>
      </w:r>
      <w:r w:rsidRPr="00225AB0">
        <w:rPr>
          <w:rFonts w:ascii="Arial" w:hAnsi="Arial" w:cs="Arial"/>
        </w:rPr>
        <w:fldChar w:fldCharType="begin"/>
      </w:r>
      <w:r w:rsidR="00321AB9">
        <w:rPr>
          <w:rFonts w:ascii="Arial" w:hAnsi="Arial" w:cs="Arial"/>
        </w:rPr>
        <w:instrText xml:space="preserve"> ADDIN ZOTERO_ITEM CSL_CITATION {"citationID":"jj7wSOcd","properties":{"formattedCitation":"(Serences, Saproo, Scolari, Ho, &amp; Muftuler, 2009)","plainCitation":"(Serences, Saproo, Scolari, Ho, &amp; Muftuler, 2009)","dontUpdate":true,"noteIndex":0},"citationItems":[{"id":100,"uris":["http://zotero.org/groups/318634/items/WFK5FCIL"],"uri":["http://zotero.org/groups/318634/items/WFK5FCIL"],"itemData":{"id":100,"type":"article-journal","title":"Estimating the influence of attention on population codes in human visual cortex using voxel-based tuning functions","container-title":"NeuroImage","page":"223-231","volume":"44","issue":"1","source":"PubMed","abstract":"In order to form stable perceptual representations, populations of sensory neurons must pool their output to overcome physiological noise; selective attention is then required to ensure that behaviorally relevant stimuli dominate these 'population codes' to gain access to awareness. However, the role that attention plays in shaping population response profiles has received little direct investigation, in part because most traditional neurophysiological methods cannot simultaneously assess changes in activity across large populations of sensory neurons. Based on single-unit recording studies, current theories hold that attending to a relevant feature sharpens the population response profile and improves the signal-to-noise ratio of the resulting perceptual representation. Here, we test this hypothesis using fMRI and an analysis approach that is able to estimate the influence of feature-based attentional modulations on population response profiles. We first derive orientation tuning functions for single voxels in human primary visual cortex, and then use these tuning functions to sort voxels according to their orientation preference. We then show that selective attention systematically biases population response profiles so that behaviorally relevant stimuli are represented in the visual system at the expense of behaviorally irrelevant stimuli. Collectively, the present results (1) provide a new approach for precisely characterizing feature-selective responses in human sensory cortices and (2) reveal how behavioral goals can shape population response profiles to support the formation of coherent perceptual representations.","DOI":"10.1016/j.neuroimage.2008.07.043","ISSN":"1095-9572","note":"PMID: 18721888","journalAbbreviation":"Neuroimage","language":"eng","author":[{"family":"Serences","given":"John T."},{"family":"Saproo","given":"Sameer"},{"family":"Scolari","given":"Miranda"},{"family":"Ho","given":"Tiffany"},{"family":"Muftuler","given":"L. Tugan"}],"issued":{"date-parts":[["2009",1,1]]}}}],"schema":"https://github.com/citation-style-language/schema/raw/master/csl-citation.json"} </w:instrText>
      </w:r>
      <w:r w:rsidRPr="00225AB0">
        <w:rPr>
          <w:rFonts w:ascii="Arial" w:hAnsi="Arial" w:cs="Arial"/>
        </w:rPr>
        <w:fldChar w:fldCharType="separate"/>
      </w:r>
      <w:r w:rsidRPr="00225AB0">
        <w:rPr>
          <w:rFonts w:ascii="Arial" w:hAnsi="Arial" w:cs="Arial"/>
          <w:noProof/>
        </w:rPr>
        <w:t xml:space="preserve">(e.g. </w:t>
      </w:r>
      <w:r w:rsidRPr="00225AB0">
        <w:rPr>
          <w:rFonts w:ascii="Arial" w:hAnsi="Arial" w:cs="Arial"/>
          <w:noProof/>
        </w:rPr>
        <w:lastRenderedPageBreak/>
        <w:t>Serences, Saproo, Scolari, Ho, &amp; Muftuler, 2009)</w:t>
      </w:r>
      <w:r w:rsidRPr="00225AB0">
        <w:rPr>
          <w:rFonts w:ascii="Arial" w:hAnsi="Arial" w:cs="Arial"/>
        </w:rPr>
        <w:fldChar w:fldCharType="end"/>
      </w:r>
      <w:r w:rsidRPr="00225AB0">
        <w:rPr>
          <w:rFonts w:ascii="Arial" w:hAnsi="Arial" w:cs="Arial"/>
        </w:rPr>
        <w:t xml:space="preserve">. There are many mechanisms controlling attentional modulation </w:t>
      </w:r>
      <w:r w:rsidR="00D44AC6">
        <w:rPr>
          <w:rFonts w:ascii="Arial" w:hAnsi="Arial" w:cs="Arial"/>
        </w:rPr>
        <w:t>in</w:t>
      </w:r>
      <w:r w:rsidRPr="00225AB0">
        <w:rPr>
          <w:rFonts w:ascii="Arial" w:hAnsi="Arial" w:cs="Arial"/>
        </w:rPr>
        <w:t xml:space="preserve"> the visual cortex, with their exact processes</w:t>
      </w:r>
      <w:r w:rsidR="005A21A4">
        <w:rPr>
          <w:rFonts w:ascii="Arial" w:hAnsi="Arial" w:cs="Arial"/>
        </w:rPr>
        <w:t xml:space="preserve"> are</w:t>
      </w:r>
      <w:r w:rsidRPr="00225AB0">
        <w:rPr>
          <w:rFonts w:ascii="Arial" w:hAnsi="Arial" w:cs="Arial"/>
        </w:rPr>
        <w:t xml:space="preserve"> typically little understood. However, attention mechanisms are </w:t>
      </w:r>
      <w:r w:rsidR="005A21A4">
        <w:rPr>
          <w:rFonts w:ascii="Arial" w:hAnsi="Arial" w:cs="Arial"/>
        </w:rPr>
        <w:t xml:space="preserve">generally </w:t>
      </w:r>
      <w:r w:rsidRPr="00225AB0">
        <w:rPr>
          <w:rFonts w:ascii="Arial" w:hAnsi="Arial" w:cs="Arial"/>
        </w:rPr>
        <w:t xml:space="preserve">considered to alter the activity of neurons most informative for a particular visual task. This typically results in an enhancement of processing of task-relevant information </w:t>
      </w:r>
      <w:r w:rsidR="00D44AC6">
        <w:rPr>
          <w:rFonts w:ascii="Arial" w:hAnsi="Arial" w:cs="Arial"/>
        </w:rPr>
        <w:t>in</w:t>
      </w:r>
      <w:r w:rsidRPr="00225AB0">
        <w:rPr>
          <w:rFonts w:ascii="Arial" w:hAnsi="Arial" w:cs="Arial"/>
        </w:rPr>
        <w:t xml:space="preserve"> the visual cortex and a suppression of distracting information providing greater efficiency of processing </w:t>
      </w:r>
      <w:r w:rsidRPr="00225AB0">
        <w:rPr>
          <w:rFonts w:ascii="Arial" w:hAnsi="Arial" w:cs="Arial"/>
        </w:rPr>
        <w:fldChar w:fldCharType="begin"/>
      </w:r>
      <w:r w:rsidR="00321AB9">
        <w:rPr>
          <w:rFonts w:ascii="Arial" w:hAnsi="Arial" w:cs="Arial"/>
        </w:rPr>
        <w:instrText xml:space="preserve"> ADDIN ZOTERO_ITEM CSL_CITATION {"citationID":"zJgIFrfk","properties":{"formattedCitation":"(Martinez-Trujillo &amp; Treue, 2004; Serences et al., 2009)","plainCitation":"(Martinez-Trujillo &amp; Treue, 2004; Serences et al., 2009)","dontUpdate":true,"noteIndex":0},"citationItems":[{"id":101,"uris":["http://zotero.org/groups/318634/items/E8YBNNSR"],"uri":["http://zotero.org/groups/318634/items/E8YBNNSR"],"itemData":{"id":101,"type":"article-journal","title":"Feature-based attention increases the selectivity of population responses in primate visual cortex","container-title":"Current biology: CB","page":"744-751","volume":"14","issue":"9","source":"PubMed","abstract":"BACKGROUND: Attending to the spatial location or to nonspatial features of visual stimuli can modulate neuronal responses in primate visual cortex. The modulation by spatial attention changes the gain of sensory neurons and strengthens the representation of attended locations without changing neuronal selectivities such as directionality, i.e., the ratio of responses to preferred and anti-preferred directions of motion. Whether feature-based attention acts in a similar manner is unknown.\nRESULTS: To clarify this issue, we recorded the responses of 135 direction-selective neurons in the middle temporal area (MT) of two macaques to an unattended moving random dot pattern (the distractor) positioned inside a neuron's receptive field while the animals attended to a second moving pattern positioned in the opposite hemifield. Responses to different directions of the distractor were modulated by the same factor (approximately 12%) as long as the attended direction remained unchanged. On the other hand, systematically changing the attended direction from a neuron's preferred to its anti-preferred direction caused a systematic change of the attentional modulation from an enhancement to a suppression, increasing directionality by about 20%.\nCONCLUSIONS: The results show that (1) feature-based attention exerts a multiplicative modulation upon neuronal responses and that the strength of this modulation depends on the similarity between the attended feature and the cell's preferred feature, in line with the feature-similarity gain model, and (2) at the level of the neuronal population, feature-based attention increases the selectivity for attended features by increasing the responses of neurons preferring this feature value while decreasing responses of neurons tuned to the opposite feature value.","DOI":"10.1016/j.cub.2004.04.028","ISSN":"0960-9822","note":"PMID: 15120065","journalAbbreviation":"Curr. Biol.","language":"eng","author":[{"family":"Martinez-Trujillo","given":"Julio C."},{"family":"Treue","given":"Stefan"}],"issued":{"date-parts":[["2004",5,4]]}}},{"id":100,"uris":["http://zotero.org/groups/318634/items/WFK5FCIL"],"uri":["http://zotero.org/groups/318634/items/WFK5FCIL"],"itemData":{"id":100,"type":"article-journal","title":"Estimating the influence of attention on population codes in human visual cortex using voxel-based tuning functions","container-title":"NeuroImage","page":"223-231","volume":"44","issue":"1","source":"PubMed","abstract":"In order to form stable perceptual representations, populations of sensory neurons must pool their output to overcome physiological noise; selective attention is then required to ensure that behaviorally relevant stimuli dominate these 'population codes' to gain access to awareness. However, the role that attention plays in shaping population response profiles has received little direct investigation, in part because most traditional neurophysiological methods cannot simultaneously assess changes in activity across large populations of sensory neurons. Based on single-unit recording studies, current theories hold that attending to a relevant feature sharpens the population response profile and improves the signal-to-noise ratio of the resulting perceptual representation. Here, we test this hypothesis using fMRI and an analysis approach that is able to estimate the influence of feature-based attentional modulations on population response profiles. We first derive orientation tuning functions for single voxels in human primary visual cortex, and then use these tuning functions to sort voxels according to their orientation preference. We then show that selective attention systematically biases population response profiles so that behaviorally relevant stimuli are represented in the visual system at the expense of behaviorally irrelevant stimuli. Collectively, the present results (1) provide a new approach for precisely characterizing feature-selective responses in human sensory cortices and (2) reveal how behavioral goals can shape population response profiles to support the formation of coherent perceptual representations.","DOI":"10.1016/j.neuroimage.2008.07.043","ISSN":"1095-9572","note":"PMID: 18721888","journalAbbreviation":"Neuroimage","language":"eng","author":[{"family":"Serences","given":"John T."},{"family":"Saproo","given":"Sameer"},{"family":"Scolari","given":"Miranda"},{"family":"Ho","given":"Tiffany"},{"family":"Muftuler","given":"L. Tugan"}],"issued":{"date-parts":[["2009",1,1]]}}}],"schema":"https://github.com/citation-style-language/schema/raw/master/csl-citation.json"} </w:instrText>
      </w:r>
      <w:r w:rsidRPr="00225AB0">
        <w:rPr>
          <w:rFonts w:ascii="Arial" w:hAnsi="Arial" w:cs="Arial"/>
        </w:rPr>
        <w:fldChar w:fldCharType="separate"/>
      </w:r>
      <w:r w:rsidRPr="00225AB0">
        <w:rPr>
          <w:rFonts w:ascii="Arial" w:hAnsi="Arial" w:cs="Arial"/>
          <w:noProof/>
        </w:rPr>
        <w:t>(e.g. Martinez-Trujillo &amp; Treue, 2004; Serences et al., 2009)</w:t>
      </w:r>
      <w:r w:rsidRPr="00225AB0">
        <w:rPr>
          <w:rFonts w:ascii="Arial" w:hAnsi="Arial" w:cs="Arial"/>
        </w:rPr>
        <w:fldChar w:fldCharType="end"/>
      </w:r>
      <w:r w:rsidRPr="00225AB0">
        <w:rPr>
          <w:rFonts w:ascii="Arial" w:hAnsi="Arial" w:cs="Arial"/>
        </w:rPr>
        <w:t xml:space="preserve">. </w:t>
      </w:r>
    </w:p>
    <w:p w14:paraId="35556274" w14:textId="77777777" w:rsidR="000C73FA" w:rsidRPr="00225AB0" w:rsidRDefault="000C73FA" w:rsidP="000C73FA">
      <w:pPr>
        <w:spacing w:line="480" w:lineRule="auto"/>
        <w:rPr>
          <w:rFonts w:ascii="Arial" w:hAnsi="Arial" w:cs="Arial"/>
          <w:b/>
        </w:rPr>
      </w:pPr>
    </w:p>
    <w:p w14:paraId="27AEDDB3" w14:textId="7E7591E1" w:rsidR="000C73FA" w:rsidRDefault="000C73FA" w:rsidP="000C73FA">
      <w:pPr>
        <w:spacing w:line="480" w:lineRule="auto"/>
        <w:rPr>
          <w:rFonts w:ascii="Arial" w:hAnsi="Arial" w:cs="Arial"/>
        </w:rPr>
      </w:pPr>
      <w:r w:rsidRPr="00225AB0">
        <w:rPr>
          <w:rFonts w:ascii="Arial" w:hAnsi="Arial" w:cs="Arial"/>
        </w:rPr>
        <w:t xml:space="preserve">More precisely, attention is a form of gain control; allowing the visual system to efficiently process information over many orders of magnitude </w:t>
      </w:r>
      <w:r w:rsidR="00D44AC6">
        <w:rPr>
          <w:rFonts w:ascii="Arial" w:hAnsi="Arial" w:cs="Arial"/>
        </w:rPr>
        <w:t>in</w:t>
      </w:r>
      <w:r w:rsidRPr="00225AB0">
        <w:rPr>
          <w:rFonts w:ascii="Arial" w:hAnsi="Arial" w:cs="Arial"/>
        </w:rPr>
        <w:t xml:space="preserve"> a limited processing range </w:t>
      </w:r>
      <w:r w:rsidRPr="00225AB0">
        <w:rPr>
          <w:rFonts w:ascii="Arial" w:hAnsi="Arial" w:cs="Arial"/>
        </w:rPr>
        <w:fldChar w:fldCharType="begin"/>
      </w:r>
      <w:r w:rsidR="00321AB9">
        <w:rPr>
          <w:rFonts w:ascii="Arial" w:hAnsi="Arial" w:cs="Arial"/>
        </w:rPr>
        <w:instrText xml:space="preserve"> ADDIN ZOTERO_ITEM CSL_CITATION {"citationID":"cbfTeYIJ","properties":{"formattedCitation":"(Carandini &amp; Heeger, 2011)","plainCitation":"(Carandini &amp; Heeger, 2011)","noteIndex":0},"citationItems":[{"id":163,"uris":["http://zotero.org/groups/318634/items/4HC4P437"],"uri":["http://zotero.org/groups/318634/items/4HC4P437"],"itemData":{"id":163,"type":"article-journal","title":"Normalization as a canonical neural computation","container-title":"Nature Reviews. Neuroscience","page":"51-62","volume":"13","issue":"1","source":"PubMed","abstract":"There is increasing evidence that the brain relies on a set of canonical neural computations, repeating them across brain regions and modalities to apply similar operations to different problems. A promising candidate for such a computation is normalization, in which the responses of neurons are divided by a common factor that typically includes the summed activity of a pool of neurons. Normalization was developed to explain responses in the primary visual cortex and is now thought to operate throughout the visual system, and in many other sensory modalities and brain regions. Normalization may underlie operations such as the representation of odours, the modulatory effects of visual attention, the encoding of value and the integration of multisensory information. Its presence in such a diversity of neural systems in multiple species, from invertebrates to mammals, suggests that it serves as a canonical neural computation.","DOI":"10.1038/nrn3136","ISSN":"1471-0048","note":"PMID: 22108672\nPMCID: PMC3273486","journalAbbreviation":"Nat. Rev. Neurosci.","language":"eng","author":[{"family":"Carandini","given":"Matteo"},{"family":"Heeger","given":"David J."}],"issued":{"date-parts":[["2011",11,23]]}}}],"schema":"https://github.com/citation-style-language/schema/raw/master/csl-citation.json"} </w:instrText>
      </w:r>
      <w:r w:rsidRPr="00225AB0">
        <w:rPr>
          <w:rFonts w:ascii="Arial" w:hAnsi="Arial" w:cs="Arial"/>
        </w:rPr>
        <w:fldChar w:fldCharType="separate"/>
      </w:r>
      <w:r w:rsidRPr="00225AB0">
        <w:rPr>
          <w:rFonts w:ascii="Arial" w:hAnsi="Arial" w:cs="Arial"/>
          <w:noProof/>
        </w:rPr>
        <w:t>(Carandini &amp; Heeger, 2011)</w:t>
      </w:r>
      <w:r w:rsidRPr="00225AB0">
        <w:rPr>
          <w:rFonts w:ascii="Arial" w:hAnsi="Arial" w:cs="Arial"/>
        </w:rPr>
        <w:fldChar w:fldCharType="end"/>
      </w:r>
      <w:r w:rsidRPr="00225AB0">
        <w:rPr>
          <w:rFonts w:ascii="Arial" w:hAnsi="Arial" w:cs="Arial"/>
        </w:rPr>
        <w:t xml:space="preserve">. Attention reshapes the distribution of activity across populations of neurons, balancing relative levels of stimulus-specific excitation and suppression </w:t>
      </w:r>
      <w:r w:rsidRPr="00225AB0">
        <w:rPr>
          <w:rFonts w:ascii="Arial" w:hAnsi="Arial" w:cs="Arial"/>
        </w:rPr>
        <w:fldChar w:fldCharType="begin"/>
      </w:r>
      <w:r w:rsidR="00321AB9">
        <w:rPr>
          <w:rFonts w:ascii="Arial" w:hAnsi="Arial" w:cs="Arial"/>
        </w:rPr>
        <w:instrText xml:space="preserve"> ADDIN ZOTERO_ITEM CSL_CITATION {"citationID":"gGoO5b8v","properties":{"formattedCitation":"(Reynolds &amp; Heeger, 2009)","plainCitation":"(Reynolds &amp; Heeger, 2009)","noteIndex":0},"citationItems":[{"id":288,"uris":["http://zotero.org/groups/318634/items/P6NKWDK3"],"uri":["http://zotero.org/groups/318634/items/P6NKWDK3"],"itemData":{"id":288,"type":"article-journal","title":"The normalization model of attention","container-title":"Neuron","page":"168-185","volume":"61","issue":"2","abstract":"Attention has been found to have a wide variety of effects on the responses of neurons in visual cortex. We describe a model of attention that exhibits each of these different forms of attentional modulation, depending on the stimulus conditions and the spread (or selectivity) of the attention field in the model. The model helps reconcile proposals that have been taken to represent alternative theories of attention. We argue that the variety and complexity of the results reported in the literature emerge from the variety of empirical protocols that were used, such that the results observed in any one experiment depended on the stimulus conditions and the subject's attentional strategy, a notion that we define precisely in terms of the attention field in the model, but that has not typically been completely under experimental control.","DOI":"10.1016/j.neuron.2009.01.002","ISSN":"1097-4199 (Electronic)","language":"eng","author":[{"family":"Reynolds","given":"J H"},{"family":"Heeger","given":"D J"}],"issued":{"date-parts":[["2009"]]}}}],"schema":"https://github.com/citation-style-language/schema/raw/master/csl-citation.json"} </w:instrText>
      </w:r>
      <w:r w:rsidRPr="00225AB0">
        <w:rPr>
          <w:rFonts w:ascii="Arial" w:hAnsi="Arial" w:cs="Arial"/>
        </w:rPr>
        <w:fldChar w:fldCharType="separate"/>
      </w:r>
      <w:r w:rsidRPr="00225AB0">
        <w:rPr>
          <w:rFonts w:ascii="Arial" w:hAnsi="Arial" w:cs="Arial"/>
          <w:noProof/>
        </w:rPr>
        <w:t>(Reynolds &amp; Heeger, 2009)</w:t>
      </w:r>
      <w:r w:rsidRPr="00225AB0">
        <w:rPr>
          <w:rFonts w:ascii="Arial" w:hAnsi="Arial" w:cs="Arial"/>
        </w:rPr>
        <w:fldChar w:fldCharType="end"/>
      </w:r>
      <w:r w:rsidRPr="00225AB0">
        <w:rPr>
          <w:rFonts w:ascii="Arial" w:hAnsi="Arial" w:cs="Arial"/>
        </w:rPr>
        <w:t>. This response-reshaping is thought to be dependent on the stimulus and size of attentional field. Attention directed to a relatively small region of a large visual stimulus will elicit response gain changes in activation</w:t>
      </w:r>
      <w:r w:rsidR="00B32612">
        <w:rPr>
          <w:rFonts w:ascii="Arial" w:hAnsi="Arial" w:cs="Arial"/>
        </w:rPr>
        <w:t xml:space="preserve"> (multiplicative changes in the output level) </w:t>
      </w:r>
      <w:r w:rsidRPr="00225AB0">
        <w:rPr>
          <w:rFonts w:ascii="Arial" w:hAnsi="Arial" w:cs="Arial"/>
        </w:rPr>
        <w:t>, whereas a small stimulus with a relatively large region of attentional focus will produce contrast gain effects</w:t>
      </w:r>
      <w:r w:rsidR="00B32612">
        <w:rPr>
          <w:rFonts w:ascii="Arial" w:hAnsi="Arial" w:cs="Arial"/>
        </w:rPr>
        <w:t xml:space="preserve"> (changes in the apparent input level)</w:t>
      </w:r>
      <w:r w:rsidRPr="00225AB0">
        <w:rPr>
          <w:rFonts w:ascii="Arial" w:hAnsi="Arial" w:cs="Arial"/>
        </w:rPr>
        <w:t xml:space="preserve"> </w:t>
      </w:r>
      <w:r w:rsidRPr="00225AB0">
        <w:rPr>
          <w:rFonts w:ascii="Arial" w:hAnsi="Arial" w:cs="Arial"/>
        </w:rPr>
        <w:fldChar w:fldCharType="begin"/>
      </w:r>
      <w:r w:rsidR="00321AB9">
        <w:rPr>
          <w:rFonts w:ascii="Arial" w:hAnsi="Arial" w:cs="Arial"/>
        </w:rPr>
        <w:instrText xml:space="preserve"> ADDIN ZOTERO_ITEM CSL_CITATION {"citationID":"skNeQPcU","properties":{"formattedCitation":"(Herrmann, Montaser-Kouhsari, Carrasco, &amp; Heeger, 2010; Reynolds &amp; Heeger, 2009)","plainCitation":"(Herrmann, Montaser-Kouhsari, Carrasco, &amp; Heeger, 2010; Reynolds &amp; Heeger, 2009)","noteIndex":0},"citationItems":[{"id":162,"uris":["http://zotero.org/groups/318634/items/J3XIINA6"],"uri":["http://zotero.org/groups/318634/items/J3XIINA6"],"itemData":{"id":162,"type":"article-journal","title":"When size matters: attention affects performance by contrast or response gain","container-title":"Nature Neuroscience","page":"1554-1559","volume":"13","issue":"12","source":"PubMed","abstract":"Covert attention, the selective processing of visual information in the absence of eye movements, improves behavioral performance. We found that attention, both exogenous (involuntary) and endogenous (voluntary), can affect performance by contrast or response gain changes, depending on the stimulus size and the relative size of the attention field. These two variables were manipulated in a cueing task while stimulus contrast was varied. We observed a change in behavioral performance consonant with a change in contrast gain for small stimuli paired with spatial uncertainty and a change in response gain for large stimuli presented at one location (no uncertainty) and surrounded by irrelevant flanking distracters. A complementary neuroimaging experiment revealed that observers' attention fields were wider with than without spatial uncertainty. Our results support important predictions of the normalization model of attention and reconcile previous, seemingly contradictory findings on the effects of visual attention.","DOI":"10.1038/nn.2669","ISSN":"1546-1726","note":"PMID: 21057509\nPMCID: PMC3058765","title-short":"When size matters","journalAbbreviation":"Nat. Neurosci.","language":"eng","author":[{"family":"Herrmann","given":"Katrin"},{"family":"Montaser-Kouhsari","given":"Leila"},{"family":"Carrasco","given":"Marisa"},{"family":"Heeger","given":"David J."}],"issued":{"date-parts":[["2010",12]]}}},{"id":288,"uris":["http://zotero.org/groups/318634/items/P6NKWDK3"],"uri":["http://zotero.org/groups/318634/items/P6NKWDK3"],"itemData":{"id":288,"type":"article-journal","title":"The normalization model of attention","container-title":"Neuron","page":"168-185","volume":"61","issue":"2","abstract":"Attention has been found to have a wide variety of effects on the responses of neurons in visual cortex. We describe a model of attention that exhibits each of these different forms of attentional modulation, depending on the stimulus conditions and the spread (or selectivity) of the attention field in the model. The model helps reconcile proposals that have been taken to represent alternative theories of attention. We argue that the variety and complexity of the results reported in the literature emerge from the variety of empirical protocols that were used, such that the results observed in any one experiment depended on the stimulus conditions and the subject's attentional strategy, a notion that we define precisely in terms of the attention field in the model, but that has not typically been completely under experimental control.","DOI":"10.1016/j.neuron.2009.01.002","ISSN":"1097-4199 (Electronic)","language":"eng","author":[{"family":"Reynolds","given":"J H"},{"family":"Heeger","given":"D J"}],"issued":{"date-parts":[["2009"]]}}}],"schema":"https://github.com/citation-style-language/schema/raw/master/csl-citation.json"} </w:instrText>
      </w:r>
      <w:r w:rsidRPr="00225AB0">
        <w:rPr>
          <w:rFonts w:ascii="Arial" w:hAnsi="Arial" w:cs="Arial"/>
        </w:rPr>
        <w:fldChar w:fldCharType="separate"/>
      </w:r>
      <w:r w:rsidRPr="00225AB0">
        <w:rPr>
          <w:rFonts w:ascii="Arial" w:hAnsi="Arial" w:cs="Arial"/>
          <w:noProof/>
        </w:rPr>
        <w:t>(Herrmann, Montaser-Kouhsari, Carrasco, &amp; Heeger, 2010; Reynolds &amp; Heeger, 2009)</w:t>
      </w:r>
      <w:r w:rsidRPr="00225AB0">
        <w:rPr>
          <w:rFonts w:ascii="Arial" w:hAnsi="Arial" w:cs="Arial"/>
        </w:rPr>
        <w:fldChar w:fldCharType="end"/>
      </w:r>
      <w:r w:rsidR="00537E7A">
        <w:rPr>
          <w:rFonts w:ascii="Arial" w:hAnsi="Arial" w:cs="Arial"/>
        </w:rPr>
        <w:t xml:space="preserve"> (see Figure 1.4)</w:t>
      </w:r>
      <w:r w:rsidRPr="00225AB0">
        <w:rPr>
          <w:rFonts w:ascii="Arial" w:hAnsi="Arial" w:cs="Arial"/>
        </w:rPr>
        <w:t xml:space="preserve">. The effects of attentional modulation are also dependent upon the stimulus attended. Attention is a complex mechanism which does not simply up-regulate the activity of neurons responsive to a stimulus of attentional focus. Instead, attention optimises the gain of visual cortical neurons in a flexible and adaptive </w:t>
      </w:r>
      <w:r w:rsidRPr="00225AB0">
        <w:rPr>
          <w:rFonts w:ascii="Arial" w:hAnsi="Arial" w:cs="Arial"/>
        </w:rPr>
        <w:lastRenderedPageBreak/>
        <w:t xml:space="preserve">manner to enable efficient interaction with task-relevant aspects of a visual </w:t>
      </w:r>
      <w:r w:rsidR="0083451C">
        <w:rPr>
          <w:rFonts w:ascii="Arial" w:hAnsi="Arial" w:cs="Arial"/>
          <w:noProof/>
          <w:lang w:eastAsia="en-GB"/>
        </w:rPr>
        <mc:AlternateContent>
          <mc:Choice Requires="wps">
            <w:drawing>
              <wp:anchor distT="0" distB="0" distL="114300" distR="114300" simplePos="0" relativeHeight="251777024" behindDoc="0" locked="0" layoutInCell="1" allowOverlap="1" wp14:anchorId="7015859A" wp14:editId="25B5D421">
                <wp:simplePos x="0" y="0"/>
                <wp:positionH relativeFrom="column">
                  <wp:posOffset>-91440</wp:posOffset>
                </wp:positionH>
                <wp:positionV relativeFrom="paragraph">
                  <wp:posOffset>1472921</wp:posOffset>
                </wp:positionV>
                <wp:extent cx="5292000" cy="5915025"/>
                <wp:effectExtent l="0" t="0" r="0" b="0"/>
                <wp:wrapSquare wrapText="bothSides"/>
                <wp:docPr id="78" name="Text Box 78"/>
                <wp:cNvGraphicFramePr/>
                <a:graphic xmlns:a="http://schemas.openxmlformats.org/drawingml/2006/main">
                  <a:graphicData uri="http://schemas.microsoft.com/office/word/2010/wordprocessingShape">
                    <wps:wsp>
                      <wps:cNvSpPr txBox="1"/>
                      <wps:spPr>
                        <a:xfrm>
                          <a:off x="0" y="0"/>
                          <a:ext cx="5292000" cy="5915025"/>
                        </a:xfrm>
                        <a:prstGeom prst="rect">
                          <a:avLst/>
                        </a:prstGeom>
                        <a:noFill/>
                        <a:ln w="6350">
                          <a:noFill/>
                        </a:ln>
                      </wps:spPr>
                      <wps:txbx>
                        <w:txbxContent>
                          <w:p w14:paraId="043190D0" w14:textId="77777777" w:rsidR="00C93BE0" w:rsidRDefault="00C93BE0" w:rsidP="009F3085">
                            <w:pPr>
                              <w:keepNext/>
                              <w:jc w:val="center"/>
                            </w:pPr>
                            <w:r>
                              <w:rPr>
                                <w:noProof/>
                                <w:lang w:eastAsia="en-GB"/>
                              </w:rPr>
                              <w:drawing>
                                <wp:inline distT="0" distB="0" distL="0" distR="0" wp14:anchorId="70864AD6" wp14:editId="6AF1D898">
                                  <wp:extent cx="4706471" cy="4034118"/>
                                  <wp:effectExtent l="0" t="0" r="571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ure1.4-normalisation_model.jpg"/>
                                          <pic:cNvPicPr/>
                                        </pic:nvPicPr>
                                        <pic:blipFill>
                                          <a:blip r:embed="rId14">
                                            <a:extLst>
                                              <a:ext uri="{28A0092B-C50C-407E-A947-70E740481C1C}">
                                                <a14:useLocalDpi xmlns:a14="http://schemas.microsoft.com/office/drawing/2010/main" val="0"/>
                                              </a:ext>
                                            </a:extLst>
                                          </a:blip>
                                          <a:stretch>
                                            <a:fillRect/>
                                          </a:stretch>
                                        </pic:blipFill>
                                        <pic:spPr>
                                          <a:xfrm>
                                            <a:off x="0" y="0"/>
                                            <a:ext cx="4709548" cy="4036755"/>
                                          </a:xfrm>
                                          <a:prstGeom prst="rect">
                                            <a:avLst/>
                                          </a:prstGeom>
                                        </pic:spPr>
                                      </pic:pic>
                                    </a:graphicData>
                                  </a:graphic>
                                </wp:inline>
                              </w:drawing>
                            </w:r>
                          </w:p>
                          <w:p w14:paraId="7C8D3A93" w14:textId="77777777" w:rsidR="00C93BE0" w:rsidRDefault="00C93BE0" w:rsidP="009F3085">
                            <w:pPr>
                              <w:keepNext/>
                              <w:jc w:val="center"/>
                            </w:pPr>
                          </w:p>
                          <w:p w14:paraId="510D1063" w14:textId="2A1F3240" w:rsidR="00C93BE0" w:rsidRPr="00E70209" w:rsidRDefault="00C93BE0" w:rsidP="009F3085">
                            <w:pPr>
                              <w:spacing w:line="360" w:lineRule="auto"/>
                              <w:jc w:val="both"/>
                              <w:rPr>
                                <w:rFonts w:ascii="Arial" w:hAnsi="Arial" w:cs="Arial"/>
                              </w:rPr>
                            </w:pPr>
                            <w:bookmarkStart w:id="126" w:name="_Toc12363335"/>
                            <w:bookmarkStart w:id="127" w:name="_Toc16242692"/>
                            <w:r w:rsidRPr="00E70209">
                              <w:rPr>
                                <w:rFonts w:ascii="Arial" w:hAnsi="Arial" w:cs="Arial"/>
                                <w:b/>
                                <w:color w:val="000000" w:themeColor="text1"/>
                              </w:rPr>
                              <w:t xml:space="preserve">Figure </w:t>
                            </w:r>
                            <w:r>
                              <w:rPr>
                                <w:rFonts w:ascii="Arial" w:hAnsi="Arial" w:cs="Arial"/>
                                <w:b/>
                                <w:color w:val="000000" w:themeColor="text1"/>
                              </w:rPr>
                              <w:fldChar w:fldCharType="begin"/>
                            </w:r>
                            <w:r>
                              <w:rPr>
                                <w:rFonts w:ascii="Arial" w:hAnsi="Arial" w:cs="Arial"/>
                                <w:b/>
                                <w:color w:val="000000" w:themeColor="text1"/>
                              </w:rPr>
                              <w:instrText xml:space="preserve"> STYLEREF 1 \s </w:instrText>
                            </w:r>
                            <w:r>
                              <w:rPr>
                                <w:rFonts w:ascii="Arial" w:hAnsi="Arial" w:cs="Arial"/>
                                <w:b/>
                                <w:color w:val="000000" w:themeColor="text1"/>
                              </w:rPr>
                              <w:fldChar w:fldCharType="separate"/>
                            </w:r>
                            <w:r>
                              <w:rPr>
                                <w:rFonts w:ascii="Arial" w:hAnsi="Arial" w:cs="Arial"/>
                                <w:b/>
                                <w:noProof/>
                                <w:color w:val="000000" w:themeColor="text1"/>
                              </w:rPr>
                              <w:t>1</w:t>
                            </w:r>
                            <w:r>
                              <w:rPr>
                                <w:rFonts w:ascii="Arial" w:hAnsi="Arial" w:cs="Arial"/>
                                <w:b/>
                                <w:color w:val="000000" w:themeColor="text1"/>
                              </w:rPr>
                              <w:fldChar w:fldCharType="end"/>
                            </w:r>
                            <w:r>
                              <w:rPr>
                                <w:rFonts w:ascii="Arial" w:hAnsi="Arial" w:cs="Arial"/>
                                <w:b/>
                                <w:color w:val="000000" w:themeColor="text1"/>
                              </w:rPr>
                              <w:t>.</w:t>
                            </w:r>
                            <w:r>
                              <w:rPr>
                                <w:rFonts w:ascii="Arial" w:hAnsi="Arial" w:cs="Arial"/>
                                <w:b/>
                                <w:color w:val="000000" w:themeColor="text1"/>
                              </w:rPr>
                              <w:fldChar w:fldCharType="begin"/>
                            </w:r>
                            <w:r>
                              <w:rPr>
                                <w:rFonts w:ascii="Arial" w:hAnsi="Arial" w:cs="Arial"/>
                                <w:b/>
                                <w:color w:val="000000" w:themeColor="text1"/>
                              </w:rPr>
                              <w:instrText xml:space="preserve"> SEQ Figure \* ARABIC \s 1 </w:instrText>
                            </w:r>
                            <w:r>
                              <w:rPr>
                                <w:rFonts w:ascii="Arial" w:hAnsi="Arial" w:cs="Arial"/>
                                <w:b/>
                                <w:color w:val="000000" w:themeColor="text1"/>
                              </w:rPr>
                              <w:fldChar w:fldCharType="separate"/>
                            </w:r>
                            <w:r>
                              <w:rPr>
                                <w:rFonts w:ascii="Arial" w:hAnsi="Arial" w:cs="Arial"/>
                                <w:b/>
                                <w:noProof/>
                                <w:color w:val="000000" w:themeColor="text1"/>
                              </w:rPr>
                              <w:t>4</w:t>
                            </w:r>
                            <w:r>
                              <w:rPr>
                                <w:rFonts w:ascii="Arial" w:hAnsi="Arial" w:cs="Arial"/>
                                <w:b/>
                                <w:color w:val="000000" w:themeColor="text1"/>
                              </w:rPr>
                              <w:fldChar w:fldCharType="end"/>
                            </w:r>
                            <w:r w:rsidRPr="00E70209">
                              <w:rPr>
                                <w:rFonts w:ascii="Arial" w:hAnsi="Arial" w:cs="Arial"/>
                                <w:b/>
                                <w:color w:val="000000" w:themeColor="text1"/>
                              </w:rPr>
                              <w:t xml:space="preserve"> </w:t>
                            </w:r>
                            <w:r w:rsidRPr="00E70209">
                              <w:rPr>
                                <w:rFonts w:ascii="Arial" w:hAnsi="Arial" w:cs="Arial"/>
                                <w:color w:val="000000" w:themeColor="text1"/>
                              </w:rPr>
                              <w:t>The Normalisation Model of Attention. The interaction between stimulus size and the size of the attentional field alter the form of attentional modulation. A smaller stimulus with a large attentional focus will produce contrast gain effects (left), whereas a relatively smaller attentional focus with a larger stimulus elicits predominantly response gain effects</w:t>
                            </w:r>
                            <w:r>
                              <w:rPr>
                                <w:rFonts w:ascii="Arial" w:hAnsi="Arial" w:cs="Arial"/>
                                <w:color w:val="000000" w:themeColor="text1"/>
                              </w:rPr>
                              <w:t xml:space="preserve"> (right)</w:t>
                            </w:r>
                            <w:r w:rsidRPr="00E70209">
                              <w:rPr>
                                <w:rFonts w:ascii="Arial" w:hAnsi="Arial" w:cs="Arial"/>
                                <w:color w:val="000000" w:themeColor="text1"/>
                              </w:rPr>
                              <w:t xml:space="preserve"> </w:t>
                            </w:r>
                            <w:r w:rsidRPr="00E70209">
                              <w:rPr>
                                <w:rFonts w:ascii="Arial" w:hAnsi="Arial" w:cs="Arial"/>
                              </w:rPr>
                              <w:fldChar w:fldCharType="begin"/>
                            </w:r>
                            <w:r w:rsidRPr="00E70209">
                              <w:rPr>
                                <w:rFonts w:ascii="Arial" w:hAnsi="Arial" w:cs="Arial"/>
                              </w:rPr>
                              <w:instrText xml:space="preserve"> ADDIN ZOTERO_ITEM CSL_CITATION {"citationID":"PtTIN0PA","properties":{"formattedCitation":"(Reynolds &amp; Heeger, 2009)","plainCitation":"(Reynolds &amp; Heeger, 2009)","noteIndex":0},"citationItems":[{"id":12,"uris":["http://zotero.org/groups/318634/items/P6NKWDK3"],"uri":["http://zotero.org/groups/318634/items/P6NKWDK3"],"itemData":{"id":12,"type":"article-journal","title":"The normalization model of attention","container-title":"Neuron","page":"168-185","volume":"61","issue":"2","abstract":"Attention has been found to have a wide variety of effects on the responses of neurons in visual cortex. We describe a model of attention that exhibits each of these different forms of attentional modulation, depending on the stimulus conditions and the spread (or selectivity) of the attention field in the model. The model helps reconcile proposals that have been taken to represent alternative theories of attention. We argue that the variety and complexity of the results reported in the literature emerge from the variety of empirical protocols that were used, such that the results observed in any one experiment depended on the stimulus conditions and the subject's attentional strategy, a notion that we define precisely in terms of the attention field in the model, but that has not typically been completely under experimental control.","DOI":"10.1016/j.neuron.2009.01.002","ISSN":"1097-4199 (Electronic)","language":"eng","author":[{"family":"Reynolds","given":"J H"},{"family":"Heeger","given":"D J"}],"issued":{"date-parts":[["2009"]]}}}],"schema":"https://github.com/citation-style-language/schema/raw/master/csl-citation.json"} </w:instrText>
                            </w:r>
                            <w:r w:rsidRPr="00E70209">
                              <w:rPr>
                                <w:rFonts w:ascii="Arial" w:hAnsi="Arial" w:cs="Arial"/>
                              </w:rPr>
                              <w:fldChar w:fldCharType="separate"/>
                            </w:r>
                            <w:r w:rsidRPr="00E70209">
                              <w:rPr>
                                <w:rFonts w:ascii="Arial" w:hAnsi="Arial" w:cs="Arial"/>
                                <w:noProof/>
                              </w:rPr>
                              <w:t>(</w:t>
                            </w:r>
                            <w:r>
                              <w:rPr>
                                <w:rFonts w:ascii="Arial" w:hAnsi="Arial" w:cs="Arial"/>
                                <w:noProof/>
                              </w:rPr>
                              <w:t xml:space="preserve">Figure from </w:t>
                            </w:r>
                            <w:r w:rsidRPr="00E70209">
                              <w:rPr>
                                <w:rFonts w:ascii="Arial" w:hAnsi="Arial" w:cs="Arial"/>
                                <w:noProof/>
                              </w:rPr>
                              <w:t>Reynolds &amp; Heeger, 2009)</w:t>
                            </w:r>
                            <w:r w:rsidRPr="00E70209">
                              <w:rPr>
                                <w:rFonts w:ascii="Arial" w:hAnsi="Arial" w:cs="Arial"/>
                              </w:rPr>
                              <w:fldChar w:fldCharType="end"/>
                            </w:r>
                            <w:r>
                              <w:rPr>
                                <w:rFonts w:ascii="Arial" w:hAnsi="Arial" w:cs="Arial"/>
                              </w:rPr>
                              <w:t>.</w:t>
                            </w:r>
                            <w:bookmarkEnd w:id="126"/>
                            <w:bookmarkEnd w:id="127"/>
                          </w:p>
                          <w:p w14:paraId="7D3A90E2" w14:textId="77777777" w:rsidR="00C93BE0" w:rsidRDefault="00C93BE0" w:rsidP="009F3085">
                            <w:pPr>
                              <w:jc w:val="center"/>
                            </w:pPr>
                          </w:p>
                          <w:p w14:paraId="4AD53605"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5859A" id="Text Box 78" o:spid="_x0000_s1029" type="#_x0000_t202" style="position:absolute;margin-left:-7.2pt;margin-top:116pt;width:416.7pt;height:465.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" filled="f" stroked="f" strokeweight=".5pt">
                <v:textbox>
                  <w:txbxContent>
                    <w:p w14:paraId="043190D0" w14:textId="77777777" w:rsidR="00C93BE0" w:rsidRDefault="00C93BE0" w:rsidP="009F3085">
                      <w:pPr>
                        <w:keepNext/>
                        <w:jc w:val="center"/>
                      </w:pPr>
                      <w:r>
                        <w:rPr>
                          <w:noProof/>
                          <w:lang w:eastAsia="en-GB"/>
                        </w:rPr>
                        <w:drawing>
                          <wp:inline distT="0" distB="0" distL="0" distR="0" wp14:anchorId="70864AD6" wp14:editId="6AF1D898">
                            <wp:extent cx="4706471" cy="4034118"/>
                            <wp:effectExtent l="0" t="0" r="571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ure1.4-normalisation_model.jpg"/>
                                    <pic:cNvPicPr/>
                                  </pic:nvPicPr>
                                  <pic:blipFill>
                                    <a:blip r:embed="rId15">
                                      <a:extLst>
                                        <a:ext uri="{28A0092B-C50C-407E-A947-70E740481C1C}">
                                          <a14:useLocalDpi xmlns:a14="http://schemas.microsoft.com/office/drawing/2010/main" val="0"/>
                                        </a:ext>
                                      </a:extLst>
                                    </a:blip>
                                    <a:stretch>
                                      <a:fillRect/>
                                    </a:stretch>
                                  </pic:blipFill>
                                  <pic:spPr>
                                    <a:xfrm>
                                      <a:off x="0" y="0"/>
                                      <a:ext cx="4709548" cy="4036755"/>
                                    </a:xfrm>
                                    <a:prstGeom prst="rect">
                                      <a:avLst/>
                                    </a:prstGeom>
                                  </pic:spPr>
                                </pic:pic>
                              </a:graphicData>
                            </a:graphic>
                          </wp:inline>
                        </w:drawing>
                      </w:r>
                    </w:p>
                    <w:p w14:paraId="7C8D3A93" w14:textId="77777777" w:rsidR="00C93BE0" w:rsidRDefault="00C93BE0" w:rsidP="009F3085">
                      <w:pPr>
                        <w:keepNext/>
                        <w:jc w:val="center"/>
                      </w:pPr>
                    </w:p>
                    <w:p w14:paraId="510D1063" w14:textId="2A1F3240" w:rsidR="00C93BE0" w:rsidRPr="00E70209" w:rsidRDefault="00C93BE0" w:rsidP="009F3085">
                      <w:pPr>
                        <w:spacing w:line="360" w:lineRule="auto"/>
                        <w:jc w:val="both"/>
                        <w:rPr>
                          <w:rFonts w:ascii="Arial" w:hAnsi="Arial" w:cs="Arial"/>
                        </w:rPr>
                      </w:pPr>
                      <w:bookmarkStart w:id="132" w:name="_Toc12363335"/>
                      <w:bookmarkStart w:id="133" w:name="_Toc16242692"/>
                      <w:r w:rsidRPr="00E70209">
                        <w:rPr>
                          <w:rFonts w:ascii="Arial" w:hAnsi="Arial" w:cs="Arial"/>
                          <w:b/>
                          <w:color w:val="000000" w:themeColor="text1"/>
                        </w:rPr>
                        <w:t xml:space="preserve">Figure </w:t>
                      </w:r>
                      <w:r>
                        <w:rPr>
                          <w:rFonts w:ascii="Arial" w:hAnsi="Arial" w:cs="Arial"/>
                          <w:b/>
                          <w:color w:val="000000" w:themeColor="text1"/>
                        </w:rPr>
                        <w:fldChar w:fldCharType="begin"/>
                      </w:r>
                      <w:r>
                        <w:rPr>
                          <w:rFonts w:ascii="Arial" w:hAnsi="Arial" w:cs="Arial"/>
                          <w:b/>
                          <w:color w:val="000000" w:themeColor="text1"/>
                        </w:rPr>
                        <w:instrText xml:space="preserve"> STYLEREF 1 \s </w:instrText>
                      </w:r>
                      <w:r>
                        <w:rPr>
                          <w:rFonts w:ascii="Arial" w:hAnsi="Arial" w:cs="Arial"/>
                          <w:b/>
                          <w:color w:val="000000" w:themeColor="text1"/>
                        </w:rPr>
                        <w:fldChar w:fldCharType="separate"/>
                      </w:r>
                      <w:r>
                        <w:rPr>
                          <w:rFonts w:ascii="Arial" w:hAnsi="Arial" w:cs="Arial"/>
                          <w:b/>
                          <w:noProof/>
                          <w:color w:val="000000" w:themeColor="text1"/>
                        </w:rPr>
                        <w:t>1</w:t>
                      </w:r>
                      <w:r>
                        <w:rPr>
                          <w:rFonts w:ascii="Arial" w:hAnsi="Arial" w:cs="Arial"/>
                          <w:b/>
                          <w:color w:val="000000" w:themeColor="text1"/>
                        </w:rPr>
                        <w:fldChar w:fldCharType="end"/>
                      </w:r>
                      <w:r>
                        <w:rPr>
                          <w:rFonts w:ascii="Arial" w:hAnsi="Arial" w:cs="Arial"/>
                          <w:b/>
                          <w:color w:val="000000" w:themeColor="text1"/>
                        </w:rPr>
                        <w:t>.</w:t>
                      </w:r>
                      <w:r>
                        <w:rPr>
                          <w:rFonts w:ascii="Arial" w:hAnsi="Arial" w:cs="Arial"/>
                          <w:b/>
                          <w:color w:val="000000" w:themeColor="text1"/>
                        </w:rPr>
                        <w:fldChar w:fldCharType="begin"/>
                      </w:r>
                      <w:r>
                        <w:rPr>
                          <w:rFonts w:ascii="Arial" w:hAnsi="Arial" w:cs="Arial"/>
                          <w:b/>
                          <w:color w:val="000000" w:themeColor="text1"/>
                        </w:rPr>
                        <w:instrText xml:space="preserve"> SEQ Figure \* ARABIC \s 1 </w:instrText>
                      </w:r>
                      <w:r>
                        <w:rPr>
                          <w:rFonts w:ascii="Arial" w:hAnsi="Arial" w:cs="Arial"/>
                          <w:b/>
                          <w:color w:val="000000" w:themeColor="text1"/>
                        </w:rPr>
                        <w:fldChar w:fldCharType="separate"/>
                      </w:r>
                      <w:r>
                        <w:rPr>
                          <w:rFonts w:ascii="Arial" w:hAnsi="Arial" w:cs="Arial"/>
                          <w:b/>
                          <w:noProof/>
                          <w:color w:val="000000" w:themeColor="text1"/>
                        </w:rPr>
                        <w:t>4</w:t>
                      </w:r>
                      <w:r>
                        <w:rPr>
                          <w:rFonts w:ascii="Arial" w:hAnsi="Arial" w:cs="Arial"/>
                          <w:b/>
                          <w:color w:val="000000" w:themeColor="text1"/>
                        </w:rPr>
                        <w:fldChar w:fldCharType="end"/>
                      </w:r>
                      <w:r w:rsidRPr="00E70209">
                        <w:rPr>
                          <w:rFonts w:ascii="Arial" w:hAnsi="Arial" w:cs="Arial"/>
                          <w:b/>
                          <w:color w:val="000000" w:themeColor="text1"/>
                        </w:rPr>
                        <w:t xml:space="preserve"> </w:t>
                      </w:r>
                      <w:r w:rsidRPr="00E70209">
                        <w:rPr>
                          <w:rFonts w:ascii="Arial" w:hAnsi="Arial" w:cs="Arial"/>
                          <w:color w:val="000000" w:themeColor="text1"/>
                        </w:rPr>
                        <w:t>The Normalisation Model of Attention. The interaction between stimulus size and the size of the attentional field alter the form of attentional modulation. A smaller stimulus with a large attentional focus will produce contrast gain effects (left), whereas a relatively smaller attentional focus with a larger stimulus elicits predominantly response gain effects</w:t>
                      </w:r>
                      <w:r>
                        <w:rPr>
                          <w:rFonts w:ascii="Arial" w:hAnsi="Arial" w:cs="Arial"/>
                          <w:color w:val="000000" w:themeColor="text1"/>
                        </w:rPr>
                        <w:t xml:space="preserve"> (right)</w:t>
                      </w:r>
                      <w:r w:rsidRPr="00E70209">
                        <w:rPr>
                          <w:rFonts w:ascii="Arial" w:hAnsi="Arial" w:cs="Arial"/>
                          <w:color w:val="000000" w:themeColor="text1"/>
                        </w:rPr>
                        <w:t xml:space="preserve"> </w:t>
                      </w:r>
                      <w:r w:rsidRPr="00E70209">
                        <w:rPr>
                          <w:rFonts w:ascii="Arial" w:hAnsi="Arial" w:cs="Arial"/>
                        </w:rPr>
                        <w:fldChar w:fldCharType="begin"/>
                      </w:r>
                      <w:r w:rsidRPr="00E70209">
                        <w:rPr>
                          <w:rFonts w:ascii="Arial" w:hAnsi="Arial" w:cs="Arial"/>
                        </w:rPr>
                        <w:instrText xml:space="preserve"> ADDIN ZOTERO_ITEM CSL_CITATION {"citationID":"PtTIN0PA","properties":{"formattedCitation":"(Reynolds &amp; Heeger, 2009)","plainCitation":"(Reynolds &amp; Heeger, 2009)","noteIndex":0},"citationItems":[{"id":12,"uris":["http://zotero.org/groups/318634/items/P6NKWDK3"],"uri":["http://zotero.org/groups/318634/items/P6NKWDK3"],"itemData":{"id":12,"type":"article-journal","title":"The normalization model of attention","container-title":"Neuron","page":"168-185","volume":"61","issue":"2","abstract":"Attention has been found to have a wide variety of effects on the responses of neurons in visual cortex. We describe a model of attention that exhibits each of these different forms of attentional modulation, depending on the stimulus conditions and the spread (or selectivity) of the attention field in the model. The model helps reconcile proposals that have been taken to represent alternative theories of attention. We argue that the variety and complexity of the results reported in the literature emerge from the variety of empirical protocols that were used, such that the results observed in any one experiment depended on the stimulus conditions and the subject's attentional strategy, a notion that we define precisely in terms of the attention field in the model, but that has not typically been completely under experimental control.","DOI":"10.1016/j.neuron.2009.01.002","ISSN":"1097-4199 (Electronic)","language":"eng","author":[{"family":"Reynolds","given":"J H"},{"family":"Heeger","given":"D J"}],"issued":{"date-parts":[["2009"]]}}}],"schema":"https://github.com/citation-style-language/schema/raw/master/csl-citation.json"} </w:instrText>
                      </w:r>
                      <w:r w:rsidRPr="00E70209">
                        <w:rPr>
                          <w:rFonts w:ascii="Arial" w:hAnsi="Arial" w:cs="Arial"/>
                        </w:rPr>
                        <w:fldChar w:fldCharType="separate"/>
                      </w:r>
                      <w:r w:rsidRPr="00E70209">
                        <w:rPr>
                          <w:rFonts w:ascii="Arial" w:hAnsi="Arial" w:cs="Arial"/>
                          <w:noProof/>
                        </w:rPr>
                        <w:t>(</w:t>
                      </w:r>
                      <w:r>
                        <w:rPr>
                          <w:rFonts w:ascii="Arial" w:hAnsi="Arial" w:cs="Arial"/>
                          <w:noProof/>
                        </w:rPr>
                        <w:t xml:space="preserve">Figure from </w:t>
                      </w:r>
                      <w:r w:rsidRPr="00E70209">
                        <w:rPr>
                          <w:rFonts w:ascii="Arial" w:hAnsi="Arial" w:cs="Arial"/>
                          <w:noProof/>
                        </w:rPr>
                        <w:t>Reynolds &amp; Heeger, 2009)</w:t>
                      </w:r>
                      <w:r w:rsidRPr="00E70209">
                        <w:rPr>
                          <w:rFonts w:ascii="Arial" w:hAnsi="Arial" w:cs="Arial"/>
                        </w:rPr>
                        <w:fldChar w:fldCharType="end"/>
                      </w:r>
                      <w:r>
                        <w:rPr>
                          <w:rFonts w:ascii="Arial" w:hAnsi="Arial" w:cs="Arial"/>
                        </w:rPr>
                        <w:t>.</w:t>
                      </w:r>
                      <w:bookmarkEnd w:id="132"/>
                      <w:bookmarkEnd w:id="133"/>
                    </w:p>
                    <w:p w14:paraId="7D3A90E2" w14:textId="77777777" w:rsidR="00C93BE0" w:rsidRDefault="00C93BE0" w:rsidP="009F3085">
                      <w:pPr>
                        <w:jc w:val="center"/>
                      </w:pPr>
                    </w:p>
                    <w:p w14:paraId="4AD53605" w14:textId="77777777" w:rsidR="00C93BE0" w:rsidRDefault="00C93BE0" w:rsidP="009F3085">
                      <w:pPr>
                        <w:jc w:val="center"/>
                      </w:pPr>
                    </w:p>
                  </w:txbxContent>
                </v:textbox>
                <w10:wrap type="square"/>
              </v:shape>
            </w:pict>
          </mc:Fallback>
        </mc:AlternateContent>
      </w:r>
      <w:r w:rsidRPr="00225AB0">
        <w:rPr>
          <w:rFonts w:ascii="Arial" w:hAnsi="Arial" w:cs="Arial"/>
        </w:rPr>
        <w:t xml:space="preserve">stimulus </w:t>
      </w:r>
      <w:r w:rsidRPr="00225AB0">
        <w:rPr>
          <w:rFonts w:ascii="Arial" w:hAnsi="Arial" w:cs="Arial"/>
        </w:rPr>
        <w:fldChar w:fldCharType="begin"/>
      </w:r>
      <w:r w:rsidR="00321AB9">
        <w:rPr>
          <w:rFonts w:ascii="Arial" w:hAnsi="Arial" w:cs="Arial"/>
        </w:rPr>
        <w:instrText xml:space="preserve"> ADDIN ZOTERO_ITEM CSL_CITATION {"citationID":"QaBHVRA7","properties":{"formattedCitation":"(Carrasco, 2011)","plainCitation":"(Carrasco, 2011)","noteIndex":0},"citationItems":[{"id":161,"uris":["http://zotero.org/groups/318634/items/HMKRM9UH"],"uri":["http://zotero.org/groups/318634/items/HMKRM9UH"],"itemData":{"id":161,"type":"article-journal","title":"Visual attention: The past 25 years","container-title":"Vision Research","page":"1484-1525","volume":"51","issue":"13","source":"PubMed Central","abstract":"This review focuses on covert attention and how it alters early vision. I explain why attention is considered a selective process, the constructs of covert attention, spatial endogenous and exogenous attention, and feature-based attention. I explain how in the last 25 years research on attention has characterized the effects of covert attention on spatial filters and how attention influences the selection of stimuli of interest. This review includes the effects of spatial attention on discriminability and appearance in tasks mediated by contrast sensitivity and spatial resolution; the effects of feature-based attention on basic visual processes, and a comparison of the effects of spatial and feature-based attention. The emphasis of this review is on psychophysical studies, but relevant electrophysiological and neuroimaging studies and models regarding how and where neuronal responses are modulated are also discussed.","DOI":"10.1016/j.visres.2011.04.012","ISSN":"0042-6989","note":"PMID: 21549742\nPMCID: PMC3390154","title-short":"Visual attention","journalAbbreviation":"Vision Res","author":[{"family":"Carrasco","given":"Marisa"}],"issued":{"date-parts":[["2011",7,1]]}}}],"schema":"https://github.com/citation-style-language/schema/raw/master/csl-citation.json"} </w:instrText>
      </w:r>
      <w:r w:rsidRPr="00225AB0">
        <w:rPr>
          <w:rFonts w:ascii="Arial" w:hAnsi="Arial" w:cs="Arial"/>
        </w:rPr>
        <w:fldChar w:fldCharType="separate"/>
      </w:r>
      <w:r w:rsidRPr="00225AB0">
        <w:rPr>
          <w:rFonts w:ascii="Arial" w:hAnsi="Arial" w:cs="Arial"/>
          <w:noProof/>
        </w:rPr>
        <w:t>(Carrasco, 2011)</w:t>
      </w:r>
      <w:r w:rsidRPr="00225AB0">
        <w:rPr>
          <w:rFonts w:ascii="Arial" w:hAnsi="Arial" w:cs="Arial"/>
        </w:rPr>
        <w:fldChar w:fldCharType="end"/>
      </w:r>
      <w:r w:rsidRPr="00225AB0">
        <w:rPr>
          <w:rFonts w:ascii="Arial" w:hAnsi="Arial" w:cs="Arial"/>
        </w:rPr>
        <w:t xml:space="preserve">.  </w:t>
      </w:r>
    </w:p>
    <w:p w14:paraId="7DAE78AF" w14:textId="0B82E019" w:rsidR="00517F75" w:rsidRPr="00225AB0" w:rsidRDefault="00517F75" w:rsidP="000C73FA">
      <w:pPr>
        <w:spacing w:line="480" w:lineRule="auto"/>
        <w:rPr>
          <w:rFonts w:ascii="Arial" w:hAnsi="Arial" w:cs="Arial"/>
        </w:rPr>
      </w:pPr>
    </w:p>
    <w:p w14:paraId="2958C664" w14:textId="1BADFC8B" w:rsidR="000C73FA" w:rsidRPr="00225AB0" w:rsidRDefault="000C73FA" w:rsidP="001811CC">
      <w:pPr>
        <w:pStyle w:val="Heading3"/>
        <w:numPr>
          <w:ilvl w:val="2"/>
          <w:numId w:val="2"/>
        </w:numPr>
        <w:rPr>
          <w:rFonts w:ascii="Arial" w:hAnsi="Arial" w:cs="Arial"/>
          <w:b/>
          <w:i/>
          <w:color w:val="000000" w:themeColor="text1"/>
          <w:sz w:val="28"/>
          <w:szCs w:val="28"/>
        </w:rPr>
      </w:pPr>
      <w:bookmarkStart w:id="128" w:name="_Toc11147958"/>
      <w:bookmarkStart w:id="129" w:name="_Toc11153904"/>
      <w:bookmarkStart w:id="130" w:name="_Toc11753610"/>
      <w:bookmarkStart w:id="131" w:name="_Toc11926796"/>
      <w:bookmarkStart w:id="132" w:name="_Toc11930029"/>
      <w:bookmarkStart w:id="133" w:name="_Toc16075345"/>
      <w:bookmarkStart w:id="134" w:name="_Toc16236968"/>
      <w:r w:rsidRPr="00225AB0">
        <w:rPr>
          <w:rFonts w:ascii="Arial" w:hAnsi="Arial" w:cs="Arial"/>
          <w:b/>
          <w:i/>
          <w:color w:val="000000" w:themeColor="text1"/>
          <w:sz w:val="28"/>
          <w:szCs w:val="28"/>
        </w:rPr>
        <w:t>Spatial attention</w:t>
      </w:r>
      <w:bookmarkEnd w:id="128"/>
      <w:bookmarkEnd w:id="129"/>
      <w:bookmarkEnd w:id="130"/>
      <w:bookmarkEnd w:id="131"/>
      <w:bookmarkEnd w:id="132"/>
      <w:bookmarkEnd w:id="133"/>
      <w:bookmarkEnd w:id="134"/>
    </w:p>
    <w:p w14:paraId="4DBFA4B2" w14:textId="77777777" w:rsidR="00A42D48" w:rsidRPr="00225AB0" w:rsidRDefault="00A42D48" w:rsidP="00A42D48">
      <w:pPr>
        <w:pStyle w:val="ListParagraph"/>
        <w:rPr>
          <w:rFonts w:ascii="Arial" w:hAnsi="Arial" w:cs="Arial"/>
        </w:rPr>
      </w:pPr>
    </w:p>
    <w:p w14:paraId="4C1E2D9C" w14:textId="19207087" w:rsidR="00611A83" w:rsidRDefault="000C73FA" w:rsidP="000C73FA">
      <w:pPr>
        <w:spacing w:line="480" w:lineRule="auto"/>
        <w:rPr>
          <w:rFonts w:ascii="Arial" w:hAnsi="Arial" w:cs="Arial"/>
        </w:rPr>
      </w:pPr>
      <w:r w:rsidRPr="00225AB0">
        <w:rPr>
          <w:rFonts w:ascii="Arial" w:hAnsi="Arial" w:cs="Arial"/>
        </w:rPr>
        <w:t xml:space="preserve">Attention can be directed towards many aspects of a visual stimulus. </w:t>
      </w:r>
      <w:r w:rsidR="00D44AC6">
        <w:rPr>
          <w:rFonts w:ascii="Arial" w:hAnsi="Arial" w:cs="Arial"/>
        </w:rPr>
        <w:t>In</w:t>
      </w:r>
      <w:r w:rsidRPr="00225AB0">
        <w:rPr>
          <w:rFonts w:ascii="Arial" w:hAnsi="Arial" w:cs="Arial"/>
        </w:rPr>
        <w:t xml:space="preserve"> past research, spatial attention was most commonly studied. This is typically referred to as a ‘spotlight’ of focus we apply to a visual scene </w:t>
      </w:r>
      <w:r w:rsidRPr="00225AB0">
        <w:rPr>
          <w:rFonts w:ascii="Arial" w:hAnsi="Arial" w:cs="Arial"/>
        </w:rPr>
        <w:fldChar w:fldCharType="begin"/>
      </w:r>
      <w:r w:rsidR="00EA4EBE">
        <w:rPr>
          <w:rFonts w:ascii="Arial" w:hAnsi="Arial" w:cs="Arial"/>
        </w:rPr>
        <w:instrText xml:space="preserve"> ADDIN ZOTERO_ITEM CSL_CITATION {"citationID":"ukcc5iLQ","properties":{"formattedCitation":"(M. I. Posner, Snyder, &amp; Davidson, 1980)","plainCitation":"(M. I. Posner, Snyder, &amp; Davidson, 1980)","noteIndex":0},"citationItems":[{"id":234,"uris":["http://zotero.org/groups/318634/items/D52XHSBT"],"uri":["http://zotero.org/groups/318634/items/D52XHSBT"],"itemData":{"id":234,"type":"article-journal","title":"Attention and the detection of signals","container-title":"Journal of Experimental Psychology","page":"160-174","volume":"109","issue":"2","source":"PubMed","abstract":"Detection of a visual signal requires information to reach a system capable of eliciting arbitrary responses required by the experimenter. Detection latencies are reduced when subjects receive a cue that indicates where in the visual field the signal will occur. This shift in efficiency appears to be due to an alignment (orienting) of the central attentional system with the pathways to be activated by the visual input. It would also be possible to describe these results as being due to a reduced criterion at the expected target position. However, this description ignores important constraints about the way in which expectancy improves performance. First, when subjects are cued on each trial, they show stronger expectancy effects than when a probable position is held constant for a block, indicating the active nature of the expectancy. Second, while information on spatial position improves performance, information on the form of the stimulus does not. Third, expectancy may lead to improvements in latency without a reduction in accuracy. Fourth, there appears to be little ability to lower the criterion at two positions that are not spatially contiguous. A framework involving the employment of a limited-capacity attentional mechanism seems to capture these constraints better than the more general language of criterion setting. Using this framework, we find that attention shifts are not closely related to the saccadic eye movement system. For luminance detection the retina appears to be equipotential with respect to attention shifts, since costs to unexpected stimuli are similar whether foveal or peripheral. These results appear to provide an important model system for the study of the relationship between attention and the structure of the visual system.","ISSN":"0022-1015","note":"PMID: 7381367","journalAbbreviation":"J Exp Psychol","language":"eng","author":[{"family":"Posner","given":"M. I."},{"family":"Snyder","given":"C. R."},{"family":"Davidson","given":"B. J."}],"issued":{"date-parts":[["1980",6]]}}}],"schema":"https://github.com/citation-style-language/schema/raw/master/csl-citation.json"} </w:instrText>
      </w:r>
      <w:r w:rsidRPr="00225AB0">
        <w:rPr>
          <w:rFonts w:ascii="Arial" w:hAnsi="Arial" w:cs="Arial"/>
        </w:rPr>
        <w:fldChar w:fldCharType="separate"/>
      </w:r>
      <w:r w:rsidR="00EA4EBE" w:rsidRPr="00170639">
        <w:rPr>
          <w:rFonts w:ascii="Arial" w:hAnsi="Arial" w:cs="Arial"/>
          <w:noProof/>
        </w:rPr>
        <w:t>(</w:t>
      </w:r>
      <w:r w:rsidR="00EA4EBE" w:rsidRPr="001B7359">
        <w:rPr>
          <w:rFonts w:ascii="Arial" w:hAnsi="Arial" w:cs="Arial"/>
          <w:noProof/>
        </w:rPr>
        <w:t>Pos</w:t>
      </w:r>
      <w:r w:rsidR="00EA4EBE">
        <w:rPr>
          <w:rFonts w:ascii="Arial" w:hAnsi="Arial" w:cs="Arial"/>
          <w:noProof/>
        </w:rPr>
        <w:t>ner, Snyder, &amp; Davidson, 1980)</w:t>
      </w:r>
      <w:r w:rsidRPr="00225AB0">
        <w:rPr>
          <w:rFonts w:ascii="Arial" w:hAnsi="Arial" w:cs="Arial"/>
        </w:rPr>
        <w:fldChar w:fldCharType="end"/>
      </w:r>
      <w:r w:rsidRPr="00225AB0">
        <w:rPr>
          <w:rFonts w:ascii="Arial" w:hAnsi="Arial" w:cs="Arial"/>
        </w:rPr>
        <w:t xml:space="preserve">. Spatial attention refers to directing focus towards a particular location in visual space. A multitude of techniques have been </w:t>
      </w:r>
      <w:r w:rsidRPr="00225AB0">
        <w:rPr>
          <w:rFonts w:ascii="Arial" w:hAnsi="Arial" w:cs="Arial"/>
        </w:rPr>
        <w:lastRenderedPageBreak/>
        <w:t xml:space="preserve">used to demonstrate spatial attention can modulate activity </w:t>
      </w:r>
      <w:r w:rsidR="00D44AC6">
        <w:rPr>
          <w:rFonts w:ascii="Arial" w:hAnsi="Arial" w:cs="Arial"/>
        </w:rPr>
        <w:t>in</w:t>
      </w:r>
      <w:r w:rsidRPr="00225AB0">
        <w:rPr>
          <w:rFonts w:ascii="Arial" w:hAnsi="Arial" w:cs="Arial"/>
        </w:rPr>
        <w:t xml:space="preserve"> the visual cortex. For example, </w:t>
      </w:r>
      <w:r w:rsidRPr="00225AB0">
        <w:rPr>
          <w:rFonts w:ascii="Arial" w:hAnsi="Arial" w:cs="Arial"/>
        </w:rPr>
        <w:fldChar w:fldCharType="begin"/>
      </w:r>
      <w:r w:rsidR="00321AB9">
        <w:rPr>
          <w:rFonts w:ascii="Arial" w:hAnsi="Arial" w:cs="Arial"/>
        </w:rPr>
        <w:instrText xml:space="preserve"> ADDIN ZOTERO_ITEM CSL_CITATION {"citationID":"BvAEZE2v","properties":{"formattedCitation":"(Tootell et al., 1998)","plainCitation":"(Tootell et al., 1998)","dontUpdate":true,"noteIndex":0},"citationItems":[{"id":"9GXKD9A2/UWqnPNV6","uris":["http://zotero.org/users/2260738/items/MRDAMBI5"],"uri":["http://zotero.org/users/2260738/items/MRDAMBI5"],"itemData":{"id":152,"type":"article-journal","title":"The retinotopy of visual spatial attention","container-title":"Neuron","page":"1409–1422","volume":"21","issue":"6","source":"Google Scholar","author":[{"family":"Tootell","given":"Roger BH"},{"family":"Hadjikhani","given":"Nouchine"},{"family":"Hall","given":"E. Kevin"},{"family":"Marrett","given":"Sean"},{"family":"Vanduffel","given":"Wim"},{"family":"Vaughan","given":"J. Thomas"},{"family":"Dale","given":"Anders M."}],"issued":{"date-parts":[["1998"]]}}}],"schema":"https://github.com/citation-style-language/schema/raw/master/csl-citation.json"} </w:instrText>
      </w:r>
      <w:r w:rsidRPr="00225AB0">
        <w:rPr>
          <w:rFonts w:ascii="Arial" w:hAnsi="Arial" w:cs="Arial"/>
        </w:rPr>
        <w:fldChar w:fldCharType="separate"/>
      </w:r>
      <w:r w:rsidRPr="00225AB0">
        <w:rPr>
          <w:rFonts w:ascii="Arial" w:hAnsi="Arial" w:cs="Arial"/>
          <w:noProof/>
        </w:rPr>
        <w:t>Tootell et al., (1998)</w:t>
      </w:r>
      <w:r w:rsidRPr="00225AB0">
        <w:rPr>
          <w:rFonts w:ascii="Arial" w:hAnsi="Arial" w:cs="Arial"/>
        </w:rPr>
        <w:fldChar w:fldCharType="end"/>
      </w:r>
      <w:r w:rsidRPr="00225AB0">
        <w:rPr>
          <w:rFonts w:ascii="Arial" w:hAnsi="Arial" w:cs="Arial"/>
        </w:rPr>
        <w:t xml:space="preserve"> used fMRI to identify </w:t>
      </w:r>
      <w:r w:rsidR="005A21A4">
        <w:rPr>
          <w:rFonts w:ascii="Arial" w:hAnsi="Arial" w:cs="Arial"/>
        </w:rPr>
        <w:t>increases</w:t>
      </w:r>
      <w:r w:rsidRPr="00225AB0">
        <w:rPr>
          <w:rFonts w:ascii="Arial" w:hAnsi="Arial" w:cs="Arial"/>
        </w:rPr>
        <w:t xml:space="preserve"> in response at cortical representations of an attended visual target across multiple low-level visual areas. Similar research has identified that when two stimuli are presented simultaneously </w:t>
      </w:r>
      <w:r w:rsidR="00D44AC6">
        <w:rPr>
          <w:rFonts w:ascii="Arial" w:hAnsi="Arial" w:cs="Arial"/>
        </w:rPr>
        <w:t>in</w:t>
      </w:r>
      <w:r w:rsidRPr="00225AB0">
        <w:rPr>
          <w:rFonts w:ascii="Arial" w:hAnsi="Arial" w:cs="Arial"/>
        </w:rPr>
        <w:t xml:space="preserve"> a cells receptive field (measured in macaque V4), the neuronal response is strongly modulated by which of the two stimuli was attended </w:t>
      </w:r>
      <w:r w:rsidRPr="00225AB0">
        <w:rPr>
          <w:rFonts w:ascii="Arial" w:hAnsi="Arial" w:cs="Arial"/>
        </w:rPr>
        <w:fldChar w:fldCharType="begin"/>
      </w:r>
      <w:r w:rsidR="00321AB9">
        <w:rPr>
          <w:rFonts w:ascii="Arial" w:hAnsi="Arial" w:cs="Arial"/>
        </w:rPr>
        <w:instrText xml:space="preserve"> ADDIN ZOTERO_ITEM CSL_CITATION {"citationID":"7WpwWKtr","properties":{"formattedCitation":"(Moran &amp; Desimone, 1985)","plainCitation":"(Moran &amp; Desimone, 1985)","noteIndex":0},"citationItems":[{"id":160,"uris":["http://zotero.org/groups/318634/items/7JVFQMGH"],"uri":["http://zotero.org/groups/318634/items/7JVFQMGH"],"itemData":{"id":160,"type":"article-journal","title":"Selective attention gates visual processing in the extrastriate cortex","container-title":"Science (New York, N.Y.)","page":"782-784","volume":"229","issue":"4715","source":"PubMed","abstract":"Single cells were recorded in the visual cortex of monkeys trained to attend to stimuli at one location in the visual field and ignore stimuli at another. When both locations were within the receptive field of a cell in prestriate area V4 or the inferior temporal cortex, the response to the unattended stimulus was dramatically reduced. Cells in the striate cortex were unaffected by attention. The filtering of irrelevant information from the receptive fields of extrastriate neurons may underlie the ability to identify and remember the properties of a particular object out of the many that may be represented on the retina.","ISSN":"0036-8075","note":"PMID: 4023713","journalAbbreviation":"Science","language":"eng","author":[{"family":"Moran","given":"J."},{"family":"Desimone","given":"R."}],"issued":{"date-parts":[["1985",8,23]]}}}],"schema":"https://github.com/citation-style-language/schema/raw/master/csl-citation.json"} </w:instrText>
      </w:r>
      <w:r w:rsidRPr="00225AB0">
        <w:rPr>
          <w:rFonts w:ascii="Arial" w:hAnsi="Arial" w:cs="Arial"/>
        </w:rPr>
        <w:fldChar w:fldCharType="separate"/>
      </w:r>
      <w:r w:rsidRPr="00225AB0">
        <w:rPr>
          <w:rFonts w:ascii="Arial" w:hAnsi="Arial" w:cs="Arial"/>
          <w:noProof/>
        </w:rPr>
        <w:t>(Moran &amp; Desimone, 1985)</w:t>
      </w:r>
      <w:r w:rsidRPr="00225AB0">
        <w:rPr>
          <w:rFonts w:ascii="Arial" w:hAnsi="Arial" w:cs="Arial"/>
        </w:rPr>
        <w:fldChar w:fldCharType="end"/>
      </w:r>
      <w:r w:rsidRPr="00225AB0">
        <w:rPr>
          <w:rFonts w:ascii="Arial" w:hAnsi="Arial" w:cs="Arial"/>
        </w:rPr>
        <w:t xml:space="preserve">. </w:t>
      </w:r>
    </w:p>
    <w:p w14:paraId="3CC8978F" w14:textId="77777777" w:rsidR="00611A83" w:rsidRDefault="00611A83" w:rsidP="000C73FA">
      <w:pPr>
        <w:spacing w:line="480" w:lineRule="auto"/>
        <w:rPr>
          <w:rFonts w:ascii="Arial" w:hAnsi="Arial" w:cs="Arial"/>
        </w:rPr>
      </w:pPr>
    </w:p>
    <w:p w14:paraId="766B1346" w14:textId="53782C28" w:rsidR="00611A83" w:rsidRDefault="000C73FA" w:rsidP="000C73FA">
      <w:pPr>
        <w:spacing w:line="480" w:lineRule="auto"/>
        <w:rPr>
          <w:rFonts w:ascii="Arial" w:hAnsi="Arial" w:cs="Arial"/>
        </w:rPr>
      </w:pPr>
      <w:r w:rsidRPr="00225AB0">
        <w:rPr>
          <w:rFonts w:ascii="Arial" w:hAnsi="Arial" w:cs="Arial"/>
        </w:rPr>
        <w:t xml:space="preserve">Additional research has also demonstrated that attention to a particular spatial location </w:t>
      </w:r>
      <w:r w:rsidR="00D44AC6">
        <w:rPr>
          <w:rFonts w:ascii="Arial" w:hAnsi="Arial" w:cs="Arial"/>
        </w:rPr>
        <w:t>in</w:t>
      </w:r>
      <w:r w:rsidRPr="00225AB0">
        <w:rPr>
          <w:rFonts w:ascii="Arial" w:hAnsi="Arial" w:cs="Arial"/>
        </w:rPr>
        <w:t xml:space="preserve"> a luminance-modulated grating produces increases in the amplitude of responses </w:t>
      </w:r>
      <w:r w:rsidR="00D44AC6">
        <w:rPr>
          <w:rFonts w:ascii="Arial" w:hAnsi="Arial" w:cs="Arial"/>
        </w:rPr>
        <w:t>in</w:t>
      </w:r>
      <w:r w:rsidRPr="00225AB0">
        <w:rPr>
          <w:rFonts w:ascii="Arial" w:hAnsi="Arial" w:cs="Arial"/>
        </w:rPr>
        <w:t xml:space="preserve"> regions of the visual cortex representing the attended location </w:t>
      </w:r>
      <w:r w:rsidRPr="00225AB0">
        <w:rPr>
          <w:rFonts w:ascii="Arial" w:hAnsi="Arial" w:cs="Arial"/>
        </w:rPr>
        <w:fldChar w:fldCharType="begin"/>
      </w:r>
      <w:r w:rsidR="00321AB9">
        <w:rPr>
          <w:rFonts w:ascii="Arial" w:hAnsi="Arial" w:cs="Arial"/>
        </w:rPr>
        <w:instrText xml:space="preserve"> ADDIN ZOTERO_ITEM CSL_CITATION {"citationID":"3DX7XzsH","properties":{"formattedCitation":"(T Z Lauritzen, Ales, &amp; Wade, 2010; Verghese, Kim, &amp; Wade, 2012)","plainCitation":"(T Z Lauritzen, Ales, &amp; Wade, 2010; Verghese, Kim, &amp; Wade, 2012)","dontUpdate":true,"noteIndex":0},"citationItems":[{"id":126,"uris":["http://zotero.org/groups/318634/items/Z3DC3RRC"],"uri":["http://zotero.org/groups/318634/items/Z3DC3RRC"],"itemData":{"id":126,"type":"article-journal","title":"The effects of visuospatial attention measured across visual cortex using source-imaged, steady-state EEG","container-title":"Journal of Vision","page":"1-17","volume":"10","issue":"14","abstract":"How does attention alter neural responses? Decades of electrophysiological measurements in non-human primates as well as human EEG and fMRI studies have shown that spatial attention modulates firing rates across the visual cortex, but the computations that drive this process are still unclear. Further, while it is well known that attention affects perception, we have only a limited understanding of the link between attentionally driven changes in neural firing rates and subject performance. Here we used a novel human neuroimaging method to measure the effect of spatial attention on neural responses in V1, hMT+, hV4, and the intraparietal sulcus (IPS). Attention altered signals in different ways across the visual cortex: areas V1, hMT+, and IPS exhibited primarily response gain changes while hV4 showed contrast gain modulation. Signals in V1, hMT+, and IPS correlated with contrast detection performance suggesting that behavior can be predicted by population-level signals as early as striate cortex.","DOI":"10.1167/10.14.39","ISSN":"1534-7362 (Electronic) 1534-7362 (Linking)","language":"eng","author":[{"family":"Lauritzen","given":"T Z"},{"family":"Ales","given":"J M"},{"family":"Wade","given":"A R"}],"issued":{"date-parts":[["2010"]]}}},{"id":123,"uris":["http://zotero.org/groups/318634/items/9BJZM9LR"],"uri":["http://zotero.org/groups/318634/items/9BJZM9LR"],"itemData":{"id":123,"type":"article-journal","title":"Attention selects informative neural populations in human V1","container-title":"Journal of Neuroscience","page":"16379–16390","volume":"32","issue":"46","source":"Google Scholar","author":[{"family":"Verghese","given":"Preeti"},{"family":"Kim","given":"Yee-Joon"},{"family":"Wade","given":"Alex R."}],"issued":{"date-parts":[["2012"]]}}}],"schema":"https://github.com/citation-style-language/schema/raw/master/csl-citation.json"}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(Lauritzen, Ales, &amp; Wade, 2010; Verghese, Kim, &amp; Wade, 2012)</w:t>
      </w:r>
      <w:r w:rsidRPr="00225AB0">
        <w:rPr>
          <w:rFonts w:ascii="Arial" w:hAnsi="Arial" w:cs="Arial"/>
        </w:rPr>
        <w:fldChar w:fldCharType="end"/>
      </w:r>
      <w:r w:rsidRPr="00225AB0">
        <w:rPr>
          <w:rFonts w:ascii="Arial" w:hAnsi="Arial" w:cs="Arial"/>
        </w:rPr>
        <w:t xml:space="preserve">. </w:t>
      </w:r>
      <w:r w:rsidR="00611A83">
        <w:rPr>
          <w:rFonts w:ascii="Arial" w:hAnsi="Arial" w:cs="Arial"/>
        </w:rPr>
        <w:t xml:space="preserve">Interestingly, </w:t>
      </w:r>
      <w:r w:rsidR="00611A83">
        <w:rPr>
          <w:rFonts w:ascii="Arial" w:hAnsi="Arial" w:cs="Arial"/>
        </w:rPr>
        <w:fldChar w:fldCharType="begin"/>
      </w:r>
      <w:r w:rsidR="00321AB9">
        <w:rPr>
          <w:rFonts w:ascii="Arial" w:hAnsi="Arial" w:cs="Arial"/>
        </w:rPr>
        <w:instrText xml:space="preserve"> ADDIN ZOTERO_ITEM CSL_CITATION {"citationID":"DRVuBNQ6","properties":{"formattedCitation":"(Sumner, Tsai, Yu, &amp; Nachev, 2006)","plainCitation":"(Sumner, Tsai, Yu, &amp; Nachev, 2006)","dontUpdate":true,"noteIndex":0},"citationItems":[{"id":103,"uris":["http://zotero.org/groups/318634/items/MVQV2UGE"],"uri":["http://zotero.org/groups/318634/items/MVQV2UGE"],"itemData":{"id":103,"type":"article-journal","title":"Attentional modulation of sensorimotor processes in the absence of perceptual awareness","container-title":"Proceedings of the National Academy of Sciences of the United States of America","page":"10520-10525","volume":"103","issue":"27","source":"PubMed","abstract":"Attention modulates visual perception and is generally considered inextricably linked with conscious awareness: we become aware of stimuli as we attend to them, and we attend to stimuli as we become aware of them. Recent evidence suggests that attention can also modulate the effects of stimuli that remain invisible, and a natural explanation is that attention enhances weak perceptual representations, bringing them closer to conscious threshold even if they do not reach that threshold. However, there is also the possibility that attention may modulate neural processes that are entirely separate from those supporting conscious perception: sensorimotor mechanisms that do not create awareness however much they are enhanced. Here we provide evidence in support of this second hypothesis by showing that attentional cueing can modulate the behavioral response to invisible stimuli in a way that is distinct from enhancing their visibility. We used a masked-prime paradigm that produces a negative or positive compatibility effect depending on the perceptual strength (duration or brightness) of the prime. We found that attention enhanced the effect of both visible and invisible primes and also increased the likelihood of detecting the prime (i.e., boosted perceptual strength). Crucially, the pattern of attentional influence on priming could not be explained by attentional modulation of the prime's perceptual strength but was predicted by a direct attentional influence on the nonconscious priming process itself. Therefore, in addition to regulating what we perceive, attention seems to influence our behavior through sensorimotor processes that are not involved in conscious awareness.","DOI":"10.1073/pnas.0601974103","ISSN":"0027-8424","note":"PMID: 16793924\nPMCID: PMC1502490","journalAbbreviation":"Proc. Natl. Acad. Sci. U.S.A.","language":"eng","author":[{"family":"Sumner","given":"Petroc"},{"family":"Tsai","given":"Pei-Chun"},{"family":"Yu","given":"Kenny"},{"family":"Nachev","given":"Parashkev"}],"issued":{"date-parts":[["2006",7,5]]}}}],"schema":"https://github.com/citation-style-language/schema/raw/master/csl-citation.json"} </w:instrText>
      </w:r>
      <w:r w:rsidR="00611A83">
        <w:rPr>
          <w:rFonts w:ascii="Arial" w:hAnsi="Arial" w:cs="Arial"/>
        </w:rPr>
        <w:fldChar w:fldCharType="separate"/>
      </w:r>
      <w:r w:rsidR="00611A83">
        <w:rPr>
          <w:rFonts w:ascii="Arial" w:hAnsi="Arial" w:cs="Arial"/>
          <w:noProof/>
        </w:rPr>
        <w:t>Sumner, Tsai, Yu, &amp; Nachev, (2006)</w:t>
      </w:r>
      <w:r w:rsidR="00611A83">
        <w:rPr>
          <w:rFonts w:ascii="Arial" w:hAnsi="Arial" w:cs="Arial"/>
        </w:rPr>
        <w:fldChar w:fldCharType="end"/>
      </w:r>
      <w:r w:rsidR="00611A83">
        <w:rPr>
          <w:rFonts w:ascii="Arial" w:hAnsi="Arial" w:cs="Arial"/>
        </w:rPr>
        <w:t xml:space="preserve"> demonstrated the robust nature of spatial attention, which can modulate activity even in response to invisible stimuli. Attention was noted to increase the perceptual strength of an invisible spatial prime, enhancing its visibility, and also independently boosted unconscious sensorimotor processes initiated by this invisible priming stimulus. Hence, spatial attention is a highly important and powerful mechanism which can produce clear modulation of activity </w:t>
      </w:r>
      <w:r w:rsidR="00D44AC6">
        <w:rPr>
          <w:rFonts w:ascii="Arial" w:hAnsi="Arial" w:cs="Arial"/>
        </w:rPr>
        <w:t>in</w:t>
      </w:r>
      <w:r w:rsidR="00611A83">
        <w:rPr>
          <w:rFonts w:ascii="Arial" w:hAnsi="Arial" w:cs="Arial"/>
        </w:rPr>
        <w:t xml:space="preserve"> the visual cortex as we interact with our visual environment. </w:t>
      </w:r>
    </w:p>
    <w:p w14:paraId="13FFB896" w14:textId="7FE49A02" w:rsidR="000C73FA" w:rsidRDefault="000C73FA" w:rsidP="000C73FA">
      <w:pPr>
        <w:spacing w:line="480" w:lineRule="auto"/>
        <w:rPr>
          <w:rFonts w:ascii="Arial" w:hAnsi="Arial" w:cs="Arial"/>
          <w:b/>
        </w:rPr>
      </w:pPr>
    </w:p>
    <w:p w14:paraId="7FF539AE" w14:textId="77777777" w:rsidR="008437FC" w:rsidRPr="00225AB0" w:rsidRDefault="008437FC" w:rsidP="000C73FA">
      <w:pPr>
        <w:spacing w:line="480" w:lineRule="auto"/>
        <w:rPr>
          <w:rFonts w:ascii="Arial" w:hAnsi="Arial" w:cs="Arial"/>
          <w:b/>
        </w:rPr>
      </w:pPr>
    </w:p>
    <w:p w14:paraId="5459055E" w14:textId="77777777" w:rsidR="000C73FA" w:rsidRPr="00225AB0" w:rsidRDefault="000C73FA" w:rsidP="001811CC">
      <w:pPr>
        <w:pStyle w:val="Heading3"/>
        <w:numPr>
          <w:ilvl w:val="2"/>
          <w:numId w:val="2"/>
        </w:numPr>
        <w:rPr>
          <w:rFonts w:ascii="Arial" w:hAnsi="Arial" w:cs="Arial"/>
          <w:b/>
          <w:i/>
          <w:color w:val="000000" w:themeColor="text1"/>
          <w:sz w:val="28"/>
          <w:szCs w:val="28"/>
        </w:rPr>
      </w:pPr>
      <w:bookmarkStart w:id="135" w:name="_Toc11147959"/>
      <w:bookmarkStart w:id="136" w:name="_Toc11153905"/>
      <w:bookmarkStart w:id="137" w:name="_Toc11753611"/>
      <w:bookmarkStart w:id="138" w:name="_Toc11926797"/>
      <w:bookmarkStart w:id="139" w:name="_Toc11930030"/>
      <w:bookmarkStart w:id="140" w:name="_Toc16075346"/>
      <w:bookmarkStart w:id="141" w:name="_Toc16236969"/>
      <w:r w:rsidRPr="00225AB0">
        <w:rPr>
          <w:rFonts w:ascii="Arial" w:hAnsi="Arial" w:cs="Arial"/>
          <w:b/>
          <w:i/>
          <w:color w:val="000000" w:themeColor="text1"/>
          <w:sz w:val="28"/>
          <w:szCs w:val="28"/>
        </w:rPr>
        <w:t>Featural Attention</w:t>
      </w:r>
      <w:bookmarkEnd w:id="135"/>
      <w:bookmarkEnd w:id="136"/>
      <w:bookmarkEnd w:id="137"/>
      <w:bookmarkEnd w:id="138"/>
      <w:bookmarkEnd w:id="139"/>
      <w:bookmarkEnd w:id="140"/>
      <w:bookmarkEnd w:id="141"/>
    </w:p>
    <w:p w14:paraId="762FCDCC" w14:textId="77777777" w:rsidR="00A42D48" w:rsidRPr="00225AB0" w:rsidRDefault="00A42D48" w:rsidP="00A42D48">
      <w:pPr>
        <w:pStyle w:val="ListParagraph"/>
        <w:rPr>
          <w:rFonts w:ascii="Arial" w:hAnsi="Arial" w:cs="Arial"/>
        </w:rPr>
      </w:pPr>
    </w:p>
    <w:p w14:paraId="22F70578" w14:textId="33921B1A" w:rsidR="000C73FA" w:rsidRPr="00225AB0" w:rsidRDefault="000C73FA" w:rsidP="000C73FA">
      <w:pPr>
        <w:spacing w:line="480" w:lineRule="auto"/>
        <w:rPr>
          <w:rFonts w:ascii="Arial" w:hAnsi="Arial" w:cs="Arial"/>
        </w:rPr>
      </w:pPr>
      <w:r w:rsidRPr="00225AB0">
        <w:rPr>
          <w:rFonts w:ascii="Arial" w:hAnsi="Arial" w:cs="Arial"/>
        </w:rPr>
        <w:t>Alternatively, attention can be directed towards a particular stimulus feature</w:t>
      </w:r>
      <w:r w:rsidR="00B32612">
        <w:rPr>
          <w:rFonts w:ascii="Arial" w:hAnsi="Arial" w:cs="Arial"/>
        </w:rPr>
        <w:t>. This</w:t>
      </w:r>
      <w:r w:rsidRPr="00225AB0">
        <w:rPr>
          <w:rFonts w:ascii="Arial" w:hAnsi="Arial" w:cs="Arial"/>
        </w:rPr>
        <w:t xml:space="preserve"> has been </w:t>
      </w:r>
      <w:r w:rsidR="00B32612">
        <w:rPr>
          <w:rFonts w:ascii="Arial" w:hAnsi="Arial" w:cs="Arial"/>
        </w:rPr>
        <w:t>shown</w:t>
      </w:r>
      <w:r w:rsidR="00B32612" w:rsidRPr="00225AB0">
        <w:rPr>
          <w:rFonts w:ascii="Arial" w:hAnsi="Arial" w:cs="Arial"/>
        </w:rPr>
        <w:t xml:space="preserve"> </w:t>
      </w:r>
      <w:r w:rsidRPr="00225AB0">
        <w:rPr>
          <w:rFonts w:ascii="Arial" w:hAnsi="Arial" w:cs="Arial"/>
        </w:rPr>
        <w:t xml:space="preserve">to alter activity in neurons encoding the attended feature. The influence of featural attention has been noted across the visual </w:t>
      </w:r>
      <w:r w:rsidRPr="00225AB0">
        <w:rPr>
          <w:rFonts w:ascii="Arial" w:hAnsi="Arial" w:cs="Arial"/>
        </w:rPr>
        <w:lastRenderedPageBreak/>
        <w:t xml:space="preserve">hierarchy </w:t>
      </w:r>
      <w:r w:rsidRPr="00225AB0">
        <w:rPr>
          <w:rFonts w:ascii="Arial" w:hAnsi="Arial" w:cs="Arial"/>
        </w:rPr>
        <w:fldChar w:fldCharType="begin"/>
      </w:r>
      <w:r w:rsidR="00321AB9">
        <w:rPr>
          <w:rFonts w:ascii="Arial" w:hAnsi="Arial" w:cs="Arial"/>
        </w:rPr>
        <w:instrText xml:space="preserve"> ADDIN ZOTERO_ITEM CSL_CITATION {"citationID":"DtOo1JfU","properties":{"formattedCitation":"(Kamitani &amp; Tong, 2006)","plainCitation":"(Kamitani &amp; Tong, 2006)","dontUpdate":true,"noteIndex":0},"citationItems":[{"id":252,"uris":["http://zotero.org/groups/318634/items/9NXTJXD4"],"uri":["http://zotero.org/groups/318634/items/9NXTJXD4"],"itemData":{"id":252,"type":"article-journal","title":"Decoding seen and attended motion directions from activity in the human visual cortex","container-title":"Current biology: CB","page":"1096-1102","volume":"16","issue":"11","source":"PubMed","abstract":"Functional neuroimaging has successfully identified brain areas that show greater responses to visual motion and adapted responses to repeated motion directions. However, such methods have been thought to lack the sensitivity and spatial resolution to isolate direction-selective responses to individual motion stimuli. Here, we used functional magnetic resonance imaging (fMRI) and pattern classification methods to show that ensemble activity patterns in human visual cortex contain robust direction-selective information, from which it is possible to decode seen and attended motion directions. Ensemble activity in areas V1-V4 and MT+/V5 allowed us to decode which of eight possible motion directions the subject was viewing on individual stimulus blocks. Moreover, ensemble activity evoked by single motion directions could effectively predict which of two overlapping motion directions was the focus of the subject's attention and presumably dominant in perception. Our results indicate that feature-based attention can bias direction-selective population activity in multiple visual areas, including MT+/V5 and early visual areas (V1-V4), consistent with gain-modulation models of feature-based attention and theories of early attentional selection. Our approach for measuring ensemble direction selectivity may provide new opportunities to investigate relationships between attentional selection, conscious perception, and direction-selective responses in the human brain.","DOI":"10.1016/j.cub.2006.04.003","ISSN":"0960-9822","note":"PMID: 16753563\nPMCID: PMC1635016","journalAbbreviation":"Curr. Biol.","language":"eng","author":[{"family":"Kamitani","given":"Yukiyasu"},{"family":"Tong","given":"Frank"}],"issued":{"date-parts":[["2006",6,6]]}}}],"schema":"https://github.com/citation-style-language/schema/raw/master/csl-citation.json"} </w:instrText>
      </w:r>
      <w:r w:rsidRPr="00225AB0">
        <w:rPr>
          <w:rFonts w:ascii="Arial" w:hAnsi="Arial" w:cs="Arial"/>
        </w:rPr>
        <w:fldChar w:fldCharType="separate"/>
      </w:r>
      <w:r w:rsidRPr="00225AB0">
        <w:rPr>
          <w:rFonts w:ascii="Arial" w:hAnsi="Arial" w:cs="Arial"/>
          <w:noProof/>
        </w:rPr>
        <w:t>(e.g. Kamitani &amp; Tong, 2006)</w:t>
      </w:r>
      <w:r w:rsidRPr="00225AB0">
        <w:rPr>
          <w:rFonts w:ascii="Arial" w:hAnsi="Arial" w:cs="Arial"/>
        </w:rPr>
        <w:fldChar w:fldCharType="end"/>
      </w:r>
      <w:r w:rsidRPr="00225AB0">
        <w:rPr>
          <w:rFonts w:ascii="Arial" w:hAnsi="Arial" w:cs="Arial"/>
        </w:rPr>
        <w:t xml:space="preserve">. For example, fMRI BOLD responses in MT+ increase during attention toward a visual motion stimulus </w:t>
      </w:r>
      <w:r w:rsidRPr="00225AB0">
        <w:rPr>
          <w:rFonts w:ascii="Arial" w:hAnsi="Arial" w:cs="Arial"/>
        </w:rPr>
        <w:fldChar w:fldCharType="begin"/>
      </w:r>
      <w:r w:rsidR="00321AB9">
        <w:rPr>
          <w:rFonts w:ascii="Arial" w:hAnsi="Arial" w:cs="Arial"/>
        </w:rPr>
        <w:instrText xml:space="preserve"> ADDIN ZOTERO_ITEM CSL_CITATION {"citationID":"771j5ZWQ","properties":{"formattedCitation":"(O\\uc0\\u8217{}Craven, Rosen, Kwong, Treisman, &amp; Savoy, 1997)","plainCitation":"(O’Craven, Rosen, Kwong, Treisman, &amp; Savoy, 1997)","dontUpdate":true,"noteIndex":0},"citationItems":[{"id":236,"uris":["http://zotero.org/groups/318634/items/S9QHXYQ5"],"uri":["http://zotero.org/groups/318634/items/S9QHXYQ5"],"itemData":{"id":236,"type":"article-journal","title":"Voluntary attention modulates fMRI activity in human MT–MST","container-title":"Neuron","page":"591–598","volume":"18","issue":"4","source":"Google Scholar","author":[{"family":"O'Craven","given":"Kathleen M."},{"family":"Rosen","given":"Bruce R."},{"family":"Kwong","given":"Kenneth K."},{"family":"Treisman","given":"Anne"},{"family":"Savoy","given":"Robert L."}],"issued":{"date-parts":[["1997"]]}}}],"schema":"https://github.com/citation-style-language/schema/raw/master/csl-citation.json"} </w:instrText>
      </w:r>
      <w:r w:rsidRPr="00225AB0">
        <w:rPr>
          <w:rFonts w:ascii="Arial" w:hAnsi="Arial" w:cs="Arial"/>
        </w:rPr>
        <w:fldChar w:fldCharType="separate"/>
      </w:r>
      <w:r w:rsidRPr="00225AB0">
        <w:rPr>
          <w:rFonts w:ascii="Arial" w:hAnsi="Arial" w:cs="Arial"/>
          <w:lang w:val="en-US"/>
        </w:rPr>
        <w:t>(e.g. O’Craven, Rosen, Kwong, Treisman, &amp; Savoy, 1997)</w:t>
      </w:r>
      <w:r w:rsidRPr="00225AB0">
        <w:rPr>
          <w:rFonts w:ascii="Arial" w:hAnsi="Arial" w:cs="Arial"/>
        </w:rPr>
        <w:fldChar w:fldCharType="end"/>
      </w:r>
      <w:r w:rsidRPr="00225AB0">
        <w:rPr>
          <w:rFonts w:ascii="Arial" w:hAnsi="Arial" w:cs="Arial"/>
        </w:rPr>
        <w:t xml:space="preserve">. Additionally, increased hV4 activation has been identified in response to attention directed towards chromatic stimuli </w:t>
      </w:r>
      <w:r w:rsidRPr="00225AB0">
        <w:rPr>
          <w:rFonts w:ascii="Arial" w:hAnsi="Arial" w:cs="Arial"/>
        </w:rPr>
        <w:fldChar w:fldCharType="begin"/>
      </w:r>
      <w:r w:rsidR="00321AB9">
        <w:rPr>
          <w:rFonts w:ascii="Arial" w:hAnsi="Arial" w:cs="Arial"/>
        </w:rPr>
        <w:instrText xml:space="preserve"> ADDIN ZOTERO_ITEM CSL_CITATION {"citationID":"v87HLcTq","properties":{"formattedCitation":"(Chawla, Rees, &amp; Friston, 1999; Schoenfeld et al., 2007)","plainCitation":"(Chawla, Rees, &amp; Friston, 1999; Schoenfeld et al., 2007)","noteIndex":0},"citationItems":[{"id":274,"uris":["http://zotero.org/groups/318634/items/UGNVMIQK"],"uri":["http://zotero.org/groups/318634/items/UGNVMIQK"],"itemData":{"id":274,"type":"article-journal","title":"The physiological basis of attentional modulation in extrastriate visual areas","container-title":"Nature neuroscience","page":"671","volume":"2","issue":"7","source":"Google Scholar","author":[{"family":"Chawla","given":"D."},{"family":"Rees","given":"G."},{"family":"Friston","given":"K. J."}],"issued":{"date-parts":[["1999"]]}}},{"id":232,"uris":["http://zotero.org/groups/318634/items/QH8DZ4BM"],"uri":["http://zotero.org/groups/318634/items/QH8DZ4BM"],"itemData":{"id":232,"type":"article-journal","title":"Spatio-temporal analysis of feature-based attention","container-title":"Cerebral Cortex","page":"2468–2477","volume":"17","issue":"10","source":"Google Scholar","author":[{"family":"Schoenfeld","given":"Mircea Ariel"},{"family":"Hopf","given":"Jens-Max"},{"family":"Martinez","given":"A."},{"family":"Mai","given":"H. M."},{"family":"Sattler","given":"Christine"},{"family":"Gasde","given":"A."},{"family":"Heinze","given":"Hans-Jochen"},{"family":"Hillyard","given":"S. A."}],"issued":{"date-parts":[["2007"]]}}}],"schema":"https://github.com/citation-style-language/schema/raw/master/csl-citation.json"} </w:instrText>
      </w:r>
      <w:r w:rsidRPr="00225AB0">
        <w:rPr>
          <w:rFonts w:ascii="Arial" w:hAnsi="Arial" w:cs="Arial"/>
        </w:rPr>
        <w:fldChar w:fldCharType="separate"/>
      </w:r>
      <w:r w:rsidRPr="00225AB0">
        <w:rPr>
          <w:rFonts w:ascii="Arial" w:hAnsi="Arial" w:cs="Arial"/>
          <w:noProof/>
        </w:rPr>
        <w:t>(Chawla, Rees, &amp; Friston, 1999; Schoenfeld et al., 2007)</w:t>
      </w:r>
      <w:r w:rsidRPr="00225AB0">
        <w:rPr>
          <w:rFonts w:ascii="Arial" w:hAnsi="Arial" w:cs="Arial"/>
        </w:rPr>
        <w:fldChar w:fldCharType="end"/>
      </w:r>
      <w:r w:rsidRPr="00225AB0">
        <w:rPr>
          <w:rFonts w:ascii="Arial" w:hAnsi="Arial" w:cs="Arial"/>
        </w:rPr>
        <w:t xml:space="preserve">. Evidence of </w:t>
      </w:r>
      <w:r w:rsidR="00C54A10">
        <w:rPr>
          <w:rFonts w:ascii="Arial" w:hAnsi="Arial" w:cs="Arial"/>
        </w:rPr>
        <w:t xml:space="preserve">feature-specific </w:t>
      </w:r>
      <w:r w:rsidRPr="00225AB0">
        <w:rPr>
          <w:rFonts w:ascii="Arial" w:hAnsi="Arial" w:cs="Arial"/>
        </w:rPr>
        <w:t xml:space="preserve">attentional modulation in regions responsible for the processing of that feature is also found for higher-level, complex stimuli. For example, attention to faces and places modulates responses in the FFA and parahippocampal place area (PPA) respectively </w:t>
      </w:r>
      <w:r w:rsidRPr="00225AB0">
        <w:rPr>
          <w:rFonts w:ascii="Arial" w:hAnsi="Arial" w:cs="Arial"/>
        </w:rPr>
        <w:fldChar w:fldCharType="begin"/>
      </w:r>
      <w:r w:rsidR="00321AB9">
        <w:rPr>
          <w:rFonts w:ascii="Arial" w:hAnsi="Arial" w:cs="Arial"/>
        </w:rPr>
        <w:instrText xml:space="preserve"> ADDIN ZOTERO_ITEM CSL_CITATION {"citationID":"2b8vGpMM","properties":{"formattedCitation":"(O\\uc0\\u8217{}Craven, Downing, &amp; Kanwisher, 1999)","plainCitation":"(O’Craven, Downing, &amp; Kanwisher, 1999)","noteIndex":0},"citationItems":[{"id":55,"uris":["http://zotero.org/groups/318634/items/2ECPCIJB"],"uri":["http://zotero.org/groups/318634/items/2ECPCIJB"],"itemData":{"id":55,"type":"article-journal","title":"fMRI evidence for objects as the units of attentional selection","container-title":"Nature","page":"584","volume":"401","issue":"6753","source":"www.nature.com","abstract":"Contrasting theories of visual attention emphasize selection by spatial location1, visual features (such as motion or colour)2,3,4 or whole objects5,6. Here we used functional magnetic resonance imaging (fMRI) to test key predictions of the object-based theory, which proposes that pre-attentive mechanisms segment the visual array into discrete objects, groups, or surfaces, which serve as targets for visual attention5,6,7,8,9. Subjects viewed stimuli consisting of a face transparently superimposed on a house, with one moving and the other stationary. In different conditions, subjects attended to the face, the house or the motion. The magnetic resonance signal from each subject's fusiform face area10, parahippocampal place area11 and area MT/MST12 provided a measure of the processing of faces, houses and visual motion, respectively. Although all three attributes occupied the same location, attending to one attribute of an object (such as the motion of a moving face) enhanced the neural representation not only of that attribute but also of the other attribute of the same object (for example, the face), compared with attributes of the other object (for example, the house). These results cannot be explained by models in which attention selects locations or features, and provide physiological evidence that whole objects are selected even when only one visual attribute is relevant.","DOI":"10.1038/44134","ISSN":"1476-4687","language":"En","author":[{"family":"O'Craven","given":"Kathleen M."},{"family":"Downing","given":"Paul E."},{"family":"Kanwisher","given":"Nancy"}],"issued":{"date-parts":[["1999",10]]}}}],"schema":"https://github.com/citation-style-language/schema/raw/master/csl-citation.json"} </w:instrText>
      </w:r>
      <w:r w:rsidRPr="00225AB0">
        <w:rPr>
          <w:rFonts w:ascii="Arial" w:hAnsi="Arial" w:cs="Arial"/>
        </w:rPr>
        <w:fldChar w:fldCharType="separate"/>
      </w:r>
      <w:r w:rsidRPr="00225AB0">
        <w:rPr>
          <w:rFonts w:ascii="Arial" w:hAnsi="Arial" w:cs="Arial"/>
          <w:lang w:val="en-US"/>
        </w:rPr>
        <w:t>(O’Craven, Downing, &amp; Kanwisher, 1999)</w:t>
      </w:r>
      <w:r w:rsidRPr="00225AB0">
        <w:rPr>
          <w:rFonts w:ascii="Arial" w:hAnsi="Arial" w:cs="Arial"/>
        </w:rPr>
        <w:fldChar w:fldCharType="end"/>
      </w:r>
      <w:r w:rsidRPr="00225AB0">
        <w:rPr>
          <w:rFonts w:ascii="Arial" w:hAnsi="Arial" w:cs="Arial"/>
        </w:rPr>
        <w:t xml:space="preserve">. </w:t>
      </w:r>
    </w:p>
    <w:p w14:paraId="799997E5" w14:textId="77777777" w:rsidR="000C73FA" w:rsidRPr="00225AB0" w:rsidRDefault="000C73FA" w:rsidP="000C73FA">
      <w:pPr>
        <w:spacing w:line="480" w:lineRule="auto"/>
        <w:rPr>
          <w:rFonts w:ascii="Arial" w:hAnsi="Arial" w:cs="Arial"/>
        </w:rPr>
      </w:pPr>
    </w:p>
    <w:p w14:paraId="14651B17" w14:textId="3DC8F0B9" w:rsidR="000C73FA" w:rsidRPr="00225AB0" w:rsidRDefault="000C73FA" w:rsidP="000C73FA">
      <w:pPr>
        <w:spacing w:line="480" w:lineRule="auto"/>
        <w:rPr>
          <w:rFonts w:ascii="Arial" w:hAnsi="Arial" w:cs="Arial"/>
        </w:rPr>
      </w:pPr>
      <w:r w:rsidRPr="00225AB0">
        <w:rPr>
          <w:rFonts w:ascii="Arial" w:hAnsi="Arial" w:cs="Arial"/>
        </w:rPr>
        <w:t xml:space="preserve">Unlike spatial attention, where focus is restricted to a </w:t>
      </w:r>
      <w:r w:rsidR="005E4376">
        <w:rPr>
          <w:rFonts w:ascii="Arial" w:hAnsi="Arial" w:cs="Arial"/>
        </w:rPr>
        <w:t>single</w:t>
      </w:r>
      <w:r w:rsidRPr="00225AB0">
        <w:rPr>
          <w:rFonts w:ascii="Arial" w:hAnsi="Arial" w:cs="Arial"/>
        </w:rPr>
        <w:t xml:space="preserve"> spatial location </w:t>
      </w:r>
      <w:r w:rsidR="00D44AC6">
        <w:rPr>
          <w:rFonts w:ascii="Arial" w:hAnsi="Arial" w:cs="Arial"/>
        </w:rPr>
        <w:t>in</w:t>
      </w:r>
      <w:r w:rsidRPr="00225AB0">
        <w:rPr>
          <w:rFonts w:ascii="Arial" w:hAnsi="Arial" w:cs="Arial"/>
        </w:rPr>
        <w:t xml:space="preserve"> the visual field, featural attention is global in scope. For example, attention to the colour or motion of a stimulus has been demonstrated to increase responses in the visual cortex representing all visual field locations the attended feature is present </w:t>
      </w:r>
      <w:r w:rsidRPr="00225AB0">
        <w:rPr>
          <w:rFonts w:ascii="Arial" w:hAnsi="Arial" w:cs="Arial"/>
        </w:rPr>
        <w:fldChar w:fldCharType="begin"/>
      </w:r>
      <w:r w:rsidR="00321AB9">
        <w:rPr>
          <w:rFonts w:ascii="Arial" w:hAnsi="Arial" w:cs="Arial"/>
        </w:rPr>
        <w:instrText xml:space="preserve"> ADDIN ZOTERO_ITEM CSL_CITATION {"citationID":"5Qaa6Qlm","properties":{"formattedCitation":"(Saenz, Buracas, &amp; Boynton, 2002)","plainCitation":"(Saenz, Buracas, &amp; Boynton, 2002)","noteIndex":0},"citationItems":[{"id":284,"uris":["http://zotero.org/groups/318634/items/P725U984"],"uri":["http://zotero.org/groups/318634/items/P725U984"],"itemData":{"id":284,"type":"article-journal","title":"Global effects of feature-based attention in human visual cortex","container-title":"Nat Neurosci","page":"631-632","volume":"5","issue":"7","abstract":"The content of visual experience depends on how selective attention is distributed in the visual field. We used functional magnetic resonance imaging (fMRI) in humans to test whether feature-based attention can globally influence visual cortical responses to stimuli outside the attended location. Attention to a stimulus feature (color or direction of motion) increased the response of cortical visual areas to a spatially distant, ignored stimulus that shared the same feature.","author":[{"family":"Saenz","given":"M"},{"family":"Buracas","given":"G T"},{"family":"Boynton","given":"G M"}],"issued":{"date-parts":[["2002"]]}}}],"schema":"https://github.com/citation-style-language/schema/raw/master/csl-citation.json"} </w:instrText>
      </w:r>
      <w:r w:rsidRPr="00225AB0">
        <w:rPr>
          <w:rFonts w:ascii="Arial" w:hAnsi="Arial" w:cs="Arial"/>
        </w:rPr>
        <w:fldChar w:fldCharType="separate"/>
      </w:r>
      <w:r w:rsidRPr="00225AB0">
        <w:rPr>
          <w:rFonts w:ascii="Arial" w:hAnsi="Arial" w:cs="Arial"/>
          <w:noProof/>
        </w:rPr>
        <w:t>(Saenz, Buracas, &amp; Boynton, 2002)</w:t>
      </w:r>
      <w:r w:rsidRPr="00225AB0">
        <w:rPr>
          <w:rFonts w:ascii="Arial" w:hAnsi="Arial" w:cs="Arial"/>
        </w:rPr>
        <w:fldChar w:fldCharType="end"/>
      </w:r>
      <w:r w:rsidRPr="00225AB0">
        <w:rPr>
          <w:rFonts w:ascii="Arial" w:hAnsi="Arial" w:cs="Arial"/>
        </w:rPr>
        <w:t xml:space="preserve">. Evidence has demonstrated </w:t>
      </w:r>
      <w:r w:rsidR="00C54A10">
        <w:rPr>
          <w:rFonts w:ascii="Arial" w:hAnsi="Arial" w:cs="Arial"/>
        </w:rPr>
        <w:t>the</w:t>
      </w:r>
      <w:r w:rsidRPr="00225AB0">
        <w:rPr>
          <w:rFonts w:ascii="Arial" w:hAnsi="Arial" w:cs="Arial"/>
        </w:rPr>
        <w:t xml:space="preserve"> global focus</w:t>
      </w:r>
      <w:r w:rsidR="00C54A10">
        <w:rPr>
          <w:rFonts w:ascii="Arial" w:hAnsi="Arial" w:cs="Arial"/>
        </w:rPr>
        <w:t xml:space="preserve"> of featural attention</w:t>
      </w:r>
      <w:r w:rsidRPr="00225AB0">
        <w:rPr>
          <w:rFonts w:ascii="Arial" w:hAnsi="Arial" w:cs="Arial"/>
        </w:rPr>
        <w:t xml:space="preserve"> persists in early visual cortical areas, even when a restriction of attention is critical for successful task performance </w:t>
      </w:r>
      <w:r w:rsidRPr="00225AB0">
        <w:rPr>
          <w:rFonts w:ascii="Arial" w:hAnsi="Arial" w:cs="Arial"/>
        </w:rPr>
        <w:fldChar w:fldCharType="begin"/>
      </w:r>
      <w:r w:rsidR="00321AB9">
        <w:rPr>
          <w:rFonts w:ascii="Arial" w:hAnsi="Arial" w:cs="Arial"/>
        </w:rPr>
        <w:instrText xml:space="preserve"> ADDIN ZOTERO_ITEM CSL_CITATION {"citationID":"2Dd0uDv9","properties":{"formattedCitation":"(Andersen, Hillyard, &amp; M\\uc0\\u252{}ller, 2013)","plainCitation":"(Andersen, Hillyard, &amp; Müller, 2013)","noteIndex":0},"citationItems":[{"id":83,"uris":["http://zotero.org/groups/318634/items/IM2SPJIV"],"uri":["http://zotero.org/groups/318634/items/IM2SPJIV"],"itemData":{"id":83,"type":"article-journal","title":"Global Facilitation of Attended Features Is Obligatory and Restricts Divided Attention","container-title":"The Journal of Neuroscience","page":"18200-18207","volume":"33","issue":"46","source":"PubMed Central","abstract":"In many common situations such as driving an automobile it is advantageous to attend concurrently to events at different locations (e.g., the car in front, the pedestrian to the side). While spatial attention can be divided effectively between separate locations, studies investigating attention to nonspatial features have often reported a “global effect”, whereby items having the attended feature may be preferentially processed throughout the entire visual field. These findings suggest that spatial and feature-based attention may at times act in direct opposition: spatially divided foci of attention cannot be truly independent if feature attention is spatially global and thereby affects all foci equally., In two experiments, human observers attended concurrently to one of two overlapping fields of dots of different colors presented in both the left and right visual fields. When the same color or two different colors were attended on the two sides, deviant targets were detected accurately, and visual-cortical potentials elicited by attended dots were enhanced. However, when the attended color on one side matched the ignored color on the opposite side, attentional modulation of cortical potentials was abolished. This loss of feature selectivity could be attributed to enhanced processing of unattended items that shared the color of the attended items in the opposite field. Thus, while it is possible to attend to two different colors at the same time, this ability is fundamentally constrained by spatially global feature enhancement in early visual-cortical areas, which is obligatory and persists even when it explicitly conflicts with task demands.","DOI":"10.1523/JNEUROSCI.1913-13.2013","ISSN":"0270-6474","note":"PMID: 24227728\nPMCID: PMC3828469","journalAbbreviation":"J Neurosci","author":[{"family":"Andersen","given":"Søren K."},{"family":"Hillyard","given":"Steven A."},{"family":"Müller","given":"Matthias M."}],"issued":{"date-parts":[["2013",11,13]]}}}],"schema":"https://github.com/citation-style-language/schema/raw/master/csl-citation.json"} </w:instrText>
      </w:r>
      <w:r w:rsidRPr="00225AB0">
        <w:rPr>
          <w:rFonts w:ascii="Arial" w:hAnsi="Arial" w:cs="Arial"/>
        </w:rPr>
        <w:fldChar w:fldCharType="separate"/>
      </w:r>
      <w:r w:rsidRPr="00225AB0">
        <w:rPr>
          <w:rFonts w:ascii="Arial" w:hAnsi="Arial" w:cs="Arial"/>
          <w:lang w:val="en-US"/>
        </w:rPr>
        <w:t>(Andersen, Hillyard, &amp; Müller, 2013)</w:t>
      </w:r>
      <w:r w:rsidRPr="00225AB0">
        <w:rPr>
          <w:rFonts w:ascii="Arial" w:hAnsi="Arial" w:cs="Arial"/>
        </w:rPr>
        <w:fldChar w:fldCharType="end"/>
      </w:r>
      <w:r w:rsidRPr="00225AB0">
        <w:rPr>
          <w:rFonts w:ascii="Arial" w:hAnsi="Arial" w:cs="Arial"/>
        </w:rPr>
        <w:t xml:space="preserve">. This is typified </w:t>
      </w:r>
      <w:r w:rsidR="00D44AC6">
        <w:rPr>
          <w:rFonts w:ascii="Arial" w:hAnsi="Arial" w:cs="Arial"/>
        </w:rPr>
        <w:t>in</w:t>
      </w:r>
      <w:r w:rsidRPr="00225AB0">
        <w:rPr>
          <w:rFonts w:ascii="Arial" w:hAnsi="Arial" w:cs="Arial"/>
        </w:rPr>
        <w:t xml:space="preserve"> the feature-similarity gain model of </w:t>
      </w:r>
      <w:r w:rsidRPr="00225AB0">
        <w:rPr>
          <w:rFonts w:ascii="Arial" w:hAnsi="Arial" w:cs="Arial"/>
        </w:rPr>
        <w:fldChar w:fldCharType="begin"/>
      </w:r>
      <w:r w:rsidR="00321AB9">
        <w:rPr>
          <w:rFonts w:ascii="Arial" w:hAnsi="Arial" w:cs="Arial"/>
        </w:rPr>
        <w:instrText xml:space="preserve"> ADDIN ZOTERO_ITEM CSL_CITATION {"citationID":"TD4GmOjC","properties":{"formattedCitation":"(Martinez-Trujillo &amp; Treue, 2004)","plainCitation":"(Martinez-Trujillo &amp; Treue, 2004)","dontUpdate":true,"noteIndex":0},"citationItems":[{"id":101,"uris":["http://zotero.org/groups/318634/items/E8YBNNSR"],"uri":["http://zotero.org/groups/318634/items/E8YBNNSR"],"itemData":{"id":101,"type":"article-journal","title":"Feature-based attention increases the selectivity of population responses in primate visual cortex","container-title":"Current biology: CB","page":"744-751","volume":"14","issue":"9","source":"PubMed","abstract":"BACKGROUND: Attending to the spatial location or to nonspatial features of visual stimuli can modulate neuronal responses in primate visual cortex. The modulation by spatial attention changes the gain of sensory neurons and strengthens the representation of attended locations without changing neuronal selectivities such as directionality, i.e., the ratio of responses to preferred and anti-preferred directions of motion. Whether feature-based attention acts in a similar manner is unknown.\nRESULTS: To clarify this issue, we recorded the responses of 135 direction-selective neurons in the middle temporal area (MT) of two macaques to an unattended moving random dot pattern (the distractor) positioned inside a neuron's receptive field while the animals attended to a second moving pattern positioned in the opposite hemifield. Responses to different directions of the distractor were modulated by the same factor (approximately 12%) as long as the attended direction remained unchanged. On the other hand, systematically changing the attended direction from a neuron's preferred to its anti-preferred direction caused a systematic change of the attentional modulation from an enhancement to a suppression, increasing directionality by about 20%.\nCONCLUSIONS: The results show that (1) feature-based attention exerts a multiplicative modulation upon neuronal responses and that the strength of this modulation depends on the similarity between the attended feature and the cell's preferred feature, in line with the feature-similarity gain model, and (2) at the level of the neuronal population, feature-based attention increases the selectivity for attended features by increasing the responses of neurons preferring this feature value while decreasing responses of neurons tuned to the opposite feature value.","DOI":"10.1016/j.cub.2004.04.028","ISSN":"0960-9822","note":"PMID: 15120065","journalAbbreviation":"Curr. Biol.","language":"eng","author":[{"family":"Martinez-Trujillo","given":"Julio C."},{"family":"Treue","given":"Stefan"}],"issued":{"date-parts":[["2004",5,4]]}}}],"schema":"https://github.com/citation-style-language/schema/raw/master/csl-citation.json"} </w:instrText>
      </w:r>
      <w:r w:rsidRPr="00225AB0">
        <w:rPr>
          <w:rFonts w:ascii="Arial" w:hAnsi="Arial" w:cs="Arial"/>
        </w:rPr>
        <w:fldChar w:fldCharType="separate"/>
      </w:r>
      <w:r w:rsidRPr="00225AB0">
        <w:rPr>
          <w:rFonts w:ascii="Arial" w:hAnsi="Arial" w:cs="Arial"/>
          <w:noProof/>
        </w:rPr>
        <w:t>Martinez-Trujillo &amp; Treue, (2004)</w:t>
      </w:r>
      <w:r w:rsidRPr="00225AB0">
        <w:rPr>
          <w:rFonts w:ascii="Arial" w:hAnsi="Arial" w:cs="Arial"/>
        </w:rPr>
        <w:fldChar w:fldCharType="end"/>
      </w:r>
      <w:r w:rsidRPr="00225AB0">
        <w:rPr>
          <w:rFonts w:ascii="Arial" w:hAnsi="Arial" w:cs="Arial"/>
        </w:rPr>
        <w:t xml:space="preserve">, which suggests featural attention increases the gain of neurons tuned to the attended feature, and decreases the response of neurons tuned away from this feature at the population level, across the visual field. </w:t>
      </w:r>
    </w:p>
    <w:p w14:paraId="05CCEE3E" w14:textId="77777777" w:rsidR="000C73FA" w:rsidRPr="00225AB0" w:rsidRDefault="000C73FA" w:rsidP="000C73FA">
      <w:pPr>
        <w:spacing w:line="480" w:lineRule="auto"/>
        <w:rPr>
          <w:rFonts w:ascii="Arial" w:hAnsi="Arial" w:cs="Arial"/>
        </w:rPr>
      </w:pPr>
    </w:p>
    <w:p w14:paraId="476DCA14" w14:textId="6C9ABD9F" w:rsidR="00E270E9" w:rsidRDefault="000C73FA" w:rsidP="00F72546">
      <w:pPr>
        <w:spacing w:line="480" w:lineRule="auto"/>
        <w:rPr>
          <w:rFonts w:ascii="Arial" w:hAnsi="Arial" w:cs="Arial"/>
        </w:rPr>
      </w:pPr>
      <w:r w:rsidRPr="00225AB0">
        <w:rPr>
          <w:rFonts w:ascii="Arial" w:hAnsi="Arial" w:cs="Arial"/>
        </w:rPr>
        <w:t xml:space="preserve">Featural attention is a robust phenomenon. Feature-specific activation </w:t>
      </w:r>
      <w:r w:rsidR="00D44AC6">
        <w:rPr>
          <w:rFonts w:ascii="Arial" w:hAnsi="Arial" w:cs="Arial"/>
        </w:rPr>
        <w:t>in</w:t>
      </w:r>
      <w:r w:rsidRPr="00225AB0">
        <w:rPr>
          <w:rFonts w:ascii="Arial" w:hAnsi="Arial" w:cs="Arial"/>
        </w:rPr>
        <w:t xml:space="preserve"> the visual cortex has been noted even in the absence of direct visual stimulation. </w:t>
      </w:r>
      <w:r w:rsidRPr="00225AB0">
        <w:rPr>
          <w:rFonts w:ascii="Arial" w:hAnsi="Arial" w:cs="Arial"/>
        </w:rPr>
        <w:lastRenderedPageBreak/>
        <w:t xml:space="preserve">For example, </w:t>
      </w:r>
      <w:r w:rsidRPr="00225AB0">
        <w:rPr>
          <w:rFonts w:ascii="Arial" w:hAnsi="Arial" w:cs="Arial"/>
        </w:rPr>
        <w:fldChar w:fldCharType="begin"/>
      </w:r>
      <w:r w:rsidR="00321AB9">
        <w:rPr>
          <w:rFonts w:ascii="Arial" w:hAnsi="Arial" w:cs="Arial"/>
        </w:rPr>
        <w:instrText xml:space="preserve"> ADDIN ZOTERO_ITEM CSL_CITATION {"citationID":"QcoQ2pey","properties":{"formattedCitation":"(Serences &amp; Boynton, 2007)","plainCitation":"(Serences &amp; Boynton, 2007)","dontUpdate":true,"noteIndex":0},"citationItems":[{"id":218,"uris":["http://zotero.org/groups/318634/items/46KPA7FT"],"uri":["http://zotero.org/groups/318634/items/46KPA7FT"],"itemData":{"id":218,"type":"article-journal","title":"Feature-based attentional modulations in the absence of direct visual stimulation","container-title":"Neuron","page":"301-312","volume":"55","issue":"2","source":"PubMed","abstract":"When faced with a crowded visual scene, observers must selectively attend to behaviorally relevant objects to avoid sensory overload. Often this selection process is guided by prior knowledge of a target-defining feature (e.g., the color red when looking for an apple), which enhances the firing rate of visual neurons that are selective for the attended feature. Here, we used functional magnetic resonance imaging and a pattern classification algorithm to predict the attentional state of human observers as they monitored a visual feature (one of two directions of motion). We find that feature-specific attention effects spread across the visual field-even to regions of the scene that do not contain a stimulus. This spread of feature-based attention to empty regions of space may facilitate the perception of behaviorally relevant stimuli by increasing sensitivity to attended features at all locations in the visual field.","DOI":"10.1016/j.neuron.2007.06.015","ISSN":"0896-6273","note":"PMID: 17640530","journalAbbreviation":"Neuron","language":"eng","author":[{"family":"Serences","given":"John T."},{"family":"Boynton","given":"Geoffrey M."}],"issued":{"date-parts":[["2007",7,19]]}}}],"schema":"https://github.com/citation-style-language/schema/raw/master/csl-citation.json"} </w:instrText>
      </w:r>
      <w:r w:rsidRPr="00225AB0">
        <w:rPr>
          <w:rFonts w:ascii="Arial" w:hAnsi="Arial" w:cs="Arial"/>
        </w:rPr>
        <w:fldChar w:fldCharType="separate"/>
      </w:r>
      <w:r w:rsidRPr="00225AB0">
        <w:rPr>
          <w:rFonts w:ascii="Arial" w:hAnsi="Arial" w:cs="Arial"/>
          <w:noProof/>
        </w:rPr>
        <w:t>Serences &amp; Boynton, (2007)</w:t>
      </w:r>
      <w:r w:rsidRPr="00225AB0">
        <w:rPr>
          <w:rFonts w:ascii="Arial" w:hAnsi="Arial" w:cs="Arial"/>
        </w:rPr>
        <w:fldChar w:fldCharType="end"/>
      </w:r>
      <w:r w:rsidRPr="00225AB0">
        <w:rPr>
          <w:rFonts w:ascii="Arial" w:hAnsi="Arial" w:cs="Arial"/>
        </w:rPr>
        <w:t xml:space="preserve"> identified activation to the attended visual feature even in regions of the visual scene which did not contain a stimulus. </w:t>
      </w:r>
      <w:r w:rsidR="00E270E9">
        <w:rPr>
          <w:rFonts w:ascii="Arial" w:hAnsi="Arial" w:cs="Arial"/>
        </w:rPr>
        <w:fldChar w:fldCharType="begin"/>
      </w:r>
      <w:r w:rsidR="00995B3D">
        <w:rPr>
          <w:rFonts w:ascii="Arial" w:hAnsi="Arial" w:cs="Arial"/>
        </w:rPr>
        <w:instrText xml:space="preserve"> ADDIN ZOTERO_ITEM CSL_CITATION {"citationID":"m3benR2G","properties":{"formattedCitation":"(Xing, Ledgeway, McGraw, &amp; Schluppeck, 2013)","plainCitation":"(Xing, Ledgeway, McGraw, &amp; Schluppeck, 2013)","dontUpdate":true,"noteIndex":0},"citationItems":[{"id":542,"uris":["http://zotero.org/groups/318634/items/VZ6TJRYJ"],"uri":["http://zotero.org/groups/318634/items/VZ6TJRYJ"],"itemData":{"id":542,"type":"article-journal","title":"Decoding working memory of stimulus contrast in early visual cortex","container-title":"The Journal of Neuroscience: The Official Journal of the Society for Neuroscience","page":"10301-10311","volume":"33","issue":"25","source":"PubMed","abstract":"Most studies of the early stages of visual analysis (V1-V3) have focused on the properties of neurons that support processing of elemental features of a visual stimulus or scene, such as local contrast, orientation, or direction of motion. Recent evidence from electrophysiology and neuroimaging studies, however, suggests that early visual cortex may also play a role in retaining stimulus representations in memory for short periods. For example, fMRI responses obtained during the delay period between two presentations of an oriented visual stimulus can be used to decode the remembered stimulus orientation with multivariate pattern analysis. Here, we investigated whether orientation is a special case or if this phenomenon generalizes to working memory traces of other visual features. We found that multivariate classification of fMRI signals from human visual cortex could be used to decode the contrast of a perceived stimulus even when the mean response changes were accounted for, suggesting some consistent spatial signal for contrast in these areas. Strikingly, we found that fMRI responses also supported decoding of contrast when the stimulus had to be remembered. Furthermore, classification generalized from perceived to remembered stimuli and vice versa, implying that the corresponding pattern of responses in early visual cortex were highly consistent. In additional analyses, we show that stimulus decoding here is driven by biases depending on stimulus eccentricity. This places important constraints on the interpretation for decoding stimulus properties for which cortical processing is known to vary with eccentricity, such as contrast, color, spatial frequency, and temporal frequency.","DOI":"10.1523/JNEUROSCI.3754-12.2013","ISSN":"1529-2401","note":"PMID: 23785144\nPMCID: PMC3722490","journalAbbreviation":"J. Neurosci.","language":"eng","author":[{"family":"Xing","given":"Yue"},{"family":"Ledgeway","given":"Tim"},{"family":"McGraw","given":"Paul V."},{"family":"Schluppeck","given":"Denis"}],"issued":{"date-parts":[["2013",6,19]]}}}],"schema":"https://github.com/citation-style-language/schema/raw/master/csl-citation.json"} </w:instrText>
      </w:r>
      <w:r w:rsidR="00E270E9">
        <w:rPr>
          <w:rFonts w:ascii="Arial" w:hAnsi="Arial" w:cs="Arial"/>
        </w:rPr>
        <w:fldChar w:fldCharType="separate"/>
      </w:r>
      <w:r w:rsidR="00E270E9">
        <w:rPr>
          <w:rFonts w:ascii="Arial" w:hAnsi="Arial" w:cs="Arial"/>
          <w:noProof/>
        </w:rPr>
        <w:t>Xing, Ledgeway, McGraw, &amp; Schluppeck, (2013)</w:t>
      </w:r>
      <w:r w:rsidR="00E270E9">
        <w:rPr>
          <w:rFonts w:ascii="Arial" w:hAnsi="Arial" w:cs="Arial"/>
        </w:rPr>
        <w:fldChar w:fldCharType="end"/>
      </w:r>
      <w:r w:rsidR="00E270E9">
        <w:rPr>
          <w:rFonts w:ascii="Arial" w:hAnsi="Arial" w:cs="Arial"/>
        </w:rPr>
        <w:t xml:space="preserve">, also demonstrated an ability to decode the contrast of a perceived stimulus </w:t>
      </w:r>
      <w:r w:rsidR="00B32612">
        <w:rPr>
          <w:rFonts w:ascii="Arial" w:hAnsi="Arial" w:cs="Arial"/>
        </w:rPr>
        <w:t xml:space="preserve">from activity in early retinotopic visual areas </w:t>
      </w:r>
      <w:r w:rsidR="00E270E9">
        <w:rPr>
          <w:rFonts w:ascii="Arial" w:hAnsi="Arial" w:cs="Arial"/>
        </w:rPr>
        <w:t xml:space="preserve">when the stimulus had to be held in working memory (i.e. during periods when no stimulus was present). Additionally, they demonstrated the generalisation of classification from a model trained on a perceived stimulus to a purely remembered stimulus and vice versa, demonstrating the highly consistent nature of feature-specific patterns of response </w:t>
      </w:r>
      <w:r w:rsidR="00D44AC6">
        <w:rPr>
          <w:rFonts w:ascii="Arial" w:hAnsi="Arial" w:cs="Arial"/>
        </w:rPr>
        <w:t>in</w:t>
      </w:r>
      <w:r w:rsidR="00E270E9">
        <w:rPr>
          <w:rFonts w:ascii="Arial" w:hAnsi="Arial" w:cs="Arial"/>
        </w:rPr>
        <w:t xml:space="preserve"> early visual cortex. </w:t>
      </w:r>
    </w:p>
    <w:p w14:paraId="211F6659" w14:textId="77777777" w:rsidR="00E270E9" w:rsidRDefault="00E270E9" w:rsidP="00F72546">
      <w:pPr>
        <w:spacing w:line="480" w:lineRule="auto"/>
        <w:rPr>
          <w:rFonts w:ascii="Arial" w:hAnsi="Arial" w:cs="Arial"/>
        </w:rPr>
      </w:pPr>
    </w:p>
    <w:p w14:paraId="1D186A7D" w14:textId="09A8D3E9" w:rsidR="0083451C" w:rsidRDefault="000C73FA" w:rsidP="00F72546">
      <w:pPr>
        <w:spacing w:line="480" w:lineRule="auto"/>
        <w:rPr>
          <w:rFonts w:ascii="Arial" w:hAnsi="Arial" w:cs="Arial"/>
        </w:rPr>
      </w:pPr>
      <w:r w:rsidRPr="00225AB0">
        <w:rPr>
          <w:rFonts w:ascii="Arial" w:hAnsi="Arial" w:cs="Arial"/>
        </w:rPr>
        <w:t xml:space="preserve">Additionally, the importance of studying the contribution of feature-based attention on visual cortex activation has been </w:t>
      </w:r>
      <w:r w:rsidRPr="001B7359">
        <w:rPr>
          <w:rFonts w:ascii="Arial" w:hAnsi="Arial" w:cs="Arial"/>
        </w:rPr>
        <w:t xml:space="preserve">highlighted </w:t>
      </w:r>
      <w:r w:rsidRPr="00170639">
        <w:rPr>
          <w:rFonts w:ascii="Arial" w:hAnsi="Arial" w:cs="Arial"/>
        </w:rPr>
        <w:t xml:space="preserve">by </w:t>
      </w:r>
      <w:r w:rsidRPr="00170639">
        <w:rPr>
          <w:rFonts w:ascii="Arial" w:hAnsi="Arial" w:cs="Arial"/>
        </w:rPr>
        <w:fldChar w:fldCharType="begin"/>
      </w:r>
      <w:r w:rsidR="005B4361" w:rsidRPr="00170639">
        <w:rPr>
          <w:rFonts w:ascii="Arial" w:hAnsi="Arial" w:cs="Arial"/>
        </w:rPr>
        <w:instrText xml:space="preserve"> ADDIN ZOTERO_ITEM CSL_CITATION {"citationID":"1Btkbv5s","properties":{"formattedCitation":"(A. C. Huk, Ress, &amp; Heeger, 2001)","plainCitation":"(A. C. Huk, Ress, &amp; Heeger, 2001)","dontUpdate":true,"noteIndex":0},"citationItems":[{"id":206,"uris":["http://zotero.org/groups/318634/items/INQRMTNQ"],"uri":["http://zotero.org/groups/318634/items/INQRMTNQ"],"itemData":{"id":206,"type":"article-journal","title":"Neuronal basis of the motion aftereffect reconsidered","container-title":"Neuron","page":"161-172","volume":"32","issue":"1","source":"PubMed","abstract":"Several fMRI studies have reported MT+ response increases correlated with perception of the motion aftereffect (MAE). However, attention can strongly affect MT+ responses, and subjects may naturally attend more to the MAE than control trials without MAE. We found that requiring subjects to attend to motion on both MAE and control trials produced equal levels of MT+ response, suggesting that attention may have confounded the interpretation of previous experiments; in our data, attention accounts for the entire effect. After eliminating this confound, we observed that direction-selective motion adaptation produced a direction-selective imbalance in MT+ responses (and earlier visual areas), and yielded a corresponding asymmetry in speed discrimination thresholds. These findings provide physiological evidence that population level response imbalances underlie the MAE, and quantify the relative proportions of direction-selective neurons across human visual areas.","ISSN":"0896-6273","note":"PMID: 11604147","journalAbbreviation":"Neuron","language":"eng","author":[{"family":"Huk","given":"A. C."},{"family":"Ress","given":"D."},{"family":"Heeger","given":"D. J."}],"issued":{"date-parts":[["2001",10,11]]}}}],"schema":"https://github.com/citation-style-language/schema/raw/master/csl-citation.json"} </w:instrText>
      </w:r>
      <w:r w:rsidRPr="00170639">
        <w:rPr>
          <w:rFonts w:ascii="Arial" w:hAnsi="Arial" w:cs="Arial"/>
        </w:rPr>
        <w:fldChar w:fldCharType="separate"/>
      </w:r>
      <w:r w:rsidR="00967B1F" w:rsidRPr="00170639">
        <w:rPr>
          <w:rFonts w:ascii="Arial" w:hAnsi="Arial" w:cs="Arial"/>
          <w:noProof/>
        </w:rPr>
        <w:t xml:space="preserve">Huk, Ress, &amp; Heeger, </w:t>
      </w:r>
      <w:r w:rsidR="001B7359" w:rsidRPr="00170639">
        <w:rPr>
          <w:rFonts w:ascii="Arial" w:hAnsi="Arial" w:cs="Arial"/>
          <w:noProof/>
        </w:rPr>
        <w:t>(</w:t>
      </w:r>
      <w:r w:rsidR="00967B1F" w:rsidRPr="00170639">
        <w:rPr>
          <w:rFonts w:ascii="Arial" w:hAnsi="Arial" w:cs="Arial"/>
          <w:noProof/>
        </w:rPr>
        <w:t>2001)</w:t>
      </w:r>
      <w:r w:rsidRPr="00170639">
        <w:rPr>
          <w:rFonts w:ascii="Arial" w:hAnsi="Arial" w:cs="Arial"/>
        </w:rPr>
        <w:fldChar w:fldCharType="end"/>
      </w:r>
      <w:r w:rsidRPr="001B7359">
        <w:rPr>
          <w:rFonts w:ascii="Arial" w:hAnsi="Arial" w:cs="Arial"/>
        </w:rPr>
        <w:t>.</w:t>
      </w:r>
      <w:r w:rsidRPr="00225AB0">
        <w:rPr>
          <w:rFonts w:ascii="Arial" w:hAnsi="Arial" w:cs="Arial"/>
        </w:rPr>
        <w:t xml:space="preserve"> They demonstrated that featural attention accounted for the reported increases of MT+ activation with the perception of a motion aftereffect. Hence, consideration of the contribution of attentional effects </w:t>
      </w:r>
      <w:r w:rsidR="00D44AC6">
        <w:rPr>
          <w:rFonts w:ascii="Arial" w:hAnsi="Arial" w:cs="Arial"/>
        </w:rPr>
        <w:t>in</w:t>
      </w:r>
      <w:r w:rsidRPr="00225AB0">
        <w:rPr>
          <w:rFonts w:ascii="Arial" w:hAnsi="Arial" w:cs="Arial"/>
        </w:rPr>
        <w:t xml:space="preserve"> visual research is vital</w:t>
      </w:r>
      <w:r w:rsidR="00CC7DCB">
        <w:rPr>
          <w:rFonts w:ascii="Arial" w:hAnsi="Arial" w:cs="Arial"/>
        </w:rPr>
        <w:t>.</w:t>
      </w:r>
    </w:p>
    <w:p w14:paraId="2038A2BC" w14:textId="77777777" w:rsidR="003874FF" w:rsidRPr="00225AB0" w:rsidRDefault="003874FF" w:rsidP="00F72546">
      <w:pPr>
        <w:spacing w:line="480" w:lineRule="auto"/>
        <w:rPr>
          <w:rFonts w:ascii="Arial" w:hAnsi="Arial" w:cs="Arial"/>
        </w:rPr>
      </w:pPr>
    </w:p>
    <w:p w14:paraId="37C7D9EB" w14:textId="77777777" w:rsidR="000C73FA" w:rsidRPr="00225AB0" w:rsidRDefault="000C73FA" w:rsidP="001811CC">
      <w:pPr>
        <w:pStyle w:val="Heading3"/>
        <w:numPr>
          <w:ilvl w:val="2"/>
          <w:numId w:val="2"/>
        </w:numPr>
        <w:rPr>
          <w:rFonts w:ascii="Arial" w:hAnsi="Arial" w:cs="Arial"/>
          <w:b/>
          <w:i/>
          <w:color w:val="000000" w:themeColor="text1"/>
          <w:sz w:val="28"/>
          <w:szCs w:val="28"/>
        </w:rPr>
      </w:pPr>
      <w:bookmarkStart w:id="142" w:name="_Toc11147960"/>
      <w:bookmarkStart w:id="143" w:name="_Toc11153906"/>
      <w:bookmarkStart w:id="144" w:name="_Toc11753612"/>
      <w:bookmarkStart w:id="145" w:name="_Toc11926798"/>
      <w:bookmarkStart w:id="146" w:name="_Toc11930031"/>
      <w:bookmarkStart w:id="147" w:name="_Toc16075347"/>
      <w:bookmarkStart w:id="148" w:name="_Toc16236970"/>
      <w:r w:rsidRPr="00225AB0">
        <w:rPr>
          <w:rFonts w:ascii="Arial" w:hAnsi="Arial" w:cs="Arial"/>
          <w:b/>
          <w:i/>
          <w:color w:val="000000" w:themeColor="text1"/>
          <w:sz w:val="28"/>
          <w:szCs w:val="28"/>
        </w:rPr>
        <w:t>Classification of attentional stat</w:t>
      </w:r>
      <w:bookmarkEnd w:id="142"/>
      <w:r w:rsidR="00A42D48" w:rsidRPr="00225AB0">
        <w:rPr>
          <w:rFonts w:ascii="Arial" w:hAnsi="Arial" w:cs="Arial"/>
          <w:b/>
          <w:i/>
          <w:color w:val="000000" w:themeColor="text1"/>
          <w:sz w:val="28"/>
          <w:szCs w:val="28"/>
        </w:rPr>
        <w:t>e</w:t>
      </w:r>
      <w:bookmarkEnd w:id="143"/>
      <w:bookmarkEnd w:id="144"/>
      <w:bookmarkEnd w:id="145"/>
      <w:bookmarkEnd w:id="146"/>
      <w:bookmarkEnd w:id="147"/>
      <w:bookmarkEnd w:id="148"/>
    </w:p>
    <w:p w14:paraId="08FFDB20" w14:textId="77777777" w:rsidR="00A42D48" w:rsidRPr="00225AB0" w:rsidRDefault="00A42D48" w:rsidP="00A42D48">
      <w:pPr>
        <w:pStyle w:val="ListParagraph"/>
        <w:rPr>
          <w:rFonts w:ascii="Arial" w:hAnsi="Arial" w:cs="Arial"/>
        </w:rPr>
      </w:pPr>
    </w:p>
    <w:p w14:paraId="5A860A6E" w14:textId="5F551085" w:rsidR="000C73FA" w:rsidRPr="00225AB0" w:rsidRDefault="000C73FA" w:rsidP="000C73FA">
      <w:pPr>
        <w:spacing w:line="480" w:lineRule="auto"/>
        <w:rPr>
          <w:rFonts w:ascii="Arial" w:hAnsi="Arial" w:cs="Arial"/>
        </w:rPr>
      </w:pPr>
      <w:r w:rsidRPr="00225AB0">
        <w:rPr>
          <w:rFonts w:ascii="Arial" w:hAnsi="Arial" w:cs="Arial"/>
        </w:rPr>
        <w:t xml:space="preserve">Whilst it is widely accepted attention modulates activity </w:t>
      </w:r>
      <w:r w:rsidR="00D44AC6">
        <w:rPr>
          <w:rFonts w:ascii="Arial" w:hAnsi="Arial" w:cs="Arial"/>
        </w:rPr>
        <w:t>in</w:t>
      </w:r>
      <w:r w:rsidRPr="00225AB0">
        <w:rPr>
          <w:rFonts w:ascii="Arial" w:hAnsi="Arial" w:cs="Arial"/>
        </w:rPr>
        <w:t xml:space="preserve"> the visual cortex in areas responsive to the attended location or feature, the scale of these modulatory effects is less clearly understood. Much recent research has demonstrated, using multivariate (voxel-level) analysis techniques, that it is possible to identify the visual feature attended. For example, </w:t>
      </w:r>
      <w:r w:rsidRPr="00225AB0">
        <w:rPr>
          <w:rFonts w:ascii="Arial" w:hAnsi="Arial" w:cs="Arial"/>
        </w:rPr>
        <w:fldChar w:fldCharType="begin"/>
      </w:r>
      <w:r w:rsidR="005B4361">
        <w:rPr>
          <w:rFonts w:ascii="Arial" w:hAnsi="Arial" w:cs="Arial"/>
        </w:rPr>
        <w:instrText xml:space="preserve"> ADDIN ZOTERO_ITEM CSL_CITATION {"citationID":"lq3rN9qo","properties":{"formattedCitation":"(Kamitani &amp; Tong, 2005)","plainCitation":"(Kamitani &amp; Tong, 2005)","dontUpdate":true,"noteIndex":0},"citationItems":[{"id":242,"uris":["http://zotero.org/groups/318634/items/TYYPVP7C"],"uri":["http://zotero.org/groups/318634/items/TYYPVP7C"],"itemData":{"id":242,"type":"article-journal","title":"Decoding the visual and subjective contents of the human brain","container-title":"Nature Neuroscience","page":"679-685","volume":"8","issue":"5","source":"PubMed","abstract":"The potential for human neuroimaging to read out the detailed contents of a person's mental state has yet to be fully explored. We investigated whether the perception of edge orientation, a fundamental visual feature, can be decoded from human brain activity measured with functional magnetic resonance imaging (fMRI). Using statistical algorithms to classify brain states, we found that ensemble fMRI signals in early visual areas could reliably predict on individual trials which of eight stimulus orientations the subject was seeing. Moreover, when subjects had to attend to one of two overlapping orthogonal gratings, feature-based attention strongly biased ensemble activity toward the attended orientation. These results demonstrate that fMRI activity patterns in early visual areas, including primary visual cortex (V1), contain detailed orientation information that can reliably predict subjective perception. Our approach provides a framework for the readout of fine-tuned representations in the human brain and their subjective contents.","DOI":"10.1038/nn1444","ISSN":"1097-6256","note":"PMID: 15852014\nPMCID: PMC1808230","journalAbbreviation":"Nat. Neurosci.","language":"eng","author":[{"family":"Kamitani","given":"Yukiyasu"},{"family":"Tong","given":"Frank"}],"issued":{"date-parts":[["2005",5]]}}}],"schema":"https://github.com/citation-style-language/schema/raw/master/csl-citation.json"} </w:instrText>
      </w:r>
      <w:r w:rsidRPr="00225AB0">
        <w:rPr>
          <w:rFonts w:ascii="Arial" w:hAnsi="Arial" w:cs="Arial"/>
        </w:rPr>
        <w:fldChar w:fldCharType="separate"/>
      </w:r>
      <w:r w:rsidRPr="00225AB0">
        <w:rPr>
          <w:rFonts w:ascii="Arial" w:hAnsi="Arial" w:cs="Arial"/>
          <w:noProof/>
        </w:rPr>
        <w:t>Kamitani &amp; Tong, (2005)</w:t>
      </w:r>
      <w:r w:rsidRPr="00225AB0">
        <w:rPr>
          <w:rFonts w:ascii="Arial" w:hAnsi="Arial" w:cs="Arial"/>
        </w:rPr>
        <w:fldChar w:fldCharType="end"/>
      </w:r>
      <w:r w:rsidRPr="00225AB0">
        <w:rPr>
          <w:rFonts w:ascii="Arial" w:hAnsi="Arial" w:cs="Arial"/>
        </w:rPr>
        <w:t xml:space="preserve"> used fMRI to demonstrate it is possible to decode which of eight stimulus orientations a participant was attending to, from the pattern of </w:t>
      </w:r>
      <w:r w:rsidRPr="00225AB0">
        <w:rPr>
          <w:rFonts w:ascii="Arial" w:hAnsi="Arial" w:cs="Arial"/>
        </w:rPr>
        <w:lastRenderedPageBreak/>
        <w:t xml:space="preserve">activation across voxels </w:t>
      </w:r>
      <w:r w:rsidR="00D44AC6">
        <w:rPr>
          <w:rFonts w:ascii="Arial" w:hAnsi="Arial" w:cs="Arial"/>
        </w:rPr>
        <w:t>in</w:t>
      </w:r>
      <w:r w:rsidRPr="00225AB0">
        <w:rPr>
          <w:rFonts w:ascii="Arial" w:hAnsi="Arial" w:cs="Arial"/>
        </w:rPr>
        <w:t xml:space="preserve"> early visual cortical regions (V1-hV4 independently). </w:t>
      </w:r>
      <w:r w:rsidRPr="00225AB0">
        <w:rPr>
          <w:rFonts w:ascii="Arial" w:hAnsi="Arial" w:cs="Arial"/>
        </w:rPr>
        <w:fldChar w:fldCharType="begin"/>
      </w:r>
      <w:r w:rsidR="005B4361">
        <w:rPr>
          <w:rFonts w:ascii="Arial" w:hAnsi="Arial" w:cs="Arial"/>
        </w:rPr>
        <w:instrText xml:space="preserve"> ADDIN ZOTERO_ITEM CSL_CITATION {"citationID":"UZGwDoam","properties":{"formattedCitation":"(Kamitani &amp; Tong, 2006)","plainCitation":"(Kamitani &amp; Tong, 2006)","dontUpdate":true,"noteIndex":0},"citationItems":[{"id":252,"uris":["http://zotero.org/groups/318634/items/9NXTJXD4"],"uri":["http://zotero.org/groups/318634/items/9NXTJXD4"],"itemData":{"id":252,"type":"article-journal","title":"Decoding seen and attended motion directions from activity in the human visual cortex","container-title":"Current biology: CB","page":"1096-1102","volume":"16","issue":"11","source":"PubMed","abstract":"Functional neuroimaging has successfully identified brain areas that show greater responses to visual motion and adapted responses to repeated motion directions. However, such methods have been thought to lack the sensitivity and spatial resolution to isolate direction-selective responses to individual motion stimuli. Here, we used functional magnetic resonance imaging (fMRI) and pattern classification methods to show that ensemble activity patterns in human visual cortex contain robust direction-selective information, from which it is possible to decode seen and attended motion directions. Ensemble activity in areas V1-V4 and MT+/V5 allowed us to decode which of eight possible motion directions the subject was viewing on individual stimulus blocks. Moreover, ensemble activity evoked by single motion directions could effectively predict which of two overlapping motion directions was the focus of the subject's attention and presumably dominant in perception. Our results indicate that feature-based attention can bias direction-selective population activity in multiple visual areas, including MT+/V5 and early visual areas (V1-V4), consistent with gain-modulation models of feature-based attention and theories of early attentional selection. Our approach for measuring ensemble direction selectivity may provide new opportunities to investigate relationships between attentional selection, conscious perception, and direction-selective responses in the human brain.","DOI":"10.1016/j.cub.2006.04.003","ISSN":"0960-9822","note":"PMID: 16753563\nPMCID: PMC1635016","journalAbbreviation":"Curr. Biol.","language":"eng","author":[{"family":"Kamitani","given":"Yukiyasu"},{"family":"Tong","given":"Frank"}],"issued":{"date-parts":[["2006",6,6]]}}}],"schema":"https://github.com/citation-style-language/schema/raw/master/csl-citation.json"} </w:instrText>
      </w:r>
      <w:r w:rsidRPr="00225AB0">
        <w:rPr>
          <w:rFonts w:ascii="Arial" w:hAnsi="Arial" w:cs="Arial"/>
        </w:rPr>
        <w:fldChar w:fldCharType="separate"/>
      </w:r>
      <w:r w:rsidRPr="00225AB0">
        <w:rPr>
          <w:rFonts w:ascii="Arial" w:hAnsi="Arial" w:cs="Arial"/>
          <w:noProof/>
        </w:rPr>
        <w:t>Kamitani &amp; Tong, (2006)</w:t>
      </w:r>
      <w:r w:rsidRPr="00225AB0">
        <w:rPr>
          <w:rFonts w:ascii="Arial" w:hAnsi="Arial" w:cs="Arial"/>
        </w:rPr>
        <w:fldChar w:fldCharType="end"/>
      </w:r>
      <w:r w:rsidRPr="00225AB0">
        <w:rPr>
          <w:rFonts w:ascii="Arial" w:hAnsi="Arial" w:cs="Arial"/>
        </w:rPr>
        <w:t xml:space="preserve"> also demonstrate</w:t>
      </w:r>
      <w:r w:rsidR="00C54A10">
        <w:rPr>
          <w:rFonts w:ascii="Arial" w:hAnsi="Arial" w:cs="Arial"/>
        </w:rPr>
        <w:t>d</w:t>
      </w:r>
      <w:r w:rsidRPr="00225AB0">
        <w:rPr>
          <w:rFonts w:ascii="Arial" w:hAnsi="Arial" w:cs="Arial"/>
        </w:rPr>
        <w:t xml:space="preserve"> above-chance decoding accuracies for motion direction, even during presentation of an ambiguous motion stimulus. </w:t>
      </w:r>
    </w:p>
    <w:p w14:paraId="634AF374" w14:textId="77777777" w:rsidR="000C73FA" w:rsidRPr="00225AB0" w:rsidRDefault="000C73FA" w:rsidP="000C73FA">
      <w:pPr>
        <w:spacing w:line="480" w:lineRule="auto"/>
        <w:rPr>
          <w:rFonts w:ascii="Arial" w:hAnsi="Arial" w:cs="Arial"/>
        </w:rPr>
      </w:pPr>
    </w:p>
    <w:p w14:paraId="4D6A8CA5" w14:textId="5D67A6FD" w:rsidR="000C73FA" w:rsidRPr="00225AB0" w:rsidRDefault="000C73FA" w:rsidP="000C73FA">
      <w:pPr>
        <w:spacing w:line="480" w:lineRule="auto"/>
        <w:rPr>
          <w:rFonts w:ascii="Arial" w:hAnsi="Arial" w:cs="Arial"/>
        </w:rPr>
      </w:pPr>
      <w:r w:rsidRPr="00225AB0">
        <w:rPr>
          <w:rFonts w:ascii="Arial" w:hAnsi="Arial" w:cs="Arial"/>
        </w:rPr>
        <w:t xml:space="preserve">Since these initial findings, many other researchers have demonstrated similar classification abilities. </w:t>
      </w:r>
      <w:r w:rsidRPr="00225AB0">
        <w:rPr>
          <w:rFonts w:ascii="Arial" w:hAnsi="Arial" w:cs="Arial"/>
        </w:rPr>
        <w:fldChar w:fldCharType="begin"/>
      </w:r>
      <w:r w:rsidR="005B4361">
        <w:rPr>
          <w:rFonts w:ascii="Arial" w:hAnsi="Arial" w:cs="Arial"/>
        </w:rPr>
        <w:instrText xml:space="preserve"> ADDIN ZOTERO_ITEM CSL_CITATION {"citationID":"XMhC5qOx","properties":{"formattedCitation":"(Mannion, McDonald, &amp; Clifford, 2009)","plainCitation":"(Mannion, McDonald, &amp; Clifford, 2009)","dontUpdate":true,"noteIndex":0},"citationItems":[{"id":99,"uris":["http://zotero.org/groups/318634/items/KGIFYJHF"],"uri":["http://zotero.org/groups/318634/items/KGIFYJHF"],"itemData":{"id":99,"type":"article-journal","title":"Discrimination of the local orientation structure of spiral Glass patterns early in human visual cortex","container-title":"NeuroImage","page":"511-515","volume":"46","issue":"2","source":"PubMed","abstract":"The local orientation structure of a visual image is fundamental to the perception of spatial form. Reports of reliable orientation-selective modulations in the pattern of fMRI activity have demonstrated the potential for investigating the representation of orientation in the human visual cortex. Orientation-selective voxel responses could arise from anisotropies in the preferred orientations of pooled neurons due to the random sampling of the cortical surface. However, it is unclear whether orientation-selective voxel responses reflect biases in the underlying distribution of neuronal orientation preference, such as the demonstrated over-representation of radial orientations (those collinear with fixation). Here, we investigated whether stimuli balanced in their radial components could evoke orientation-selective biases in voxel activity. We attempted to discriminate the sense of spiral Glass patterns (opening anti-clockwise or clockwise), in which the local orientation structure was defined by the placement of paired dots at an orientation offset from the radial. We found that information within the spatial pattern of fMRI responses in each of V1, V2, V3, and V3A/B allowed discrimination of the spiral sense with accuracies significantly above chance. This result demonstrates that orientation-selective voxel responses can arise without the influence of a radial bias. Furthermore, the finding indicates the importance of the early visual areas in representing the local orientation structure for the perception of complex spatial form.","ISSN":"1095-9572","note":"PMID: 19385017","journalAbbreviation":"Neuroimage","language":"eng","author":[{"family":"Mannion","given":"D. J."},{"family":"McDonald","given":"J. S."},{"family":"Clifford","given":"C. W. G."}],"issued":{"date-parts":[["2009",6]]}}}],"schema":"https://github.com/citation-style-language/schema/raw/master/csl-citation.json"} </w:instrText>
      </w:r>
      <w:r w:rsidRPr="00225AB0">
        <w:rPr>
          <w:rFonts w:ascii="Arial" w:hAnsi="Arial" w:cs="Arial"/>
        </w:rPr>
        <w:fldChar w:fldCharType="separate"/>
      </w:r>
      <w:r w:rsidRPr="00225AB0">
        <w:rPr>
          <w:rFonts w:ascii="Arial" w:hAnsi="Arial" w:cs="Arial"/>
          <w:noProof/>
        </w:rPr>
        <w:t>Mannion, McDonald, &amp; Clifford, (2009)</w:t>
      </w:r>
      <w:r w:rsidRPr="00225AB0">
        <w:rPr>
          <w:rFonts w:ascii="Arial" w:hAnsi="Arial" w:cs="Arial"/>
        </w:rPr>
        <w:fldChar w:fldCharType="end"/>
      </w:r>
      <w:r w:rsidRPr="00225AB0">
        <w:rPr>
          <w:rFonts w:ascii="Arial" w:hAnsi="Arial" w:cs="Arial"/>
        </w:rPr>
        <w:t xml:space="preserve"> exhibited successful classification of orientation (clockwise or anticlockwise) </w:t>
      </w:r>
      <w:r w:rsidR="00D44AC6">
        <w:rPr>
          <w:rFonts w:ascii="Arial" w:hAnsi="Arial" w:cs="Arial"/>
        </w:rPr>
        <w:t>in</w:t>
      </w:r>
      <w:r w:rsidRPr="00225AB0">
        <w:rPr>
          <w:rFonts w:ascii="Arial" w:hAnsi="Arial" w:cs="Arial"/>
        </w:rPr>
        <w:t xml:space="preserve"> a glass pattern stimulus balanced in its radial components. </w:t>
      </w:r>
      <w:r w:rsidRPr="00225AB0">
        <w:rPr>
          <w:rFonts w:ascii="Arial" w:hAnsi="Arial" w:cs="Arial"/>
        </w:rPr>
        <w:fldChar w:fldCharType="begin"/>
      </w:r>
      <w:r w:rsidR="00321AB9">
        <w:rPr>
          <w:rFonts w:ascii="Arial" w:hAnsi="Arial" w:cs="Arial"/>
        </w:rPr>
        <w:instrText xml:space="preserve"> ADDIN ZOTERO_ITEM CSL_CITATION {"citationID":"GrEwWJUb","properties":{"formattedCitation":"(Brouwer &amp; Heeger, 2009)","plainCitation":"(Brouwer &amp; Heeger, 2009)","dontUpdate":true,"noteIndex":0},"citationItems":[{"id":275,"uris":["http://zotero.org/groups/318634/items/QTDSBB45"],"uri":["http://zotero.org/groups/318634/items/QTDSBB45"],"itemData":{"id":275,"type":"article-journal","title":"Decoding and reconstructing color from responses in human visual cortex","container-title":"The Journal of Neuroscience: The Official Journal of the Society for Neuroscience","page":"13992-14003","volume":"29","issue":"44","source":"PubMed","abstract":"How is color represented by spatially distributed patterns of activity in visual cortex? Functional magnetic resonance imaging responses to several stimulus colors were analyzed with multivariate techniques: conventional pattern classification, a forward model of idealized color tuning, and principal component analysis (PCA). Stimulus color was accurately decoded from activity in V1, V2, V3, V4, and VO1 but not LO1, LO2, V3A/B, or MT+. The conventional classifier and forward model yielded similar accuracies, but the forward model (unlike the classifier) also reliably reconstructed novel stimulus colors not used to train (specify parameters of) the model. The mean responses, averaged across voxels in each visual area, were not reliably distinguishable for the different stimulus colors. Hence, each stimulus color was associated with a unique spatially distributed pattern of activity, presumably reflecting the color selectivity of cortical neurons. Using PCA, a color space was derived from the covariation, across voxels, in the responses to different colors. In V4 and VO1, the first two principal component scores (main source of variation) of the responses revealed a progression through perceptual color space, with perceptually similar colors evoking the most similar responses. This was not the case for any of the other visual cortical areas, including V1, although decoding was most accurate in V1. This dissociation implies a transformation from the color representation in V1 to reflect perceptual color space in V4 and VO1.","DOI":"10.1523/JNEUROSCI.3577-09.2009","ISSN":"1529-2401","note":"PMID: 19890009\nPMCID: PMC2799419","journalAbbreviation":"J. Neurosci.","language":"eng","author":[{"family":"Brouwer","given":"Gijs Joost"},{"family":"Heeger","given":"David J."}],"issued":{"date-parts":[["2009",11,4]]}}}],"schema":"https://github.com/citation-style-language/schema/raw/master/csl-citation.json"} </w:instrText>
      </w:r>
      <w:r w:rsidRPr="00225AB0">
        <w:rPr>
          <w:rFonts w:ascii="Arial" w:hAnsi="Arial" w:cs="Arial"/>
        </w:rPr>
        <w:fldChar w:fldCharType="separate"/>
      </w:r>
      <w:r w:rsidRPr="00225AB0">
        <w:rPr>
          <w:rFonts w:ascii="Arial" w:hAnsi="Arial" w:cs="Arial"/>
          <w:noProof/>
        </w:rPr>
        <w:t>Brouwer &amp; Heeger, (2009)</w:t>
      </w:r>
      <w:r w:rsidRPr="00225AB0">
        <w:rPr>
          <w:rFonts w:ascii="Arial" w:hAnsi="Arial" w:cs="Arial"/>
        </w:rPr>
        <w:fldChar w:fldCharType="end"/>
      </w:r>
      <w:r w:rsidRPr="00225AB0">
        <w:rPr>
          <w:rFonts w:ascii="Arial" w:hAnsi="Arial" w:cs="Arial"/>
        </w:rPr>
        <w:t xml:space="preserve"> additionally provided evidence for the decoding of stimulus colour across early visual areas. Interestingly, </w:t>
      </w:r>
      <w:r w:rsidRPr="00225AB0">
        <w:rPr>
          <w:rFonts w:ascii="Arial" w:hAnsi="Arial" w:cs="Arial"/>
        </w:rPr>
        <w:fldChar w:fldCharType="begin"/>
      </w:r>
      <w:r w:rsidR="00321AB9">
        <w:rPr>
          <w:rFonts w:ascii="Arial" w:hAnsi="Arial" w:cs="Arial"/>
        </w:rPr>
        <w:instrText xml:space="preserve"> ADDIN ZOTERO_ITEM CSL_CITATION {"citationID":"eb0ZkpL9","properties":{"formattedCitation":"(Sumner et al., 2008)","plainCitation":"(Sumner et al., 2008)","dontUpdate":true,"noteIndex":0},"citationItems":[{"id":56,"uris":["http://zotero.org/groups/318634/items/LRFY4LYQ"],"uri":["http://zotero.org/groups/318634/items/LRFY4LYQ"],"itemData":{"id":56,"type":"article-journal","title":"Combined orientation and colour information in human V1 for both L-M and S-cone chromatic axes","container-title":"NeuroImage","page":"814-824","volume":"39","issue":"2","source":"PubMed","abstract":"Although it is widely held that colour and form are processed separately in early visual cortex, there is growing evidence that primary visual cortex (V1) may show some joint selectivity for orientation and colour. Colour is supplied to V1 via two very different pathways: the parvocellular pathway (which also supports detailed form processing) carries L-M (\"red-green\") chromatic information, while a koniocellular pathway carries S-cone (\"lilac-yellow\") information. Therefore on entering V1, S-cone information is segregated from the pathways carrying form information, while L-M information is not. Whether signals from neuronal populations in human V1 reflect combined orientation and S-cone information has not been systematically addressed. We used fMRI in combination with a multivariate data analysis technique to investigate whether BOLD signals recorded from V1 contain information that could directly discriminate between orientations based on different types of chromatic information. We found selectivity in V1 for L-M and luminance-defined orientation signals, and most interestingly, also for S-cone defined orientation. We also found similarly successful orientation discrimination for both colour dimensions in V2 and V3. These results imply that a proportion of cells throughout human visual cortex show joint sensitivity to both colour and orientation. We discuss also the potential role of feedback to V1 from higher visual areas.","DOI":"10.1016/j.neuroimage.2007.09.013","ISSN":"1053-8119","note":"PMID: 17964188","journalAbbreviation":"Neuroimage","language":"eng","author":[{"family":"Sumner","given":"Petroc"},{"family":"Anderson","given":"Elaine J."},{"family":"Sylvester","given":"Richard"},{"family":"Haynes","given":"John-Dylan"},{"family":"Rees","given":"Geraint"}],"issued":{"date-parts":[["2008",1,15]]}}}],"schema":"https://github.com/citation-style-language/schema/raw/master/csl-citation.json"} </w:instrText>
      </w:r>
      <w:r w:rsidRPr="00225AB0">
        <w:rPr>
          <w:rFonts w:ascii="Arial" w:hAnsi="Arial" w:cs="Arial"/>
        </w:rPr>
        <w:fldChar w:fldCharType="separate"/>
      </w:r>
      <w:r w:rsidRPr="00225AB0">
        <w:rPr>
          <w:rFonts w:ascii="Arial" w:hAnsi="Arial" w:cs="Arial"/>
          <w:noProof/>
        </w:rPr>
        <w:t>Sumner et al., (2008)</w:t>
      </w:r>
      <w:r w:rsidRPr="00225AB0">
        <w:rPr>
          <w:rFonts w:ascii="Arial" w:hAnsi="Arial" w:cs="Arial"/>
        </w:rPr>
        <w:fldChar w:fldCharType="end"/>
      </w:r>
      <w:r w:rsidRPr="00225AB0">
        <w:rPr>
          <w:rFonts w:ascii="Arial" w:hAnsi="Arial" w:cs="Arial"/>
        </w:rPr>
        <w:t xml:space="preserve"> demonstrated successful classification of colour-orientation interactions; in visual areas V1, V2 and V3, it was possible to decode luminance-, red-green- and blue-yellow-defined orientations. Furthermore, </w:t>
      </w:r>
      <w:r w:rsidRPr="00225AB0">
        <w:rPr>
          <w:rFonts w:ascii="Arial" w:hAnsi="Arial" w:cs="Arial"/>
        </w:rPr>
        <w:fldChar w:fldCharType="begin"/>
      </w:r>
      <w:r w:rsidR="00321AB9">
        <w:rPr>
          <w:rFonts w:ascii="Arial" w:hAnsi="Arial" w:cs="Arial"/>
        </w:rPr>
        <w:instrText xml:space="preserve"> ADDIN ZOTERO_ITEM CSL_CITATION {"citationID":"YyPJEwSI","properties":{"formattedCitation":"(Harrison &amp; Tong, 2009)","plainCitation":"(Harrison &amp; Tong, 2009)","dontUpdate":true,"noteIndex":0},"citationItems":[{"id":159,"uris":["http://zotero.org/groups/318634/items/27EEG6TT"],"uri":["http://zotero.org/groups/318634/items/27EEG6TT"],"itemData":{"id":159,"type":"article-journal","title":"Decoding reveals the contents of visual working memory in early visual areas","container-title":"Nature","page":"632-635","volume":"458","issue":"7238","source":"PubMed","abstract":"Visual working memory provides an essential link between perception and higher cognitive functions, allowing for the active maintenance of information about stimuli no longer in view. Research suggests that sustained activity in higher-order prefrontal, parietal, inferotemporal and lateral occipital areas supports visual maintenance, and may account for the limited capacity of working memory to hold up to 3-4 items. Because higher-order areas lack the visual selectivity of early sensory areas, it has remained unclear how observers can remember specific visual features, such as the precise orientation of a grating, with minimal decay in performance over delays of many seconds. One proposal is that sensory areas serve to maintain fine-tuned feature information, but early visual areas show little to no sustained activity over prolonged delays. Here we show that orientations held in working memory can be decoded from activity patterns in the human visual cortex, even when overall levels of activity are low. Using functional magnetic resonance imaging and pattern classification methods, we found that activity patterns in visual areas V1-V4 could predict which of two oriented gratings was held in memory with mean accuracy levels upwards of 80%, even in participants whose activity fell to baseline levels after a prolonged delay. These orientation-selective activity patterns were sustained throughout the delay period, evident in individual visual areas, and similar to the responses evoked by unattended, task-irrelevant gratings. Our results demonstrate that early visual areas can retain specific information about visual features held in working memory, over periods of many seconds when no physical stimulus is present.","DOI":"10.1038/nature07832","ISSN":"1476-4687","note":"PMID: 19225460\nPMCID: PMC2709809","journalAbbreviation":"Nature","language":"eng","author":[{"family":"Harrison","given":"Stephenie A."},{"family":"Tong","given":"Frank"}],"issued":{"date-parts":[["2009",4,2]]}}}],"schema":"https://github.com/citation-style-language/schema/raw/master/csl-citation.json"} </w:instrText>
      </w:r>
      <w:r w:rsidRPr="00225AB0">
        <w:rPr>
          <w:rFonts w:ascii="Arial" w:hAnsi="Arial" w:cs="Arial"/>
        </w:rPr>
        <w:fldChar w:fldCharType="separate"/>
      </w:r>
      <w:r w:rsidRPr="00225AB0">
        <w:rPr>
          <w:rFonts w:ascii="Arial" w:hAnsi="Arial" w:cs="Arial"/>
          <w:noProof/>
        </w:rPr>
        <w:t>Harrison &amp; Tong, (2009)</w:t>
      </w:r>
      <w:r w:rsidRPr="00225AB0">
        <w:rPr>
          <w:rFonts w:ascii="Arial" w:hAnsi="Arial" w:cs="Arial"/>
        </w:rPr>
        <w:fldChar w:fldCharType="end"/>
      </w:r>
      <w:r w:rsidRPr="00225AB0">
        <w:rPr>
          <w:rFonts w:ascii="Arial" w:hAnsi="Arial" w:cs="Arial"/>
        </w:rPr>
        <w:t xml:space="preserve"> provided evidence for the ability to predict which of two oriented gratings was held in working memory in early visual areas (V1-hV4), demonstrating the clear existence of feature-specific patterns of attentional modulation at the multivariate level. </w:t>
      </w:r>
    </w:p>
    <w:p w14:paraId="0BA2782D" w14:textId="77777777" w:rsidR="000C73FA" w:rsidRPr="00225AB0" w:rsidRDefault="000C73FA" w:rsidP="000C73FA">
      <w:pPr>
        <w:spacing w:line="480" w:lineRule="auto"/>
        <w:rPr>
          <w:rFonts w:ascii="Arial" w:hAnsi="Arial" w:cs="Arial"/>
        </w:rPr>
      </w:pPr>
    </w:p>
    <w:p w14:paraId="72E90ED7" w14:textId="3FCE72A2" w:rsidR="000C73FA" w:rsidRPr="00225AB0" w:rsidRDefault="000C73FA" w:rsidP="000C73FA">
      <w:pPr>
        <w:spacing w:line="480" w:lineRule="auto"/>
        <w:rPr>
          <w:rFonts w:ascii="Arial" w:hAnsi="Arial" w:cs="Arial"/>
        </w:rPr>
      </w:pPr>
      <w:r w:rsidRPr="00225AB0">
        <w:rPr>
          <w:rFonts w:ascii="Arial" w:hAnsi="Arial" w:cs="Arial"/>
        </w:rPr>
        <w:t xml:space="preserve">However, there exists debate regarding the driving forces behind these successful classification analyses. For example, </w:t>
      </w:r>
      <w:r w:rsidRPr="00225AB0">
        <w:rPr>
          <w:rFonts w:ascii="Arial" w:hAnsi="Arial" w:cs="Arial"/>
        </w:rPr>
        <w:fldChar w:fldCharType="begin"/>
      </w:r>
      <w:r w:rsidR="00321AB9">
        <w:rPr>
          <w:rFonts w:ascii="Arial" w:hAnsi="Arial" w:cs="Arial"/>
        </w:rPr>
        <w:instrText xml:space="preserve"> ADDIN ZOTERO_ITEM CSL_CITATION {"citationID":"7fDTZVUw","properties":{"formattedCitation":"(Freeman, Brouwer, Heeger, &amp; Merriam, 2011)","plainCitation":"(Freeman, Brouwer, Heeger, &amp; Merriam, 2011)","dontUpdate":true,"noteIndex":0},"citationItems":[{"id":247,"uris":["http://zotero.org/groups/318634/items/87VKZCHG"],"uri":["http://zotero.org/groups/318634/items/87VKZCHG"],"itemData":{"id":247,"type":"article-journal","title":"Orientation decoding depends on maps, not columns","container-title":"Journal of Neuroscience","page":"4792–4804","volume":"31","issue":"13","source":"Google Scholar","author":[{"family":"Freeman","given":"Jeremy"},{"family":"Brouwer","given":"Gijs Joost"},{"family":"Heeger","given":"David J."},{"family":"Merriam","given":"Elisha P."}],"issued":{"date-parts":[["2011"]]}}}],"schema":"https://github.com/citation-style-language/schema/raw/master/csl-citation.json"} </w:instrText>
      </w:r>
      <w:r w:rsidRPr="00225AB0">
        <w:rPr>
          <w:rFonts w:ascii="Arial" w:hAnsi="Arial" w:cs="Arial"/>
        </w:rPr>
        <w:fldChar w:fldCharType="separate"/>
      </w:r>
      <w:r w:rsidRPr="00225AB0">
        <w:rPr>
          <w:rFonts w:ascii="Arial" w:hAnsi="Arial" w:cs="Arial"/>
          <w:noProof/>
        </w:rPr>
        <w:t>Freeman, Brouwer, Heeger, &amp; Merriam, (2011)</w:t>
      </w:r>
      <w:r w:rsidRPr="00225AB0">
        <w:rPr>
          <w:rFonts w:ascii="Arial" w:hAnsi="Arial" w:cs="Arial"/>
        </w:rPr>
        <w:fldChar w:fldCharType="end"/>
      </w:r>
      <w:r w:rsidRPr="00225AB0">
        <w:rPr>
          <w:rFonts w:ascii="Arial" w:hAnsi="Arial" w:cs="Arial"/>
        </w:rPr>
        <w:t xml:space="preserve"> argued that the successful classification of attended orientation was driven by large-scale coarse topographical biases in the mapping of orientation columns </w:t>
      </w:r>
      <w:r w:rsidR="00D44AC6">
        <w:rPr>
          <w:rFonts w:ascii="Arial" w:hAnsi="Arial" w:cs="Arial"/>
        </w:rPr>
        <w:t>in</w:t>
      </w:r>
      <w:r w:rsidRPr="00225AB0">
        <w:rPr>
          <w:rFonts w:ascii="Arial" w:hAnsi="Arial" w:cs="Arial"/>
        </w:rPr>
        <w:t xml:space="preserve"> V1. This viewpoint regarding large-scale biases in the underlying mapping of visual cortical regions</w:t>
      </w:r>
      <w:r w:rsidR="00233230">
        <w:rPr>
          <w:rFonts w:ascii="Arial" w:hAnsi="Arial" w:cs="Arial"/>
        </w:rPr>
        <w:t xml:space="preserve"> as sufficient for classification of an attended feature</w:t>
      </w:r>
      <w:r w:rsidRPr="00225AB0">
        <w:rPr>
          <w:rFonts w:ascii="Arial" w:hAnsi="Arial" w:cs="Arial"/>
        </w:rPr>
        <w:t xml:space="preserve"> has clear support </w:t>
      </w:r>
      <w:r w:rsidR="00D44AC6">
        <w:rPr>
          <w:rFonts w:ascii="Arial" w:hAnsi="Arial" w:cs="Arial"/>
        </w:rPr>
        <w:t>in</w:t>
      </w:r>
      <w:r w:rsidRPr="00225AB0">
        <w:rPr>
          <w:rFonts w:ascii="Arial" w:hAnsi="Arial" w:cs="Arial"/>
        </w:rPr>
        <w:t xml:space="preserve"> the literature </w:t>
      </w:r>
      <w:r w:rsidRPr="00225AB0">
        <w:rPr>
          <w:rFonts w:ascii="Arial" w:hAnsi="Arial" w:cs="Arial"/>
        </w:rPr>
        <w:lastRenderedPageBreak/>
        <w:fldChar w:fldCharType="begin"/>
      </w:r>
      <w:r w:rsidR="00233230">
        <w:rPr>
          <w:rFonts w:ascii="Arial" w:hAnsi="Arial" w:cs="Arial"/>
        </w:rPr>
        <w:instrText xml:space="preserve"> ADDIN ZOTERO_ITEM CSL_CITATION {"citationID":"DuUrrCUQ","properties":{"formattedCitation":"(Beckett, Peirce, Sanchez-Panchuelo, Francis, &amp; Schluppeck, 2012; Clifford, Mannion, &amp; McDonald, 2009; Raemaekers, Lankheet, Moorman, Kourtzi, &amp; van Wezel, 2009; Sasaki et al., 2006)","plainCitation":"(Beckett, Peirce, Sanchez-Panchuelo, Francis, &amp; Schluppeck, 2012; Clifford, Mannion, &amp; McDonald, 2009; Raemaekers, Lankheet, Moorman, Kourtzi, &amp; van Wezel, 2009; Sasaki et al., 2006)","noteIndex":0},"citationItems":[{"id":158,"uris":["http://zotero.org/groups/318634/items/YEAZXLK8"],"uri":["http://zotero.org/groups/318634/items/YEAZXLK8"],"itemData":{"id":158,"type":"article-journal","title":"Radial biases in the processing of motion and motion-defined contours by human visual cortex","container-title":"Journal of Neurophysiology","page":"2974-2981","volume":"102","issue":"5","source":"PubMed","abstract":"Luminance gratings reportedly produce a stronger functional magnetic resonance imaging (fMRI) blood oxygen level-dependent (BOLD) signal in those parts of the retinotopic cortical maps where they are oriented radially to the point of fixation. We sought to extend this finding by examining anisotropies in the response of cortical areas V1-V3 to motion-defined contour stimuli. fMRI at 3 Tesla was used to measure the BOLD signal in the visual cortex of six human subjects. Stimuli were composed of strips of spatial white noise texture presented in an annular window. The texture in alternate strips moved in opposite directions (left-right or up-down). The strips themselves were static and tilted 45 degrees left or right from vertical. Comparison with maps of the visual field obtained from phase-encoded retinotopic analysis revealed systematic patterns of radial bias. For motion, a stronger response to horizontal was evident within V1 and along the borders between V2 and V3. For orientation, the response to leftward tilted contours was greater in left dorsal and right ventral V1-V3. Radial bias for the orientation of motion-defined contours analogous to that reported previously for luminance gratings could reflect cue-invariant processing or the operation of distinct mechanisms subject to similar anisotropies in orientation tuning. Radial bias for motion might be related to the phenomenon of \"motion streaks,\" whereby temporal integration by the visual system introduces oriented blur along the axis of motion. We speculate that the observed forms of radial bias reflect a common underlying anisotropy in the representation of spatiotemporal image structure across the visual field.","DOI":"10.1152/jn.00411.2009","ISSN":"1522-1598","note":"PMID: 19759326","journalAbbreviation":"J. Neurophysiol.","language":"eng","author":[{"family":"Clifford","given":"Colin W. G."},{"family":"Mannion","given":"Damien J."},{"family":"McDonald","given":"J. Scott"}],"issued":{"date-parts":[["2009",11]]}}},{"id":157,"uris":["http://zotero.org/groups/318634/items/HHY3DQ79"],"uri":["http://zotero.org/groups/318634/items/HHY3DQ79"],"itemData":{"id":157,"type":"article-journal","title":"Directional anisotropy of motion responses in retinotopic cortex","container-title":"Human Brain Mapping","page":"3970-3980","volume":"30","issue":"12","source":"PubMed","abstract":"Recently, evidence has emerged for a radial orientation bias in early visual cortex. These results predict that in early visual cortex a tangential bias should be present for motion direction. We tested this prediction in a human imaging study, using a translating random dot pattern that slowly rotated its motion direction 360 degrees in cycles of 54 s. In addition, polar angle and eccentricity mapping were performed. This allowed the measurement of the BOLD response across the visual representations of the different retinotopic areas. We found that, in V1, V2, and V3, BOLD responses were consistently enhanced for centrifugal and centripetal motion, relative to tangential motion. The relative magnitude of the centrifugal and centripetal response biases changed with visual eccentricity. We found no motion direction biases in MT+. These results are in line with previously observed anisotropies in motion sensitivity across the visual field. However, the observation of radial motion biases in early visual cortex is surprising considering the evidence for a radial orientation bias. An additional experiment was performed to resolve this apparent conflict in results. The additional experiment revealed that the observed motion direction biases most likely originate from anisotropies in long range horizontal connections within visual cortex.","DOI":"10.1002/hbm.20822","ISSN":"1097-0193","note":"PMID: 19449333","journalAbbreviation":"Hum Brain Mapp","language":"eng","author":[{"family":"Raemaekers","given":"Mathijs"},{"family":"Lankheet","given":"Martin J. M."},{"family":"Moorman","given":"Sanne"},{"family":"Kourtzi","given":"Zoe"},{"family":"Wezel","given":"Richard J. A.","non-dropping-particle":"van"}],"issued":{"date-parts":[["2009",12]]}}},{"id":156,"uris":["http://zotero.org/groups/318634/items/643ITS6S"],"uri":["http://zotero.org/groups/318634/items/643ITS6S"],"itemData":{"id":156,"type":"article-journal","title":"The radial bias: a different slant on visual orientation sensitivity in human and nonhuman primates","container-title":"Neuron","page":"661-670","volume":"51","issue":"5","source":"PubMed","abstract":"It is generally assumed that sensitivity to different stimulus orientations is mapped in a globally equivalent fashion across primate visual cortex, at a spatial scale larger than that of orientation columns. However, some evidence predicts instead that radial orientations should produce higher activity than other orientations, throughout visual cortex. Here, this radial orientation bias was robustly confirmed using (1) human psychophysics, plus fMRI in (2) humans and (3) behaving monkeys. In visual cortex, fMRI activity was at least 20% higher in the retinotopic representations of polar angle which corresponded to the radial stimulus orientations (relative to tangential). In a global demonstration of this, we activated complementary retinotopic quadrants of visual cortex by simply changing stimulus orientation, without changing stimulus location in the visual field. This evidence reveals a neural link between orientation sensitivity and the cortical retinotopy, which have previously been considered independent.","DOI":"10.1016/j.neuron.2006.07.021","ISSN":"0896-6273","note":"PMID: 16950163","title-short":"The radial bias","journalAbbreviation":"Neuron","language":"eng","author":[{"family":"Sasaki","given":"Yuka"},{"family":"Rajimehr","given":"Reza"},{"family":"Kim","given":"Byoung Woo"},{"family":"Ekstrom","given":"Leeland B."},{"family":"Vanduffel","given":"Wim"},{"family":"Tootell","given":"Roger B. H."}],"issued":{"date-parts":[["2006",9,7]]}}},{"id":544,"uris":["http://zotero.org/groups/318634/items/PDCY3ISX"],"uri":["http://zotero.org/groups/318634/items/PDCY3ISX"],"itemData":{"id":544,"type":"article-journal","title":"Contribution of large scale biases in decoding of direction-of-motion from high-resolution fMRI data in human early visual cortex","container-title":"NeuroImage","page":"1623-1632","volume":"63","issue":"3","source":"PubMed","abstract":"Previous studies have demonstrated that the perceived direction of motion of a visual stimulus can be decoded from the pattern of functional magnetic resonance imaging (fMRI) responses in occipital cortex using multivariate analysis methods (Kamitani and Tong, 2006). One possible mechanism for this is a difference in the sampling of direction selective cortical columns between voxels, implying that information at a level smaller than the voxel size might be accessible with fMRI. Alternatively, multivariate analysis methods might be driven by the organization of neurons into clusters or even orderly maps at a much larger scale. To assess the possible sources of the direction selectivity observed in fMRI data, we tested how classification accuracy varied across different visual areas and subsets of voxels for classification of motion-direction. To enable high spatial resolution functional MRI measurements (1.5mm isotropic voxels), data were collected at 7T. To test whether information about the direction of motion is represented at the scale of retinotopic maps, we looked at classification performance after combining data across different voxels within visual areas (V1-3 and MT+/V5) before training the multivariate classifier. A recent study has shown that orientation biases in V1 are both necessary and sufficient to explain classification of stimulus orientation (Freeman et al., 2011). Here, we combined voxels with similar visual field preference as determined in separate retinotopy measurements and observed that classification accuracy was preserved when averaging in this 'retinotopically restricted' way, compared to random averaging of voxels. This insensitivity to averaging of voxels (with similar visual angle preference) across substantial distances in cortical space suggests that there are large-scale biases at the level of retinotopic maps underlying our ability to classify direction of motion.","DOI":"10.1016/j.neuroimage.2012.07.066","ISSN":"1095-9572","note":"PMID: 22986356","journalAbbreviation":"Neuroimage","language":"eng","author":[{"family":"Beckett","given":"A."},{"family":"Peirce","given":"J. W."},{"family":"Sanchez-Panchuelo","given":"R.-M."},{"family":"Francis","given":"S."},{"family":"Schluppeck","given":"D."}],"issued":{"date-parts":[["2012",11,15]]}}}],"schema":"https://github.com/citation-style-language/schema/raw/master/csl-citation.json"} </w:instrText>
      </w:r>
      <w:r w:rsidRPr="00225AB0">
        <w:rPr>
          <w:rFonts w:ascii="Arial" w:hAnsi="Arial" w:cs="Arial"/>
        </w:rPr>
        <w:fldChar w:fldCharType="separate"/>
      </w:r>
      <w:r w:rsidR="00233230">
        <w:rPr>
          <w:rFonts w:ascii="Arial" w:hAnsi="Arial" w:cs="Arial"/>
          <w:noProof/>
        </w:rPr>
        <w:t>(Beckett, Peirce, Sanchez-Panchuelo, Francis, &amp; Schluppeck, 2012; Clifford, Mannion, &amp; McDonald, 2009; Raemaekers, Lankheet, Moorman, Kourtzi, &amp; van Wezel, 2009; Sasaki et al., 2006)</w:t>
      </w:r>
      <w:r w:rsidRPr="00225AB0">
        <w:rPr>
          <w:rFonts w:ascii="Arial" w:hAnsi="Arial" w:cs="Arial"/>
        </w:rPr>
        <w:fldChar w:fldCharType="end"/>
      </w:r>
      <w:r w:rsidRPr="00225AB0">
        <w:rPr>
          <w:rFonts w:ascii="Arial" w:hAnsi="Arial" w:cs="Arial"/>
        </w:rPr>
        <w:t xml:space="preserve">. In support, </w:t>
      </w:r>
      <w:r w:rsidRPr="00225AB0">
        <w:rPr>
          <w:rFonts w:ascii="Arial" w:hAnsi="Arial" w:cs="Arial"/>
        </w:rPr>
        <w:fldChar w:fldCharType="begin"/>
      </w:r>
      <w:r w:rsidR="00321AB9">
        <w:rPr>
          <w:rFonts w:ascii="Arial" w:hAnsi="Arial" w:cs="Arial"/>
        </w:rPr>
        <w:instrText xml:space="preserve"> ADDIN ZOTERO_ITEM CSL_CITATION {"citationID":"XMYoI4Ip","properties":{"formattedCitation":"(Op de Beeck, 2010)","plainCitation":"(Op de Beeck, 2010)","dontUpdate":true,"noteIndex":0},"citationItems":[{"id":47,"uris":["http://zotero.org/groups/318634/items/496HM7IG"],"uri":["http://zotero.org/groups/318634/items/496HM7IG"],"itemData":{"id":47,"type":"article-journal","title":"Against hyperacuity in brain reading: spatial smoothing does not hurt multivariate fMRI analyses?","container-title":"NeuroImage","page":"1943-1948","volume":"49","issue":"3","source":"PubMed","abstract":"Recently it has been suggested that multivariate analyses of functional magnetic resonance imaging (fMRI) data can detect high spatial frequency components of cortical signals, like sub-millimeter columns. This 'hyperacuity' seems to be at odds with the common assumption that the fMRI signal has a low spatial resolution due to the spatial spread of the underlying hemodynamic events. To resolve this apparent contradiction, I checked a very straightforward prediction of the hyperacuity hypothesis: if multivariate analyses are picking up a small-scale functional organization, then it can be expected that smoothing will be detrimental to the ability to decode these fine-scale spatial signals. I tested this prediction using data obtained with two paradigms to which multivariate techniques have been applied previously, including the decoding of grating orientation from the pattern of activity in primary visual cortex. It was found that smoothing does not decrease the sensitivity of multivariate analyses. Further simulations in which the scale of cortical organization was known indicate that this effect of smoothing contradicts the idea that the patterns detected with multivariate techniques reflect a fine-scale spatial organization.","DOI":"10.1016/j.neuroimage.2009.02.047","ISSN":"1095-9572","note":"PMID: 19285144","title-short":"Against hyperacuity in brain reading","journalAbbreviation":"Neuroimage","language":"eng","author":[{"family":"Op de Beeck","given":"Hans P."}],"issued":{"date-parts":[["2010",2,1]]}}}],"schema":"https://github.com/citation-style-language/schema/raw/master/csl-citation.json"} </w:instrText>
      </w:r>
      <w:r w:rsidRPr="00225AB0">
        <w:rPr>
          <w:rFonts w:ascii="Arial" w:hAnsi="Arial" w:cs="Arial"/>
        </w:rPr>
        <w:fldChar w:fldCharType="separate"/>
      </w:r>
      <w:r w:rsidRPr="00225AB0">
        <w:rPr>
          <w:rFonts w:ascii="Arial" w:hAnsi="Arial" w:cs="Arial"/>
          <w:noProof/>
        </w:rPr>
        <w:t>Op de Beeck, (2010)</w:t>
      </w:r>
      <w:r w:rsidRPr="00225AB0">
        <w:rPr>
          <w:rFonts w:ascii="Arial" w:hAnsi="Arial" w:cs="Arial"/>
        </w:rPr>
        <w:fldChar w:fldCharType="end"/>
      </w:r>
      <w:r w:rsidRPr="00225AB0">
        <w:rPr>
          <w:rFonts w:ascii="Arial" w:hAnsi="Arial" w:cs="Arial"/>
        </w:rPr>
        <w:t xml:space="preserve"> modelled decoding accuracies with application of various levels of spatial smoothing, to assess the impact of smoothing on the ability to detect small-scale functional organisation at the voxel level. They identified no negative impact of smoothing on the sensitivity of multivariate analyses and proposed this evidence contradicts the idea classification accuracies are reflective of sub</w:t>
      </w:r>
      <w:r w:rsidR="00C54A10">
        <w:rPr>
          <w:rFonts w:ascii="Arial" w:hAnsi="Arial" w:cs="Arial"/>
        </w:rPr>
        <w:t>-</w:t>
      </w:r>
      <w:r w:rsidRPr="00225AB0">
        <w:rPr>
          <w:rFonts w:ascii="Arial" w:hAnsi="Arial" w:cs="Arial"/>
        </w:rPr>
        <w:t xml:space="preserve">voxel inhomogeneities in feature preference. </w:t>
      </w:r>
    </w:p>
    <w:p w14:paraId="71EB4CA8" w14:textId="77777777" w:rsidR="000C73FA" w:rsidRPr="00225AB0" w:rsidRDefault="000C73FA" w:rsidP="000C73FA">
      <w:pPr>
        <w:spacing w:line="480" w:lineRule="auto"/>
        <w:rPr>
          <w:rFonts w:ascii="Arial" w:hAnsi="Arial" w:cs="Arial"/>
        </w:rPr>
      </w:pPr>
    </w:p>
    <w:p w14:paraId="6AE8C14A" w14:textId="0989124A" w:rsidR="000C73FA" w:rsidRDefault="000C73FA" w:rsidP="00F72546">
      <w:pPr>
        <w:spacing w:line="480" w:lineRule="auto"/>
        <w:rPr>
          <w:rFonts w:ascii="Arial" w:hAnsi="Arial" w:cs="Arial"/>
        </w:rPr>
      </w:pPr>
      <w:r w:rsidRPr="00225AB0">
        <w:rPr>
          <w:rFonts w:ascii="Arial" w:hAnsi="Arial" w:cs="Arial"/>
        </w:rPr>
        <w:t xml:space="preserve">However, other researchers believe successful classification is unlikely to be solely driven by coarse-scale biases in mapping amongst visual areas. Instead, they suggest important information is present in the fine-grain (voxel-level) patterns of fMRI activity. It is assumed each voxel reflects responses from many visual neurons, and sampling scale means that voxels will sum responses of neurons with differing proportions of preference for a particular visual feature, and that these </w:t>
      </w:r>
      <w:r w:rsidR="00C54A10" w:rsidRPr="00225AB0">
        <w:rPr>
          <w:rFonts w:ascii="Arial" w:hAnsi="Arial" w:cs="Arial"/>
        </w:rPr>
        <w:t>inhomogeneities</w:t>
      </w:r>
      <w:r w:rsidRPr="00225AB0">
        <w:rPr>
          <w:rFonts w:ascii="Arial" w:hAnsi="Arial" w:cs="Arial"/>
        </w:rPr>
        <w:t xml:space="preserve"> in feature-preference across voxels are what contribute to above-chance classification accuracies </w:t>
      </w:r>
      <w:r w:rsidRPr="00225AB0">
        <w:rPr>
          <w:rFonts w:ascii="Arial" w:hAnsi="Arial" w:cs="Arial"/>
        </w:rPr>
        <w:fldChar w:fldCharType="begin"/>
      </w:r>
      <w:r w:rsidR="00321AB9">
        <w:rPr>
          <w:rFonts w:ascii="Arial" w:hAnsi="Arial" w:cs="Arial"/>
        </w:rPr>
        <w:instrText xml:space="preserve"> ADDIN ZOTERO_ITEM CSL_CITATION {"citationID":"n1WNhiH2","properties":{"formattedCitation":"(Kay, Naselaris, Prenger, &amp; Gallant, 2008)","plainCitation":"(Kay, Naselaris, Prenger, &amp; Gallant, 2008)","dontUpdate":true,"noteIndex":0},"citationItems":[{"id":155,"uris":["http://zotero.org/groups/318634/items/73RMCG8Q"],"uri":["http://zotero.org/groups/318634/items/73RMCG8Q"],"itemData":{"id":155,"type":"article-journal","title":"Identifying natural images from human brain activity","container-title":"Nature","page":"352-355","volume":"452","issue":"7185","source":"PubMed","abstract":"A challenging goal in neuroscience is to be able to read out, or decode, mental content from brain activity. Recent functional magnetic resonance imaging (fMRI) studies have decoded orientation, position and object category from activity in visual cortex. However, these studies typically used relatively simple stimuli (for example, gratings) or images drawn from fixed categories (for example, faces, houses), and decoding was based on previous measurements of brain activity evoked by those same stimuli or categories. To overcome these limitations, here we develop a decoding method based on quantitative receptive-field models that characterize the relationship between visual stimuli and fMRI activity in early visual areas. These models describe the tuning of individual voxels for space, orientation and spatial frequency, and are estimated directly from responses evoked by natural images. We show that these receptive-field models make it possible to identify, from a large set of completely novel natural images, which specific image was seen by an observer. Identification is not a mere consequence of the retinotopic organization of visual areas; simpler receptive-field models that describe only spatial tuning yield much poorer identification performance. Our results suggest that it may soon be possible to reconstruct a picture of a person's visual experience from measurements of brain activity alone.","DOI":"10.1038/nature06713","ISSN":"1476-4687","note":"PMID: 18322462\nPMCID: PMC3556484","journalAbbreviation":"Nature","language":"eng","author":[{"family":"Kay","given":"Kendrick N."},{"family":"Naselaris","given":"Thomas"},{"family":"Prenger","given":"Ryan J."},{"family":"Gallant","given":"Jack L."}],"issued":{"date-parts":[["2008",3,20]]}}}],"schema":"https://github.com/citation-style-language/schema/raw/master/csl-citation.json"} </w:instrText>
      </w:r>
      <w:r w:rsidRPr="00225AB0">
        <w:rPr>
          <w:rFonts w:ascii="Arial" w:hAnsi="Arial" w:cs="Arial"/>
        </w:rPr>
        <w:fldChar w:fldCharType="separate"/>
      </w:r>
      <w:r w:rsidRPr="00225AB0">
        <w:rPr>
          <w:rFonts w:ascii="Arial" w:hAnsi="Arial" w:cs="Arial"/>
          <w:noProof/>
        </w:rPr>
        <w:t>(e.g. Kay, Naselaris, Prenger, &amp; Gallant, 2008)</w:t>
      </w:r>
      <w:r w:rsidRPr="00225AB0">
        <w:rPr>
          <w:rFonts w:ascii="Arial" w:hAnsi="Arial" w:cs="Arial"/>
        </w:rPr>
        <w:fldChar w:fldCharType="end"/>
      </w:r>
      <w:r w:rsidRPr="00225AB0">
        <w:rPr>
          <w:rFonts w:ascii="Arial" w:hAnsi="Arial" w:cs="Arial"/>
        </w:rPr>
        <w:t xml:space="preserve">. For example, </w:t>
      </w:r>
      <w:r w:rsidRPr="00225AB0">
        <w:rPr>
          <w:rFonts w:ascii="Arial" w:hAnsi="Arial" w:cs="Arial"/>
        </w:rPr>
        <w:fldChar w:fldCharType="begin"/>
      </w:r>
      <w:r w:rsidR="00321AB9">
        <w:rPr>
          <w:rFonts w:ascii="Arial" w:hAnsi="Arial" w:cs="Arial"/>
        </w:rPr>
        <w:instrText xml:space="preserve"> ADDIN ZOTERO_ITEM CSL_CITATION {"citationID":"Bpsr5R9u","properties":{"formattedCitation":"(Mannion et al., 2009)","plainCitation":"(Mannion et al., 2009)","dontUpdate":true,"noteIndex":0},"citationItems":[{"id":99,"uris":["http://zotero.org/groups/318634/items/KGIFYJHF"],"uri":["http://zotero.org/groups/318634/items/KGIFYJHF"],"itemData":{"id":99,"type":"article-journal","title":"Discrimination of the local orientation structure of spiral Glass patterns early in human visual cortex","container-title":"NeuroImage","page":"511-515","volume":"46","issue":"2","source":"PubMed","abstract":"The local orientation structure of a visual image is fundamental to the perception of spatial form. Reports of reliable orientation-selective modulations in the pattern of fMRI activity have demonstrated the potential for investigating the representation of orientation in the human visual cortex. Orientation-selective voxel responses could arise from anisotropies in the preferred orientations of pooled neurons due to the random sampling of the cortical surface. However, it is unclear whether orientation-selective voxel responses reflect biases in the underlying distribution of neuronal orientation preference, such as the demonstrated over-representation of radial orientations (those collinear with fixation). Here, we investigated whether stimuli balanced in their radial components could evoke orientation-selective biases in voxel activity. We attempted to discriminate the sense of spiral Glass patterns (opening anti-clockwise or clockwise), in which the local orientation structure was defined by the placement of paired dots at an orientation offset from the radial. We found that information within the spatial pattern of fMRI responses in each of V1, V2, V3, and V3A/B allowed discrimination of the spiral sense with accuracies significantly above chance. This result demonstrates that orientation-selective voxel responses can arise without the influence of a radial bias. Furthermore, the finding indicates the importance of the early visual areas in representing the local orientation structure for the perception of complex spatial form.","ISSN":"1095-9572","note":"PMID: 19385017","journalAbbreviation":"Neuroimage","language":"eng","author":[{"family":"Mannion","given":"D. J."},{"family":"McDonald","given":"J. S."},{"family":"Clifford","given":"C. W. G."}],"issued":{"date-parts":[["2009",6]]}}}],"schema":"https://github.com/citation-style-language/schema/raw/master/csl-citation.json"} </w:instrText>
      </w:r>
      <w:r w:rsidRPr="00225AB0">
        <w:rPr>
          <w:rFonts w:ascii="Arial" w:hAnsi="Arial" w:cs="Arial"/>
        </w:rPr>
        <w:fldChar w:fldCharType="separate"/>
      </w:r>
      <w:r w:rsidRPr="00225AB0">
        <w:rPr>
          <w:rFonts w:ascii="Arial" w:hAnsi="Arial" w:cs="Arial"/>
          <w:noProof/>
        </w:rPr>
        <w:t>Mannion et al., (2009)</w:t>
      </w:r>
      <w:r w:rsidRPr="00225AB0">
        <w:rPr>
          <w:rFonts w:ascii="Arial" w:hAnsi="Arial" w:cs="Arial"/>
        </w:rPr>
        <w:fldChar w:fldCharType="end"/>
      </w:r>
      <w:r w:rsidRPr="00225AB0">
        <w:rPr>
          <w:rFonts w:ascii="Arial" w:hAnsi="Arial" w:cs="Arial"/>
        </w:rPr>
        <w:t xml:space="preserve"> demonstrate</w:t>
      </w:r>
      <w:r w:rsidR="00C54A10">
        <w:rPr>
          <w:rFonts w:ascii="Arial" w:hAnsi="Arial" w:cs="Arial"/>
        </w:rPr>
        <w:t>d</w:t>
      </w:r>
      <w:r w:rsidRPr="00225AB0">
        <w:rPr>
          <w:rFonts w:ascii="Arial" w:hAnsi="Arial" w:cs="Arial"/>
        </w:rPr>
        <w:t xml:space="preserve"> successful decoding of orientation in stimuli with no dominant radial component, indicating radial bias is not critical for successful decoding of attended orientation. Additionally, whilst </w:t>
      </w:r>
      <w:r w:rsidRPr="00225AB0">
        <w:rPr>
          <w:rFonts w:ascii="Arial" w:hAnsi="Arial" w:cs="Arial"/>
        </w:rPr>
        <w:fldChar w:fldCharType="begin"/>
      </w:r>
      <w:r w:rsidR="00321AB9">
        <w:rPr>
          <w:rFonts w:ascii="Arial" w:hAnsi="Arial" w:cs="Arial"/>
        </w:rPr>
        <w:instrText xml:space="preserve"> ADDIN ZOTERO_ITEM CSL_CITATION {"citationID":"g4WxMrPU","properties":{"formattedCitation":"(Kamitani &amp; Tong, 2005; Sumner et al., 2008)","plainCitation":"(Kamitani &amp; Tong, 2005; Sumner et al., 2008)","dontUpdate":true,"noteIndex":0},"citationItems":[{"id":242,"uris":["http://zotero.org/groups/318634/items/TYYPVP7C"],"uri":["http://zotero.org/groups/318634/items/TYYPVP7C"],"itemData":{"id":242,"type":"article-journal","title":"Decoding the visual and subjective contents of the human brain","container-title":"Nature Neuroscience","page":"679-685","volume":"8","issue":"5","source":"PubMed","abstract":"The potential for human neuroimaging to read out the detailed contents of a person's mental state has yet to be fully explored. We investigated whether the perception of edge orientation, a fundamental visual feature, can be decoded from human brain activity measured with functional magnetic resonance imaging (fMRI). Using statistical algorithms to classify brain states, we found that ensemble fMRI signals in early visual areas could reliably predict on individual trials which of eight stimulus orientations the subject was seeing. Moreover, when subjects had to attend to one of two overlapping orthogonal gratings, feature-based attention strongly biased ensemble activity toward the attended orientation. These results demonstrate that fMRI activity patterns in early visual areas, including primary visual cortex (V1), contain detailed orientation information that can reliably predict subjective perception. Our approach provides a framework for the readout of fine-tuned representations in the human brain and their subjective contents.","DOI":"10.1038/nn1444","ISSN":"1097-6256","note":"PMID: 15852014\nPMCID: PMC1808230","journalAbbreviation":"Nat. Neurosci.","language":"eng","author":[{"family":"Kamitani","given":"Yukiyasu"},{"family":"Tong","given":"Frank"}],"issued":{"date-parts":[["2005",5]]}}},{"id":56,"uris":["http://zotero.org/groups/318634/items/LRFY4LYQ"],"uri":["http://zotero.org/groups/318634/items/LRFY4LYQ"],"itemData":{"id":56,"type":"article-journal","title":"Combined orientation and colour information in human V1 for both L-M and S-cone chromatic axes","container-title":"NeuroImage","page":"814-824","volume":"39","issue":"2","source":"PubMed","abstract":"Although it is widely held that colour and form are processed separately in early visual cortex, there is growing evidence that primary visual cortex (V1) may show some joint selectivity for orientation and colour. Colour is supplied to V1 via two very different pathways: the parvocellular pathway (which also supports detailed form processing) carries L-M (\"red-green\") chromatic information, while a koniocellular pathway carries S-cone (\"lilac-yellow\") information. Therefore on entering V1, S-cone information is segregated from the pathways carrying form information, while L-M information is not. Whether signals from neuronal populations in human V1 reflect combined orientation and S-cone information has not been systematically addressed. We used fMRI in combination with a multivariate data analysis technique to investigate whether BOLD signals recorded from V1 contain information that could directly discriminate between orientations based on different types of chromatic information. We found selectivity in V1 for L-M and luminance-defined orientation signals, and most interestingly, also for S-cone defined orientation. We also found similarly successful orientation discrimination for both colour dimensions in V2 and V3. These results imply that a proportion of cells throughout human visual cortex show joint sensitivity to both colour and orientation. We discuss also the potential role of feedback to V1 from higher visual areas.","DOI":"10.1016/j.neuroimage.2007.09.013","ISSN":"1053-8119","note":"PMID: 17964188","journalAbbreviation":"Neuroimage","language":"eng","author":[{"family":"Sumner","given":"Petroc"},{"family":"Anderson","given":"Elaine J."},{"family":"Sylvester","given":"Richard"},{"family":"Haynes","given":"John-Dylan"},{"family":"Rees","given":"Geraint"}],"issued":{"date-parts":[["2008",1,15]]}}}],"schema":"https://github.com/citation-style-language/schema/raw/master/csl-citation.json"} </w:instrText>
      </w:r>
      <w:r w:rsidRPr="00225AB0">
        <w:rPr>
          <w:rFonts w:ascii="Arial" w:hAnsi="Arial" w:cs="Arial"/>
        </w:rPr>
        <w:fldChar w:fldCharType="separate"/>
      </w:r>
      <w:r w:rsidRPr="00225AB0">
        <w:rPr>
          <w:rFonts w:ascii="Arial" w:hAnsi="Arial" w:cs="Arial"/>
          <w:noProof/>
        </w:rPr>
        <w:t xml:space="preserve">Kamitani &amp; Tong, </w:t>
      </w:r>
      <w:r w:rsidR="00C54A10">
        <w:rPr>
          <w:rFonts w:ascii="Arial" w:hAnsi="Arial" w:cs="Arial"/>
          <w:noProof/>
        </w:rPr>
        <w:t>(</w:t>
      </w:r>
      <w:r w:rsidRPr="00225AB0">
        <w:rPr>
          <w:rFonts w:ascii="Arial" w:hAnsi="Arial" w:cs="Arial"/>
          <w:noProof/>
        </w:rPr>
        <w:t>2005) and Sumner et al., (2008)</w:t>
      </w:r>
      <w:r w:rsidRPr="00225AB0">
        <w:rPr>
          <w:rFonts w:ascii="Arial" w:hAnsi="Arial" w:cs="Arial"/>
        </w:rPr>
        <w:fldChar w:fldCharType="end"/>
      </w:r>
      <w:r w:rsidRPr="00225AB0">
        <w:rPr>
          <w:rFonts w:ascii="Arial" w:hAnsi="Arial" w:cs="Arial"/>
        </w:rPr>
        <w:t xml:space="preserve"> did identify evidence of a weak radial bias </w:t>
      </w:r>
      <w:r w:rsidR="00D44AC6">
        <w:rPr>
          <w:rFonts w:ascii="Arial" w:hAnsi="Arial" w:cs="Arial"/>
        </w:rPr>
        <w:t>in</w:t>
      </w:r>
      <w:r w:rsidRPr="00225AB0">
        <w:rPr>
          <w:rFonts w:ascii="Arial" w:hAnsi="Arial" w:cs="Arial"/>
        </w:rPr>
        <w:t xml:space="preserve"> their responses, they argued this did not have a substantial contribution to discrimination accuracy.  Finally, </w:t>
      </w:r>
      <w:r w:rsidRPr="00225AB0">
        <w:rPr>
          <w:rFonts w:ascii="Arial" w:hAnsi="Arial" w:cs="Arial"/>
        </w:rPr>
        <w:fldChar w:fldCharType="begin"/>
      </w:r>
      <w:r w:rsidR="00321AB9">
        <w:rPr>
          <w:rFonts w:ascii="Arial" w:hAnsi="Arial" w:cs="Arial"/>
        </w:rPr>
        <w:instrText xml:space="preserve"> ADDIN ZOTERO_ITEM CSL_CITATION {"citationID":"jcAJ62Kd","properties":{"formattedCitation":"(Kamitani &amp; Sawahata, 2010)","plainCitation":"(Kamitani &amp; Sawahata, 2010)","dontUpdate":true,"noteIndex":0},"citationItems":[{"id":46,"uris":["http://zotero.org/groups/318634/items/4BZ895WQ"],"uri":["http://zotero.org/groups/318634/items/4BZ895WQ"],"itemData":{"id":46,"type":"article-journal","title":"Spatial smoothing hurts localization but not information: pitfalls for brain mappers","container-title":"NeuroImage","page":"1949-1952","volume":"49","issue":"3","source":"PubMed","abstract":"Op de Beeck (Op de Beeck, H., 2009. Against hyperacuity in brain reading: Spatial smoothing does not hurt multivariate fMRI analyses? Neuroimage) challenges the possibility of extracting information from subvoxel representations via random biases associated with voxel sampling, the hypothesis proposed by Kamitani and Tong (Kamitani, Y., Tong, F., 2005. Decoding the visual and subjective contents of the human brain. Nat. Neurosci. 8, 679-685). Here, we show that his results provide no evidence against the possibility, being consistent with both of the subvoxel and supravoxel representation models. Classification of spatially smoothed fMRI data is not an effective means to probe into information sources for multivoxel decoding, since smoothing does not hurt the information contents of multivoxel patterns. We point out the danger of interpreting multivoxel decoding results based on intuitions guided by the conventional brain mapping paradigm.","DOI":"10.1016/j.neuroimage.2009.06.040","ISSN":"1095-9572","note":"PMID: 19559797","title-short":"Spatial smoothing hurts localization but not information","journalAbbreviation":"Neuroimage","language":"eng","author":[{"family":"Kamitani","given":"Yukiyasu"},{"family":"Sawahata","given":"Yasuhito"}],"issued":{"date-parts":[["2010",2,1]]}}}],"schema":"https://github.com/citation-style-language/schema/raw/master/csl-citation.json"} </w:instrText>
      </w:r>
      <w:r w:rsidRPr="00225AB0">
        <w:rPr>
          <w:rFonts w:ascii="Arial" w:hAnsi="Arial" w:cs="Arial"/>
        </w:rPr>
        <w:fldChar w:fldCharType="separate"/>
      </w:r>
      <w:r w:rsidRPr="00225AB0">
        <w:rPr>
          <w:rFonts w:ascii="Arial" w:hAnsi="Arial" w:cs="Arial"/>
          <w:noProof/>
        </w:rPr>
        <w:t>Kamitani &amp; Sawahata, (2010)</w:t>
      </w:r>
      <w:r w:rsidRPr="00225AB0">
        <w:rPr>
          <w:rFonts w:ascii="Arial" w:hAnsi="Arial" w:cs="Arial"/>
        </w:rPr>
        <w:fldChar w:fldCharType="end"/>
      </w:r>
      <w:r w:rsidRPr="00225AB0">
        <w:rPr>
          <w:rFonts w:ascii="Arial" w:hAnsi="Arial" w:cs="Arial"/>
        </w:rPr>
        <w:t xml:space="preserve"> noted from their own simulations no basis for ruling out the possibility </w:t>
      </w:r>
      <w:r w:rsidRPr="00225AB0">
        <w:rPr>
          <w:rFonts w:ascii="Arial" w:hAnsi="Arial" w:cs="Arial"/>
        </w:rPr>
        <w:lastRenderedPageBreak/>
        <w:t xml:space="preserve">classification is driven to some extent by small-scale </w:t>
      </w:r>
      <w:r w:rsidR="00C54A10" w:rsidRPr="00225AB0">
        <w:rPr>
          <w:rFonts w:ascii="Arial" w:hAnsi="Arial" w:cs="Arial"/>
        </w:rPr>
        <w:t>inhomogeneities</w:t>
      </w:r>
      <w:r w:rsidRPr="00225AB0">
        <w:rPr>
          <w:rFonts w:ascii="Arial" w:hAnsi="Arial" w:cs="Arial"/>
        </w:rPr>
        <w:t xml:space="preserve"> across voxels. Hence, the ability to classify feature-specific attentional modulation effects at the voxel level is likely driven by both sub</w:t>
      </w:r>
      <w:r w:rsidR="00C54A10">
        <w:rPr>
          <w:rFonts w:ascii="Arial" w:hAnsi="Arial" w:cs="Arial"/>
        </w:rPr>
        <w:t>-</w:t>
      </w:r>
      <w:r w:rsidRPr="00225AB0">
        <w:rPr>
          <w:rFonts w:ascii="Arial" w:hAnsi="Arial" w:cs="Arial"/>
        </w:rPr>
        <w:t xml:space="preserve">voxel </w:t>
      </w:r>
      <w:r w:rsidR="00C54A10" w:rsidRPr="00225AB0">
        <w:rPr>
          <w:rFonts w:ascii="Arial" w:hAnsi="Arial" w:cs="Arial"/>
        </w:rPr>
        <w:t>inhomogeneities</w:t>
      </w:r>
      <w:r w:rsidRPr="00225AB0">
        <w:rPr>
          <w:rFonts w:ascii="Arial" w:hAnsi="Arial" w:cs="Arial"/>
        </w:rPr>
        <w:t xml:space="preserve"> in the organisation of feature-preference and large-scale biases in topographical mapping </w:t>
      </w:r>
      <w:r w:rsidR="00D44AC6">
        <w:rPr>
          <w:rFonts w:ascii="Arial" w:hAnsi="Arial" w:cs="Arial"/>
        </w:rPr>
        <w:t>in</w:t>
      </w:r>
      <w:r w:rsidRPr="00225AB0">
        <w:rPr>
          <w:rFonts w:ascii="Arial" w:hAnsi="Arial" w:cs="Arial"/>
        </w:rPr>
        <w:t xml:space="preserve"> visual regions. </w:t>
      </w:r>
    </w:p>
    <w:p w14:paraId="7E4C2240" w14:textId="77777777" w:rsidR="00F72546" w:rsidRPr="00F72546" w:rsidRDefault="00F72546" w:rsidP="00F72546">
      <w:pPr>
        <w:spacing w:line="480" w:lineRule="auto"/>
        <w:rPr>
          <w:rFonts w:ascii="Arial" w:hAnsi="Arial" w:cs="Arial"/>
        </w:rPr>
      </w:pPr>
    </w:p>
    <w:p w14:paraId="49CAE085" w14:textId="77777777" w:rsidR="000C73FA" w:rsidRPr="00225AB0" w:rsidRDefault="000C73FA" w:rsidP="001811CC">
      <w:pPr>
        <w:pStyle w:val="Heading2"/>
        <w:numPr>
          <w:ilvl w:val="1"/>
          <w:numId w:val="2"/>
        </w:numPr>
        <w:rPr>
          <w:rFonts w:ascii="Arial" w:hAnsi="Arial" w:cs="Arial"/>
          <w:b/>
          <w:color w:val="000000" w:themeColor="text1"/>
          <w:sz w:val="28"/>
          <w:szCs w:val="28"/>
        </w:rPr>
      </w:pPr>
      <w:bookmarkStart w:id="149" w:name="_Toc11147961"/>
      <w:bookmarkStart w:id="150" w:name="_Toc11153907"/>
      <w:bookmarkStart w:id="151" w:name="_Toc11753613"/>
      <w:bookmarkStart w:id="152" w:name="_Toc11926799"/>
      <w:bookmarkStart w:id="153" w:name="_Toc11930032"/>
      <w:bookmarkStart w:id="154" w:name="_Toc16075348"/>
      <w:bookmarkStart w:id="155" w:name="_Toc16236971"/>
      <w:r w:rsidRPr="00225AB0">
        <w:rPr>
          <w:rFonts w:ascii="Arial" w:hAnsi="Arial" w:cs="Arial"/>
          <w:b/>
          <w:color w:val="000000" w:themeColor="text1"/>
          <w:sz w:val="28"/>
          <w:szCs w:val="28"/>
        </w:rPr>
        <w:t>Connectivity</w:t>
      </w:r>
      <w:bookmarkEnd w:id="149"/>
      <w:bookmarkEnd w:id="150"/>
      <w:bookmarkEnd w:id="151"/>
      <w:bookmarkEnd w:id="152"/>
      <w:bookmarkEnd w:id="153"/>
      <w:bookmarkEnd w:id="154"/>
      <w:bookmarkEnd w:id="155"/>
      <w:r w:rsidRPr="00225AB0">
        <w:rPr>
          <w:rFonts w:ascii="Arial" w:hAnsi="Arial" w:cs="Arial"/>
          <w:b/>
          <w:color w:val="000000" w:themeColor="text1"/>
          <w:sz w:val="28"/>
          <w:szCs w:val="28"/>
        </w:rPr>
        <w:t xml:space="preserve"> </w:t>
      </w:r>
    </w:p>
    <w:p w14:paraId="07141E1E" w14:textId="77777777" w:rsidR="00A42D48" w:rsidRPr="00225AB0" w:rsidRDefault="00A42D48" w:rsidP="00A42D48">
      <w:pPr>
        <w:pStyle w:val="ListParagraph"/>
        <w:rPr>
          <w:rFonts w:ascii="Arial" w:hAnsi="Arial" w:cs="Arial"/>
        </w:rPr>
      </w:pPr>
    </w:p>
    <w:p w14:paraId="29D42989" w14:textId="77777777" w:rsidR="000C73FA" w:rsidRPr="00225AB0" w:rsidRDefault="000C73FA" w:rsidP="001811CC">
      <w:pPr>
        <w:pStyle w:val="Heading3"/>
        <w:numPr>
          <w:ilvl w:val="2"/>
          <w:numId w:val="2"/>
        </w:numPr>
        <w:rPr>
          <w:rFonts w:ascii="Arial" w:hAnsi="Arial" w:cs="Arial"/>
          <w:b/>
          <w:i/>
          <w:color w:val="000000" w:themeColor="text1"/>
          <w:sz w:val="28"/>
          <w:szCs w:val="28"/>
        </w:rPr>
      </w:pPr>
      <w:bookmarkStart w:id="156" w:name="_Toc11147962"/>
      <w:bookmarkStart w:id="157" w:name="_Toc11153908"/>
      <w:bookmarkStart w:id="158" w:name="_Toc11753614"/>
      <w:bookmarkStart w:id="159" w:name="_Toc11926800"/>
      <w:bookmarkStart w:id="160" w:name="_Toc11930033"/>
      <w:bookmarkStart w:id="161" w:name="_Toc16075349"/>
      <w:bookmarkStart w:id="162" w:name="_Toc16236972"/>
      <w:r w:rsidRPr="00225AB0">
        <w:rPr>
          <w:rFonts w:ascii="Arial" w:hAnsi="Arial" w:cs="Arial"/>
          <w:b/>
          <w:i/>
          <w:color w:val="000000" w:themeColor="text1"/>
          <w:sz w:val="28"/>
          <w:szCs w:val="28"/>
        </w:rPr>
        <w:t>Default mode network</w:t>
      </w:r>
      <w:bookmarkEnd w:id="156"/>
      <w:bookmarkEnd w:id="157"/>
      <w:bookmarkEnd w:id="158"/>
      <w:bookmarkEnd w:id="159"/>
      <w:bookmarkEnd w:id="160"/>
      <w:bookmarkEnd w:id="161"/>
      <w:bookmarkEnd w:id="162"/>
    </w:p>
    <w:p w14:paraId="4B4A2EEE" w14:textId="77777777" w:rsidR="00A42D48" w:rsidRPr="00225AB0" w:rsidRDefault="00A42D48" w:rsidP="00A42D48">
      <w:pPr>
        <w:pStyle w:val="ListParagraph"/>
        <w:rPr>
          <w:rFonts w:ascii="Arial" w:hAnsi="Arial" w:cs="Arial"/>
        </w:rPr>
      </w:pPr>
    </w:p>
    <w:p w14:paraId="77F74935" w14:textId="6A8F5B8D" w:rsidR="002077EC" w:rsidRDefault="006672D3" w:rsidP="000C73FA">
      <w:pPr>
        <w:spacing w:line="480" w:lineRule="auto"/>
        <w:rPr>
          <w:rFonts w:ascii="Arial" w:hAnsi="Arial" w:cs="Arial"/>
        </w:rPr>
      </w:pPr>
      <w:r>
        <w:rPr>
          <w:rFonts w:ascii="Arial" w:hAnsi="Arial" w:cs="Arial"/>
        </w:rPr>
        <w:t>Interest in cortical connectivity – the way that information is passed between cortical areas - has increased in recent years</w:t>
      </w:r>
      <w:r w:rsidR="00F151B6">
        <w:rPr>
          <w:rFonts w:ascii="Arial" w:hAnsi="Arial" w:cs="Arial"/>
        </w:rPr>
        <w:t>.</w:t>
      </w:r>
      <w:r w:rsidR="000C73FA" w:rsidRPr="00225AB0">
        <w:rPr>
          <w:rFonts w:ascii="Arial" w:hAnsi="Arial" w:cs="Arial"/>
        </w:rPr>
        <w:t xml:space="preserve"> These connectivity analyses have revealed key networks, consisting of distinct sets of cortical regions, which exhibit synchronised activity during particular tasks. The </w:t>
      </w:r>
      <w:r>
        <w:rPr>
          <w:rFonts w:ascii="Arial" w:hAnsi="Arial" w:cs="Arial"/>
        </w:rPr>
        <w:t>earliest such network, the so-called ‘</w:t>
      </w:r>
      <w:r w:rsidR="000C73FA" w:rsidRPr="00225AB0">
        <w:rPr>
          <w:rFonts w:ascii="Arial" w:hAnsi="Arial" w:cs="Arial"/>
        </w:rPr>
        <w:t>default mode network</w:t>
      </w:r>
      <w:r>
        <w:rPr>
          <w:rFonts w:ascii="Arial" w:hAnsi="Arial" w:cs="Arial"/>
        </w:rPr>
        <w:t>’</w:t>
      </w:r>
      <w:r w:rsidR="000C73FA" w:rsidRPr="00225AB0">
        <w:rPr>
          <w:rFonts w:ascii="Arial" w:hAnsi="Arial" w:cs="Arial"/>
        </w:rPr>
        <w:t xml:space="preserve"> (DMN) was first formally identified by </w:t>
      </w:r>
      <w:r w:rsidR="000C73FA" w:rsidRPr="00225AB0">
        <w:rPr>
          <w:rFonts w:ascii="Arial" w:hAnsi="Arial" w:cs="Arial"/>
        </w:rPr>
        <w:fldChar w:fldCharType="begin"/>
      </w:r>
      <w:r w:rsidR="00321AB9">
        <w:rPr>
          <w:rFonts w:ascii="Arial" w:hAnsi="Arial" w:cs="Arial"/>
        </w:rPr>
        <w:instrText xml:space="preserve"> ADDIN ZOTERO_ITEM CSL_CITATION {"citationID":"wZYtR9D0","properties":{"formattedCitation":"(Raichle et al., 2001)","plainCitation":"(Raichle et al., 2001)","dontUpdate":true,"noteIndex":0},"citationItems":[{"id":125,"uris":["http://zotero.org/groups/318634/items/VPBPRIWQ"],"uri":["http://zotero.org/groups/318634/items/VPBPRIWQ"],"itemData":{"id":125,"type":"article-journal","title":"A default mode of brain function","container-title":"Proceedings of the National Academy of Sciences","page":"676–682","volume":"98","issue":"2","source":"Google Scholar","author":[{"family":"Raichle","given":"Marcus E."},{"family":"MacLeod","given":"Ann Mary"},{"family":"Snyder","given":"Abraham Z."},{"family":"Powers","given":"William J."},{"family":"Gusnard","given":"Debra A."},{"family":"Shulman","given":"Gordon L."}],"issued":{"date-parts":[["2001"]]}}}],"schema":"https://github.com/citation-style-language/schema/raw/master/csl-citation.json"} </w:instrText>
      </w:r>
      <w:r w:rsidR="000C73FA" w:rsidRPr="00225AB0">
        <w:rPr>
          <w:rFonts w:ascii="Arial" w:hAnsi="Arial" w:cs="Arial"/>
        </w:rPr>
        <w:fldChar w:fldCharType="separate"/>
      </w:r>
      <w:r w:rsidR="000C73FA" w:rsidRPr="00225AB0">
        <w:rPr>
          <w:rFonts w:ascii="Arial" w:hAnsi="Arial" w:cs="Arial"/>
          <w:noProof/>
        </w:rPr>
        <w:t>Raichle et al., (2001)</w:t>
      </w:r>
      <w:r w:rsidR="000C73FA" w:rsidRPr="00225AB0">
        <w:rPr>
          <w:rFonts w:ascii="Arial" w:hAnsi="Arial" w:cs="Arial"/>
        </w:rPr>
        <w:fldChar w:fldCharType="end"/>
      </w:r>
      <w:r w:rsidR="000C73FA" w:rsidRPr="00225AB0">
        <w:rPr>
          <w:rFonts w:ascii="Arial" w:hAnsi="Arial" w:cs="Arial"/>
        </w:rPr>
        <w:t xml:space="preserve">, as a collection of regions </w:t>
      </w:r>
      <w:r w:rsidR="00D44AC6">
        <w:rPr>
          <w:rFonts w:ascii="Arial" w:hAnsi="Arial" w:cs="Arial"/>
        </w:rPr>
        <w:t>in</w:t>
      </w:r>
      <w:r w:rsidR="000C73FA" w:rsidRPr="00225AB0">
        <w:rPr>
          <w:rFonts w:ascii="Arial" w:hAnsi="Arial" w:cs="Arial"/>
        </w:rPr>
        <w:t xml:space="preserve"> the medial and lateral parietal, medial prefrontal and medial and lateral temporal cortices, who consistently decrease their activity during attention</w:t>
      </w:r>
      <w:r w:rsidR="00C54A10">
        <w:rPr>
          <w:rFonts w:ascii="Arial" w:hAnsi="Arial" w:cs="Arial"/>
        </w:rPr>
        <w:t>ally</w:t>
      </w:r>
      <w:r w:rsidR="000C73FA" w:rsidRPr="00225AB0">
        <w:rPr>
          <w:rFonts w:ascii="Arial" w:hAnsi="Arial" w:cs="Arial"/>
        </w:rPr>
        <w:t xml:space="preserve">-demanding, complex tasks </w:t>
      </w:r>
      <w:r w:rsidR="000C73FA" w:rsidRPr="00225AB0">
        <w:rPr>
          <w:rFonts w:ascii="Arial" w:hAnsi="Arial" w:cs="Arial"/>
        </w:rPr>
        <w:fldChar w:fldCharType="begin"/>
      </w:r>
      <w:r w:rsidR="00321AB9">
        <w:rPr>
          <w:rFonts w:ascii="Arial" w:hAnsi="Arial" w:cs="Arial"/>
        </w:rPr>
        <w:instrText xml:space="preserve"> ADDIN ZOTERO_ITEM CSL_CITATION {"citationID":"TD3Ao7Ho","properties":{"formattedCitation":"(Marcus E. Raichle, 2015)","plainCitation":"(Marcus E. Raichle, 2015)","dontUpdate":true,"noteIndex":0},"citationItems":[{"id":154,"uris":["http://zotero.org/groups/318634/items/7LN7HHG4"],"uri":["http://zotero.org/groups/318634/items/7LN7HHG4"],"itemData":{"id":154,"type":"article-journal","title":"The brain's default mode network","container-title":"Annual Review of Neuroscience","page":"433-447","volume":"38","source":"PubMed","abstract":"The brain's default mode network consists of discrete, bilateral and symmetrical cortical areas, in the medial and lateral parietal, medial prefrontal, and medial and lateral temporal cortices of the human, nonhuman primate, cat, and rodent brains. Its discovery was an unexpected consequence of brain-imaging studies first performed with positron emission tomography in which various novel, attention-demanding, and non-self-referential tasks were compared with quiet repose either with eyes closed or with simple visual fixation. The default mode network consistently decreases its activity when compared with activity during these relaxed nontask states. The discovery of the default mode network reignited a longstanding interest in the significance of the brain's ongoing or intrinsic activity. Presently, studies of the brain's intrinsic activity, popularly referred to as resting-state studies, have come to play a major role in studies of the human brain in health and disease. The brain's default mode network plays a central role in this work.","DOI":"10.1146/annurev-neuro-071013-014030","ISSN":"1545-4126","note":"PMID: 25938726","journalAbbreviation":"Annu. Rev. Neurosci.","language":"eng","author":[{"family":"Raichle","given":"Marcus E."}],"issued":{"date-parts":[["2015",7,8]]}}}],"schema":"https://github.com/citation-style-language/schema/raw/master/csl-citation.json"} </w:instrText>
      </w:r>
      <w:r w:rsidR="000C73FA" w:rsidRPr="00225AB0">
        <w:rPr>
          <w:rFonts w:ascii="Arial" w:hAnsi="Arial" w:cs="Arial"/>
        </w:rPr>
        <w:fldChar w:fldCharType="separate"/>
      </w:r>
      <w:r w:rsidR="000C73FA" w:rsidRPr="00225AB0">
        <w:rPr>
          <w:rFonts w:ascii="Arial" w:hAnsi="Arial" w:cs="Arial"/>
          <w:noProof/>
        </w:rPr>
        <w:t>(Raichle, 2015)</w:t>
      </w:r>
      <w:r w:rsidR="000C73FA" w:rsidRPr="00225AB0">
        <w:rPr>
          <w:rFonts w:ascii="Arial" w:hAnsi="Arial" w:cs="Arial"/>
        </w:rPr>
        <w:fldChar w:fldCharType="end"/>
      </w:r>
      <w:r w:rsidR="000C73FA" w:rsidRPr="00225AB0">
        <w:rPr>
          <w:rFonts w:ascii="Arial" w:hAnsi="Arial" w:cs="Arial"/>
        </w:rPr>
        <w:t xml:space="preserve">. Typically, the network of regions forming the DMN demonstrate high metabolic activity and synchronised </w:t>
      </w:r>
      <w:r w:rsidR="00C54A10">
        <w:rPr>
          <w:rFonts w:ascii="Arial" w:hAnsi="Arial" w:cs="Arial"/>
        </w:rPr>
        <w:t>activation at rest, or during tasks requiring little attentional effort</w:t>
      </w:r>
      <w:r w:rsidR="000C73FA" w:rsidRPr="00225AB0">
        <w:rPr>
          <w:rFonts w:ascii="Arial" w:hAnsi="Arial" w:cs="Arial"/>
        </w:rPr>
        <w:t xml:space="preserve"> </w:t>
      </w:r>
      <w:r w:rsidR="000C73FA" w:rsidRPr="00225AB0">
        <w:rPr>
          <w:rFonts w:ascii="Arial" w:hAnsi="Arial" w:cs="Arial"/>
        </w:rPr>
        <w:fldChar w:fldCharType="begin"/>
      </w:r>
      <w:r w:rsidR="00321AB9">
        <w:rPr>
          <w:rFonts w:ascii="Arial" w:hAnsi="Arial" w:cs="Arial"/>
        </w:rPr>
        <w:instrText xml:space="preserve"> ADDIN ZOTERO_ITEM CSL_CITATION {"citationID":"4gIuMVsu","properties":{"formattedCitation":"(Buckner, Andrews-Hanna, &amp; Schacter, 2008)","plainCitation":"(Buckner, Andrews-Hanna, &amp; Schacter, 2008)","dontUpdate":true,"noteIndex":0},"citationItems":[{"id":153,"uris":["http://zotero.org/groups/318634/items/X3P4ESBH"],"uri":["http://zotero.org/groups/318634/items/X3P4ESBH"],"itemData":{"id":153,"type":"article-journal","title":"The brain's default network: anatomy, function, and relevance to disease","container-title":"Annals of the New York Academy of Sciences","page":"1-38","volume":"1124","source":"PubMed","abstract":"Thirty years of brain imaging research has converged to define the brain's default network-a novel and only recently appreciated brain system that participates in internal modes of cognition. Here we synthesize past observations to provide strong evidence that the default network is a specific, anatomically defined brain system preferentially active when individuals are not focused on the external environment. Analysis of connectional anatomy in the monkey supports the presence of an interconnected brain system. Providing insight into function, the default network is active when individuals are engaged in internally focused tasks including autobiographical memory retrieval, envisioning the future, and conceiving the perspectives of others. Probing the functional anatomy of the network in detail reveals that it is best understood as multiple interacting subsystems. The medial temporal lobe subsystem provides information from prior experiences in the form of memories and associations that are the building blocks of mental simulation. The medial prefrontal subsystem facilitates the flexible use of this information during the construction of self-relevant mental simulations. These two subsystems converge on important nodes of integration including the posterior cingulate cortex. The implications of these functional and anatomical observations are discussed in relation to possible adaptive roles of the default network for using past experiences to plan for the future, navigate social interactions, and maximize the utility of moments when we are not otherwise engaged by the external world. We conclude by discussing the relevance of the default network for understanding mental disorders including autism, schizophrenia, and Alzheimer's disease.","DOI":"10.1196/annals.1440.011","ISSN":"0077-8923","note":"PMID: 18400922","title-short":"The brain's default network","journalAbbreviation":"Ann. N. Y. Acad. Sci.","language":"eng","author":[{"family":"Buckner","given":"Randy L."},{"family":"Andrews-Hanna","given":"Jessica R."},{"family":"Schacter","given":"Daniel L."}],"issued":{"date-parts":[["2008",3]]}}}],"schema":"https://github.com/citation-style-language/schema/raw/master/csl-citation.json"} </w:instrText>
      </w:r>
      <w:r w:rsidR="000C73FA" w:rsidRPr="00225AB0">
        <w:rPr>
          <w:rFonts w:ascii="Arial" w:hAnsi="Arial" w:cs="Arial"/>
        </w:rPr>
        <w:fldChar w:fldCharType="separate"/>
      </w:r>
      <w:r w:rsidR="000C73FA" w:rsidRPr="00225AB0">
        <w:rPr>
          <w:rFonts w:ascii="Arial" w:hAnsi="Arial" w:cs="Arial"/>
          <w:noProof/>
        </w:rPr>
        <w:t>(for a review, see Buckner, Andrews-Hanna, &amp; Schacter, 2008)</w:t>
      </w:r>
      <w:r w:rsidR="000C73FA" w:rsidRPr="00225AB0">
        <w:rPr>
          <w:rFonts w:ascii="Arial" w:hAnsi="Arial" w:cs="Arial"/>
        </w:rPr>
        <w:fldChar w:fldCharType="end"/>
      </w:r>
      <w:r w:rsidR="000C73FA" w:rsidRPr="00225AB0">
        <w:rPr>
          <w:rFonts w:ascii="Arial" w:hAnsi="Arial" w:cs="Arial"/>
        </w:rPr>
        <w:t xml:space="preserve">. This synchronisation of activity across a large array of cortical areas, is thought to support emotional processing, self-referential mental activity and the recollection of prior experiences, commonly termed ‘mind-wandering’ </w:t>
      </w:r>
      <w:r w:rsidR="000C73FA" w:rsidRPr="00225AB0">
        <w:rPr>
          <w:rFonts w:ascii="Arial" w:hAnsi="Arial" w:cs="Arial"/>
        </w:rPr>
        <w:fldChar w:fldCharType="begin"/>
      </w:r>
      <w:r w:rsidR="00321AB9">
        <w:rPr>
          <w:rFonts w:ascii="Arial" w:hAnsi="Arial" w:cs="Arial"/>
        </w:rPr>
        <w:instrText xml:space="preserve"> ADDIN ZOTERO_ITEM CSL_CITATION {"citationID":"xgS82ycG","properties":{"formattedCitation":"(Marcus E. Raichle, 2015)","plainCitation":"(Marcus E. Raichle, 2015)","dontUpdate":true,"noteIndex":0},"citationItems":[{"id":154,"uris":["http://zotero.org/groups/318634/items/7LN7HHG4"],"uri":["http://zotero.org/groups/318634/items/7LN7HHG4"],"itemData":{"id":154,"type":"article-journal","title":"The brain's default mode network","container-title":"Annual Review of Neuroscience","page":"433-447","volume":"38","source":"PubMed","abstract":"The brain's default mode network consists of discrete, bilateral and symmetrical cortical areas, in the medial and lateral parietal, medial prefrontal, and medial and lateral temporal cortices of the human, nonhuman primate, cat, and rodent brains. Its discovery was an unexpected consequence of brain-imaging studies first performed with positron emission tomography in which various novel, attention-demanding, and non-self-referential tasks were compared with quiet repose either with eyes closed or with simple visual fixation. The default mode network consistently decreases its activity when compared with activity during these relaxed nontask states. The discovery of the default mode network reignited a longstanding interest in the significance of the brain's ongoing or intrinsic activity. Presently, studies of the brain's intrinsic activity, popularly referred to as resting-state studies, have come to play a major role in studies of the human brain in health and disease. The brain's default mode network plays a central role in this work.","DOI":"10.1146/annurev-neuro-071013-014030","ISSN":"1545-4126","note":"PMID: 25938726","journalAbbreviation":"Annu. Rev. Neurosci.","language":"eng","author":[{"family":"Raichle","given":"Marcus E."}],"issued":{"date-parts":[["2015",7,8]]}}}],"schema":"https://github.com/citation-style-language/schema/raw/master/csl-citation.json"} </w:instrText>
      </w:r>
      <w:r w:rsidR="000C73FA" w:rsidRPr="00225AB0">
        <w:rPr>
          <w:rFonts w:ascii="Arial" w:hAnsi="Arial" w:cs="Arial"/>
        </w:rPr>
        <w:fldChar w:fldCharType="separate"/>
      </w:r>
      <w:r w:rsidR="000C73FA" w:rsidRPr="00225AB0">
        <w:rPr>
          <w:rFonts w:ascii="Arial" w:hAnsi="Arial" w:cs="Arial"/>
          <w:noProof/>
        </w:rPr>
        <w:t>(see Raichle, 2015)</w:t>
      </w:r>
      <w:r w:rsidR="000C73FA" w:rsidRPr="00225AB0">
        <w:rPr>
          <w:rFonts w:ascii="Arial" w:hAnsi="Arial" w:cs="Arial"/>
        </w:rPr>
        <w:fldChar w:fldCharType="end"/>
      </w:r>
      <w:r w:rsidR="000C73FA" w:rsidRPr="00225AB0">
        <w:rPr>
          <w:rFonts w:ascii="Arial" w:hAnsi="Arial" w:cs="Arial"/>
        </w:rPr>
        <w:t xml:space="preserve">. </w:t>
      </w:r>
    </w:p>
    <w:p w14:paraId="64C073E8" w14:textId="77777777" w:rsidR="00CC7DCB" w:rsidRPr="00225AB0" w:rsidRDefault="00CC7DCB" w:rsidP="000C73FA">
      <w:pPr>
        <w:spacing w:line="480" w:lineRule="auto"/>
        <w:rPr>
          <w:rFonts w:ascii="Arial" w:hAnsi="Arial" w:cs="Arial"/>
        </w:rPr>
      </w:pPr>
    </w:p>
    <w:p w14:paraId="462B7CA6" w14:textId="77777777" w:rsidR="00225AB0" w:rsidRPr="00225AB0" w:rsidRDefault="000C73FA" w:rsidP="001811CC">
      <w:pPr>
        <w:pStyle w:val="Heading3"/>
        <w:numPr>
          <w:ilvl w:val="2"/>
          <w:numId w:val="2"/>
        </w:numPr>
        <w:rPr>
          <w:rFonts w:ascii="Arial" w:hAnsi="Arial" w:cs="Arial"/>
          <w:b/>
          <w:i/>
          <w:color w:val="000000" w:themeColor="text1"/>
          <w:sz w:val="28"/>
          <w:szCs w:val="28"/>
        </w:rPr>
      </w:pPr>
      <w:bookmarkStart w:id="163" w:name="_Toc11147963"/>
      <w:bookmarkStart w:id="164" w:name="_Toc11153909"/>
      <w:bookmarkStart w:id="165" w:name="_Toc11753615"/>
      <w:bookmarkStart w:id="166" w:name="_Toc11926801"/>
      <w:bookmarkStart w:id="167" w:name="_Toc11930034"/>
      <w:bookmarkStart w:id="168" w:name="_Toc16075350"/>
      <w:bookmarkStart w:id="169" w:name="_Toc16236973"/>
      <w:r w:rsidRPr="00225AB0">
        <w:rPr>
          <w:rFonts w:ascii="Arial" w:hAnsi="Arial" w:cs="Arial"/>
          <w:b/>
          <w:i/>
          <w:color w:val="000000" w:themeColor="text1"/>
          <w:sz w:val="28"/>
          <w:szCs w:val="28"/>
        </w:rPr>
        <w:t>Task-based networks</w:t>
      </w:r>
      <w:bookmarkEnd w:id="163"/>
      <w:bookmarkEnd w:id="164"/>
      <w:bookmarkEnd w:id="165"/>
      <w:bookmarkEnd w:id="166"/>
      <w:bookmarkEnd w:id="167"/>
      <w:bookmarkEnd w:id="168"/>
      <w:bookmarkEnd w:id="169"/>
    </w:p>
    <w:p w14:paraId="0D59BF54" w14:textId="77777777" w:rsidR="00225AB0" w:rsidRPr="00225AB0" w:rsidRDefault="00225AB0" w:rsidP="00225AB0">
      <w:pPr>
        <w:pStyle w:val="ListParagraph"/>
        <w:rPr>
          <w:rFonts w:ascii="Arial" w:hAnsi="Arial" w:cs="Arial"/>
        </w:rPr>
      </w:pPr>
    </w:p>
    <w:p w14:paraId="30C2A23F" w14:textId="08CA076C" w:rsidR="00812C5D" w:rsidRDefault="000C73FA" w:rsidP="000C73FA">
      <w:pPr>
        <w:spacing w:line="480" w:lineRule="auto"/>
        <w:rPr>
          <w:rFonts w:ascii="Arial" w:hAnsi="Arial" w:cs="Arial"/>
        </w:rPr>
      </w:pPr>
      <w:r w:rsidRPr="00225AB0">
        <w:rPr>
          <w:rFonts w:ascii="Arial" w:hAnsi="Arial" w:cs="Arial"/>
        </w:rPr>
        <w:lastRenderedPageBreak/>
        <w:t xml:space="preserve">However, there exist multiple other functionally- and anatomically- distinct networks </w:t>
      </w:r>
      <w:r w:rsidR="00D44AC6">
        <w:rPr>
          <w:rFonts w:ascii="Arial" w:hAnsi="Arial" w:cs="Arial"/>
        </w:rPr>
        <w:t>in</w:t>
      </w:r>
      <w:r w:rsidRPr="00225AB0">
        <w:rPr>
          <w:rFonts w:ascii="Arial" w:hAnsi="Arial" w:cs="Arial"/>
        </w:rPr>
        <w:t xml:space="preserve"> the cortex. For example, the dorsal attention network (DAN)  is formed from regions of the intraparietal sulcus (IPS), superior parietal lobule and dorsal frontal cortex near to the frontal eye fields </w:t>
      </w:r>
      <w:r w:rsidRPr="00225AB0">
        <w:rPr>
          <w:rFonts w:ascii="Arial" w:hAnsi="Arial" w:cs="Arial"/>
        </w:rPr>
        <w:fldChar w:fldCharType="begin"/>
      </w:r>
      <w:r w:rsidR="00321AB9">
        <w:rPr>
          <w:rFonts w:ascii="Arial" w:hAnsi="Arial" w:cs="Arial"/>
        </w:rPr>
        <w:instrText xml:space="preserve"> ADDIN ZOTERO_ITEM CSL_CITATION {"citationID":"1MUnmKcE","properties":{"formattedCitation":"(Corbetta, Patel, &amp; Shulman, 2008)","plainCitation":"(Corbetta, Patel, &amp; Shulman, 2008)","dontUpdate":true,"noteIndex":0},"citationItems":[{"id":152,"uris":["http://zotero.org/groups/318634/items/H6RCYZVZ"],"uri":["http://zotero.org/groups/318634/items/H6RCYZVZ"],"itemData":{"id":152,"type":"article-journal","title":"The reorienting system of the human brain: from environment to theory of mind","container-title":"Neuron","page":"306-324","volume":"58","issue":"3","source":"PubMed","abstract":"Survival can depend on the ability to change a current course of action to respond to potentially advantageous or threatening stimuli. This \"reorienting\" response involves the coordinated action of a right hemisphere dominant ventral frontoparietal network that interrupts and resets ongoing activity and a dorsal frontoparietal network specialized for selecting and linking stimuli and responses. At rest, each network is distinct and internally correlated, but when attention is focused, the ventral network is suppressed to prevent reorienting to distracting events. These different patterns of recruitment may reflect inputs to the ventral attention network from the locus coeruleus/norepinephrine system. While originally conceptualized as a system for redirecting attention from one object to another, recent evidence suggests a more general role in switching between networks, which may explain recent evidence of its involvement in functions such as social cognition.","DOI":"10.1016/j.neuron.2008.04.017","ISSN":"1097-4199","note":"PMID: 18466742\nPMCID: PMC2441869","title-short":"The reorienting system of the human brain","journalAbbreviation":"Neuron","language":"eng","author":[{"family":"Corbetta","given":"Maurizio"},{"family":"Patel","given":"Gaurav"},{"family":"Shulman","given":"Gordon L."}],"issued":{"date-parts":[["2008",5,8]]}}}],"schema":"https://github.com/citation-style-language/schema/raw/master/csl-citation.json"} </w:instrText>
      </w:r>
      <w:r w:rsidRPr="00225AB0">
        <w:rPr>
          <w:rFonts w:ascii="Arial" w:hAnsi="Arial" w:cs="Arial"/>
        </w:rPr>
        <w:fldChar w:fldCharType="separate"/>
      </w:r>
      <w:r w:rsidRPr="00225AB0">
        <w:rPr>
          <w:rFonts w:ascii="Arial" w:hAnsi="Arial" w:cs="Arial"/>
          <w:noProof/>
        </w:rPr>
        <w:t>(see Corbetta, Patel, &amp; Shulman, 2008)</w:t>
      </w:r>
      <w:r w:rsidRPr="00225AB0">
        <w:rPr>
          <w:rFonts w:ascii="Arial" w:hAnsi="Arial" w:cs="Arial"/>
        </w:rPr>
        <w:fldChar w:fldCharType="end"/>
      </w:r>
      <w:r w:rsidRPr="00225AB0">
        <w:rPr>
          <w:rFonts w:ascii="Arial" w:hAnsi="Arial" w:cs="Arial"/>
        </w:rPr>
        <w:t xml:space="preserve">. The DAN is thought to activate when attention is directed to the external world. Additionally, </w:t>
      </w:r>
      <w:r w:rsidR="006672D3">
        <w:rPr>
          <w:rFonts w:ascii="Arial" w:hAnsi="Arial" w:cs="Arial"/>
        </w:rPr>
        <w:t xml:space="preserve">the </w:t>
      </w:r>
      <w:r w:rsidRPr="00225AB0">
        <w:rPr>
          <w:rFonts w:ascii="Arial" w:hAnsi="Arial" w:cs="Arial"/>
        </w:rPr>
        <w:t xml:space="preserve">ventral attention network (VAN) </w:t>
      </w:r>
      <w:r w:rsidR="006672D3">
        <w:rPr>
          <w:rFonts w:ascii="Arial" w:hAnsi="Arial" w:cs="Arial"/>
        </w:rPr>
        <w:t xml:space="preserve">is </w:t>
      </w:r>
      <w:r w:rsidRPr="00225AB0">
        <w:rPr>
          <w:rFonts w:ascii="Arial" w:hAnsi="Arial" w:cs="Arial"/>
        </w:rPr>
        <w:t xml:space="preserve">considered </w:t>
      </w:r>
      <w:r w:rsidR="006672D3">
        <w:rPr>
          <w:rFonts w:ascii="Arial" w:hAnsi="Arial" w:cs="Arial"/>
        </w:rPr>
        <w:t xml:space="preserve">to be </w:t>
      </w:r>
      <w:r w:rsidRPr="00225AB0">
        <w:rPr>
          <w:rFonts w:ascii="Arial" w:hAnsi="Arial" w:cs="Arial"/>
        </w:rPr>
        <w:t xml:space="preserve">predominantly right lateralised across regions of the inferior frontal gyrus, anterior insula and adjacent frontal operculum, </w:t>
      </w:r>
      <w:r w:rsidR="006672D3">
        <w:rPr>
          <w:rFonts w:ascii="Arial" w:hAnsi="Arial" w:cs="Arial"/>
        </w:rPr>
        <w:t xml:space="preserve">and is </w:t>
      </w:r>
      <w:r w:rsidRPr="00225AB0">
        <w:rPr>
          <w:rFonts w:ascii="Arial" w:hAnsi="Arial" w:cs="Arial"/>
        </w:rPr>
        <w:t xml:space="preserve">suggested to automatically re-orient attention towards salient perceptual stimuli </w:t>
      </w:r>
      <w:r w:rsidRPr="00225AB0">
        <w:rPr>
          <w:rFonts w:ascii="Arial" w:hAnsi="Arial" w:cs="Arial"/>
        </w:rPr>
        <w:fldChar w:fldCharType="begin"/>
      </w:r>
      <w:r w:rsidR="00321AB9">
        <w:rPr>
          <w:rFonts w:ascii="Arial" w:hAnsi="Arial" w:cs="Arial"/>
        </w:rPr>
        <w:instrText xml:space="preserve"> ADDIN ZOTERO_ITEM CSL_CITATION {"citationID":"5KmzybKU","properties":{"formattedCitation":"(Maurizio Corbetta et al., 2008)","plainCitation":"(Maurizio Corbetta et al., 2008)","dontUpdate":true,"noteIndex":0},"citationItems":[{"id":152,"uris":["http://zotero.org/groups/318634/items/H6RCYZVZ"],"uri":["http://zotero.org/groups/318634/items/H6RCYZVZ"],"itemData":{"id":152,"type":"article-journal","title":"The reorienting system of the human brain: from environment to theory of mind","container-title":"Neuron","page":"306-324","volume":"58","issue":"3","source":"PubMed","abstract":"Survival can depend on the ability to change a current course of action to respond to potentially advantageous or threatening stimuli. This \"reorienting\" response involves the coordinated action of a right hemisphere dominant ventral frontoparietal network that interrupts and resets ongoing activity and a dorsal frontoparietal network specialized for selecting and linking stimuli and responses. At rest, each network is distinct and internally correlated, but when attention is focused, the ventral network is suppressed to prevent reorienting to distracting events. These different patterns of recruitment may reflect inputs to the ventral attention network from the locus coeruleus/norepinephrine system. While originally conceptualized as a system for redirecting attention from one object to another, recent evidence suggests a more general role in switching between networks, which may explain recent evidence of its involvement in functions such as social cognition.","DOI":"10.1016/j.neuron.2008.04.017","ISSN":"1097-4199","note":"PMID: 18466742\nPMCID: PMC2441869","title-short":"The reorienting system of the human brain","journalAbbreviation":"Neuron","language":"eng","author":[{"family":"Corbetta","given":"Maurizio"},{"family":"Patel","given":"Gaurav"},{"family":"Shulman","given":"Gordon L."}],"issued":{"date-parts":[["2008",5,8]]}}}],"schema":"https://github.com/citation-style-language/schema/raw/master/csl-citation.json"}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(Corbetta et al., 2008)</w:t>
      </w:r>
      <w:r w:rsidRPr="00225AB0">
        <w:rPr>
          <w:rFonts w:ascii="Arial" w:hAnsi="Arial" w:cs="Arial"/>
        </w:rPr>
        <w:fldChar w:fldCharType="end"/>
      </w:r>
      <w:r w:rsidRPr="00225AB0">
        <w:rPr>
          <w:rFonts w:ascii="Arial" w:hAnsi="Arial" w:cs="Arial"/>
        </w:rPr>
        <w:t xml:space="preserve">. There appears a reciprocal relationship between the activity of the default mode network and many task-based networks. For example, when the DAN is active, there is typically a simultaneous decrease in DMN activity, across many different tasks </w:t>
      </w:r>
      <w:r w:rsidRPr="00225AB0">
        <w:rPr>
          <w:rFonts w:ascii="Arial" w:hAnsi="Arial" w:cs="Arial"/>
        </w:rPr>
        <w:fldChar w:fldCharType="begin"/>
      </w:r>
      <w:r w:rsidR="00321AB9">
        <w:rPr>
          <w:rFonts w:ascii="Arial" w:hAnsi="Arial" w:cs="Arial"/>
        </w:rPr>
        <w:instrText xml:space="preserve"> ADDIN ZOTERO_ITEM CSL_CITATION {"citationID":"PVLnoebw","properties":{"formattedCitation":"(Shulman et al., 1997)","plainCitation":"(Shulman et al., 1997)","dontUpdate":true,"noteIndex":0},"citationItems":[{"id":151,"uris":["http://zotero.org/groups/318634/items/P2QMCQMZ"],"uri":["http://zotero.org/groups/318634/items/P2QMCQMZ"],"itemData":{"id":151,"type":"article-journal","title":"Common Blood Flow Changes across Visual Tasks: II. Decreases in Cerebral Cortex","container-title":"Journal of Cognitive Neuroscience","page":"648-663","volume":"9","issue":"5","source":"PubMed","abstract":"Nine previous positron emission tomography (PET) studies of human visual information processing were reanalyzed to determine the consistency across experiments of blood flow decreases during active tasks relative to passive viewing of the same stimulus array. Areas showing consistent decreases during active tasks included posterior cingulate/precuneous (Brodmann area, BA 31/7), left (BAS 40 and 39/19) and right (BA 40) inferior parietal cortex, left dorsolateral frontal cortex (BA S), left lateral inferior frontal cortex (BA 10/47), left inferior temporal gyrus @A 20), a strip of medial frontal regions running along a dorsal-ventral axis (BAs 8, 9, 10, and 32), and the right amygdala. Experiments involving language-related processes tended to show larger decreases than nonlanguage experiments. This trend mainly reflected blood flow increases at certain areas in the passive conditions of the language experiments (relative to a fixation control in which no task stimulus was present) and slight blood flow decreases in the passive conditions of the nonlanguage experiments. When the active tasks were referenced to the fixation condition, the overall size of blood flow decreases in language and nonlanguage tasks were the same, but differences were found across cortical areas. Decreases were more pronounced in the posterior cingulate/precuneous (BAS 31/7) and right inferior parietal cortex (BA 40) during language-related tasks and more pronounced in left inferior frontal cortex (BA 10/47) during nonlanguage tasks. Blood flow decreases did not generally show significant differences across the active task states within an experiment, but a verb-generation task produced larger decreases than a read task in right and left inferior parietal lobe (BA 40) and the posterior cingulate/precuneous (BA 31/7), while the read task produced larger decreases in left lateral inferior frontal cortex (BA 10/47). These effects mirrored those found between experiments in the language-nonlanguage comparison. Consistent active minus passive decreases may reflect decreased activity caused by active task processes that generalize over tasks or increased activity caused by passive task processes that are suspended during the active tasks. Increased activity during the passive condition might reflect ongoing processes, such as unconstrained verbally mediated thoughts and monitoring of the external environment, body, and emotional state.","DOI":"10.1162/jocn.1997.9.5.648","ISSN":"0898-929X","note":"PMID: 23965122","title-short":"Common Blood Flow Changes across Visual Tasks","journalAbbreviation":"J Cogn Neurosci","language":"eng","author":[{"family":"Shulman","given":"G. L."},{"family":"Fiez","given":"J. A."},{"family":"Corbetta","given":"M."},{"family":"Buckner","given":"R. L."},{"family":"Miezin","given":"F. M."},{"family":"Raichle","given":"M. E."},{"family":"Petersen","given":"S. E."}],"issued":{"date-parts":[["1997"]]}}}],"schema":"https://github.com/citation-style-language/schema/raw/master/csl-citation.json"} </w:instrText>
      </w:r>
      <w:r w:rsidRPr="00225AB0">
        <w:rPr>
          <w:rFonts w:ascii="Arial" w:hAnsi="Arial" w:cs="Arial"/>
        </w:rPr>
        <w:fldChar w:fldCharType="separate"/>
      </w:r>
      <w:r w:rsidRPr="00225AB0">
        <w:rPr>
          <w:rFonts w:ascii="Arial" w:hAnsi="Arial" w:cs="Arial"/>
          <w:noProof/>
        </w:rPr>
        <w:t>(e.g. Shulman et al., 1997)</w:t>
      </w:r>
      <w:r w:rsidRPr="00225AB0">
        <w:rPr>
          <w:rFonts w:ascii="Arial" w:hAnsi="Arial" w:cs="Arial"/>
        </w:rPr>
        <w:fldChar w:fldCharType="end"/>
      </w:r>
      <w:r w:rsidRPr="00225AB0">
        <w:rPr>
          <w:rFonts w:ascii="Arial" w:hAnsi="Arial" w:cs="Arial"/>
        </w:rPr>
        <w:t xml:space="preserve">. Hence, </w:t>
      </w:r>
      <w:r w:rsidR="006672D3">
        <w:rPr>
          <w:rFonts w:ascii="Arial" w:hAnsi="Arial" w:cs="Arial"/>
        </w:rPr>
        <w:t>it appears that</w:t>
      </w:r>
      <w:r w:rsidRPr="00225AB0">
        <w:rPr>
          <w:rFonts w:ascii="Arial" w:hAnsi="Arial" w:cs="Arial"/>
        </w:rPr>
        <w:t xml:space="preserve"> attention is able to profoundly modulate </w:t>
      </w:r>
      <w:r w:rsidR="00F8175F">
        <w:rPr>
          <w:rFonts w:ascii="Arial" w:hAnsi="Arial" w:cs="Arial"/>
        </w:rPr>
        <w:t xml:space="preserve">activity </w:t>
      </w:r>
      <w:r w:rsidRPr="00225AB0">
        <w:rPr>
          <w:rFonts w:ascii="Arial" w:hAnsi="Arial" w:cs="Arial"/>
        </w:rPr>
        <w:t>across networks of cortical areas at a far larger spatial</w:t>
      </w:r>
      <w:r w:rsidR="00AE6937">
        <w:rPr>
          <w:rFonts w:ascii="Arial" w:hAnsi="Arial" w:cs="Arial"/>
        </w:rPr>
        <w:t xml:space="preserve"> </w:t>
      </w:r>
      <w:r w:rsidRPr="00225AB0">
        <w:rPr>
          <w:rFonts w:ascii="Arial" w:hAnsi="Arial" w:cs="Arial"/>
        </w:rPr>
        <w:t xml:space="preserve">scale than changes in voxel-level </w:t>
      </w:r>
      <w:r w:rsidR="00F8175F">
        <w:rPr>
          <w:rFonts w:ascii="Arial" w:hAnsi="Arial" w:cs="Arial"/>
        </w:rPr>
        <w:t>activation</w:t>
      </w:r>
      <w:r w:rsidRPr="00225AB0">
        <w:rPr>
          <w:rFonts w:ascii="Arial" w:hAnsi="Arial" w:cs="Arial"/>
        </w:rPr>
        <w:t xml:space="preserve"> </w:t>
      </w:r>
      <w:r w:rsidRPr="00225AB0">
        <w:rPr>
          <w:rFonts w:ascii="Arial" w:hAnsi="Arial" w:cs="Arial"/>
        </w:rPr>
        <w:fldChar w:fldCharType="begin"/>
      </w:r>
      <w:r w:rsidR="00321AB9">
        <w:rPr>
          <w:rFonts w:ascii="Arial" w:hAnsi="Arial" w:cs="Arial"/>
        </w:rPr>
        <w:instrText xml:space="preserve"> ADDIN ZOTERO_ITEM CSL_CITATION {"citationID":"DgBCvFqg","properties":{"formattedCitation":"(Spadone et al., 2015)","plainCitation":"(Spadone et al., 2015)","noteIndex":0},"citationItems":[{"id":210,"uris":["http://zotero.org/groups/318634/items/BKT428JT"],"uri":["http://zotero.org/groups/318634/items/BKT428JT"],"itemData":{"id":210,"type":"article-journal","title":"Dynamic reorganization of human resting-state networks during visuospatial attention","container-title":"Proceedings of the National Academy of Sciences of the United States of America","page":"8112-8117","volume":"112","issue":"26","source":"PubMed","abstract":"Fundamental problems in neuroscience today are understanding how patterns of ongoing spontaneous activity are modified by task performance and whether/how these intrinsic patterns influence task-evoked activation and behavior. We examined these questions by comparing instantaneous functional connectivity (IFC) and directed functional connectivity (DFC) changes in two networks that are strongly correlated and segregated at rest: the visual (VIS) network and the dorsal attention network (DAN). We measured how IFC and DFC during a visuospatial attention task, which requires dynamic selective rerouting of visual information across hemispheres, changed with respect to rest. During the attention task, the two networks remained relatively segregated, and their general pattern of within-network correlation was maintained. However, attention induced a decrease of correlation in the VIS network and an increase of the DAN→VIS IFC and DFC, especially in a top-down direction. In contrast, within the DAN, IFC was not modified by attention, whereas DFC was enhanced. Importantly, IFC modulations were behaviorally relevant. We conclude that a stable backbone of within-network functional connectivity topography remains in place when transitioning between resting wakefulness and attention selection. However, relative decrease of correlation of ongoing \"idling\" activity in visual cortex and synchronization between frontoparietal and visual cortex were behaviorally relevant, indicating that modulations of resting activity patterns are important for task performance. Higher order resting connectivity in the DAN was relatively unaffected during attention, potentially indicating a role for simultaneous ongoing activity as a \"prior\" for attention selection.","DOI":"10.1073/pnas.1415439112","ISSN":"1091-6490","note":"PMID: 26080395\nPMCID: PMC4491799","journalAbbreviation":"Proc. Natl. Acad. Sci. U.S.A.","language":"eng","author":[{"family":"Spadone","given":"Sara"},{"family":"Della Penna","given":"Stefania"},{"family":"Sestieri","given":"Carlo"},{"family":"Betti","given":"Viviana"},{"family":"Tosoni","given":"Annalisa"},{"family":"Perrucci","given":"Mauro Gianni"},{"family":"Romani","given":"Gian Luca"},{"family":"Corbetta","given":"Maurizio"}],"issued":{"date-parts":[["2015",6,30]]}}}],"schema":"https://github.com/citation-style-language/schema/raw/master/csl-citation.json"} </w:instrText>
      </w:r>
      <w:r w:rsidRPr="00225AB0">
        <w:rPr>
          <w:rFonts w:ascii="Arial" w:hAnsi="Arial" w:cs="Arial"/>
        </w:rPr>
        <w:fldChar w:fldCharType="separate"/>
      </w:r>
      <w:r w:rsidRPr="00225AB0">
        <w:rPr>
          <w:rFonts w:ascii="Arial" w:hAnsi="Arial" w:cs="Arial"/>
          <w:noProof/>
        </w:rPr>
        <w:t>(Spadone et al., 2015)</w:t>
      </w:r>
      <w:r w:rsidRPr="00225AB0">
        <w:rPr>
          <w:rFonts w:ascii="Arial" w:hAnsi="Arial" w:cs="Arial"/>
        </w:rPr>
        <w:fldChar w:fldCharType="end"/>
      </w:r>
      <w:r w:rsidR="002077EC">
        <w:rPr>
          <w:rFonts w:ascii="Arial" w:hAnsi="Arial" w:cs="Arial"/>
        </w:rPr>
        <w:t xml:space="preserve"> (see Figure 1.5). </w:t>
      </w:r>
    </w:p>
    <w:p w14:paraId="498B7880" w14:textId="038BAD5B" w:rsidR="00AE6937" w:rsidRDefault="00AE6937" w:rsidP="000C73FA">
      <w:pPr>
        <w:spacing w:line="480" w:lineRule="auto"/>
        <w:rPr>
          <w:rFonts w:ascii="Arial" w:hAnsi="Arial" w:cs="Arial"/>
        </w:rPr>
      </w:pPr>
    </w:p>
    <w:p w14:paraId="05B48DB3" w14:textId="2B46970F" w:rsidR="00811D54" w:rsidRPr="00225AB0" w:rsidRDefault="00AE6937" w:rsidP="000C73FA">
      <w:pPr>
        <w:spacing w:line="480" w:lineRule="auto"/>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865088" behindDoc="0" locked="0" layoutInCell="1" allowOverlap="1" wp14:anchorId="2085375C" wp14:editId="2FDC2365">
                <wp:simplePos x="0" y="0"/>
                <wp:positionH relativeFrom="column">
                  <wp:posOffset>-6079</wp:posOffset>
                </wp:positionH>
                <wp:positionV relativeFrom="paragraph">
                  <wp:posOffset>419</wp:posOffset>
                </wp:positionV>
                <wp:extent cx="5314950" cy="7361555"/>
                <wp:effectExtent l="0" t="0" r="0" b="0"/>
                <wp:wrapSquare wrapText="bothSides"/>
                <wp:docPr id="81" name="Text Box 81"/>
                <wp:cNvGraphicFramePr/>
                <a:graphic xmlns:a="http://schemas.openxmlformats.org/drawingml/2006/main">
                  <a:graphicData uri="http://schemas.microsoft.com/office/word/2010/wordprocessingShape">
                    <wps:wsp>
                      <wps:cNvSpPr txBox="1"/>
                      <wps:spPr>
                        <a:xfrm>
                          <a:off x="0" y="0"/>
                          <a:ext cx="5314950" cy="7361555"/>
                        </a:xfrm>
                        <a:prstGeom prst="rect">
                          <a:avLst/>
                        </a:prstGeom>
                        <a:noFill/>
                        <a:ln w="6350">
                          <a:noFill/>
                        </a:ln>
                      </wps:spPr>
                      <wps:txbx>
                        <w:txbxContent>
                          <w:p w14:paraId="593BD106" w14:textId="77777777" w:rsidR="00AE6937" w:rsidRDefault="00AE6937" w:rsidP="00AE6937">
                            <w:pPr>
                              <w:keepNext/>
                              <w:jc w:val="center"/>
                            </w:pPr>
                            <w:r>
                              <w:rPr>
                                <w:noProof/>
                                <w:lang w:eastAsia="en-GB"/>
                              </w:rPr>
                              <w:drawing>
                                <wp:inline distT="0" distB="0" distL="0" distR="0" wp14:anchorId="2AE91D5F" wp14:editId="4C188E57">
                                  <wp:extent cx="5295583" cy="3299589"/>
                                  <wp:effectExtent l="0" t="0" r="635"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ure1.5-attention_networks.png"/>
                                          <pic:cNvPicPr/>
                                        </pic:nvPicPr>
                                        <pic:blipFill>
                                          <a:blip r:embed="rId16">
                                            <a:extLst>
                                              <a:ext uri="{28A0092B-C50C-407E-A947-70E740481C1C}">
                                                <a14:useLocalDpi xmlns:a14="http://schemas.microsoft.com/office/drawing/2010/main" val="0"/>
                                              </a:ext>
                                            </a:extLst>
                                          </a:blip>
                                          <a:stretch>
                                            <a:fillRect/>
                                          </a:stretch>
                                        </pic:blipFill>
                                        <pic:spPr>
                                          <a:xfrm>
                                            <a:off x="0" y="0"/>
                                            <a:ext cx="5336571" cy="3325128"/>
                                          </a:xfrm>
                                          <a:prstGeom prst="rect">
                                            <a:avLst/>
                                          </a:prstGeom>
                                        </pic:spPr>
                                      </pic:pic>
                                    </a:graphicData>
                                  </a:graphic>
                                </wp:inline>
                              </w:drawing>
                            </w:r>
                          </w:p>
                          <w:p w14:paraId="66CEB542" w14:textId="77777777" w:rsidR="00AE6937" w:rsidRPr="00BE0995" w:rsidRDefault="00AE6937" w:rsidP="00AE6937">
                            <w:pPr>
                              <w:spacing w:line="360" w:lineRule="auto"/>
                              <w:jc w:val="both"/>
                              <w:rPr>
                                <w:rFonts w:ascii="Arial" w:hAnsi="Arial" w:cs="Arial"/>
                              </w:rPr>
                            </w:pPr>
                            <w:bookmarkStart w:id="170" w:name="_Toc12363336"/>
                            <w:bookmarkStart w:id="171" w:name="_Toc16242693"/>
                            <w:r w:rsidRPr="00BE0995">
                              <w:rPr>
                                <w:rFonts w:ascii="Arial" w:hAnsi="Arial" w:cs="Arial"/>
                                <w:b/>
                              </w:rPr>
                              <w:t xml:space="preserve">Figure </w:t>
                            </w:r>
                            <w:r>
                              <w:rPr>
                                <w:rFonts w:ascii="Arial" w:hAnsi="Arial" w:cs="Arial"/>
                                <w:b/>
                              </w:rPr>
                              <w:fldChar w:fldCharType="begin"/>
                            </w:r>
                            <w:r>
                              <w:rPr>
                                <w:rFonts w:ascii="Arial" w:hAnsi="Arial" w:cs="Arial"/>
                                <w:b/>
                              </w:rPr>
                              <w:instrText xml:space="preserve"> STYLEREF 1 \s </w:instrText>
                            </w:r>
                            <w:r>
                              <w:rPr>
                                <w:rFonts w:ascii="Arial" w:hAnsi="Arial" w:cs="Arial"/>
                                <w:b/>
                              </w:rPr>
                              <w:fldChar w:fldCharType="separate"/>
                            </w:r>
                            <w:r>
                              <w:rPr>
                                <w:rFonts w:ascii="Arial" w:hAnsi="Arial" w:cs="Arial"/>
                                <w:b/>
                                <w:noProof/>
                              </w:rPr>
                              <w:t>1</w:t>
                            </w:r>
                            <w:r>
                              <w:rPr>
                                <w:rFonts w:ascii="Arial" w:hAnsi="Arial" w:cs="Arial"/>
                                <w:b/>
                              </w:rPr>
                              <w:fldChar w:fldCharType="end"/>
                            </w:r>
                            <w:r>
                              <w:rPr>
                                <w:rFonts w:ascii="Arial" w:hAnsi="Arial" w:cs="Arial"/>
                                <w:b/>
                              </w:rPr>
                              <w:t>.</w:t>
                            </w:r>
                            <w:r>
                              <w:rPr>
                                <w:rFonts w:ascii="Arial" w:hAnsi="Arial" w:cs="Arial"/>
                                <w:b/>
                              </w:rPr>
                              <w:fldChar w:fldCharType="begin"/>
                            </w:r>
                            <w:r>
                              <w:rPr>
                                <w:rFonts w:ascii="Arial" w:hAnsi="Arial" w:cs="Arial"/>
                                <w:b/>
                              </w:rPr>
                              <w:instrText xml:space="preserve"> SEQ Figure \* ARABIC \s 1 </w:instrText>
                            </w:r>
                            <w:r>
                              <w:rPr>
                                <w:rFonts w:ascii="Arial" w:hAnsi="Arial" w:cs="Arial"/>
                                <w:b/>
                              </w:rPr>
                              <w:fldChar w:fldCharType="separate"/>
                            </w:r>
                            <w:r>
                              <w:rPr>
                                <w:rFonts w:ascii="Arial" w:hAnsi="Arial" w:cs="Arial"/>
                                <w:b/>
                                <w:noProof/>
                              </w:rPr>
                              <w:t>5</w:t>
                            </w:r>
                            <w:r>
                              <w:rPr>
                                <w:rFonts w:ascii="Arial" w:hAnsi="Arial" w:cs="Arial"/>
                                <w:b/>
                              </w:rPr>
                              <w:fldChar w:fldCharType="end"/>
                            </w:r>
                            <w:r w:rsidRPr="00BE0995">
                              <w:rPr>
                                <w:rFonts w:ascii="Arial" w:hAnsi="Arial" w:cs="Arial"/>
                              </w:rPr>
                              <w:t xml:space="preserve"> Large-scale brain connectivity networks. A) The default mode network (DN) core subsystem includes the anterior medial prefrontal cortex (</w:t>
                            </w:r>
                            <w:r w:rsidRPr="00BE0995">
                              <w:rPr>
                                <w:rFonts w:ascii="Arial" w:hAnsi="Arial" w:cs="Arial"/>
                              </w:rPr>
                              <w:t xml:space="preserve">mPFC), posterior cingulate cortex (PCC) and posterior inferior parietal lobule (pIPL). A second default mode subsystem centres around the medial temporal lobe (MTL) including the hippocampal formation (HF) and parahippocampal cortex (PHC). The third subcomponent of the default network extends dorsally into the dorsomedial prefrontal cortex (dmPFC) and the lateral temporal cortex (LTC). B) The dorsal attention network (DAN) is composed of regions centred around the intraparietal sulcus (IPS), the superior parietal lobule (SPL) and along the dorsal frontal cortex. C) The ventral attention network (VAN) contains a collection of ventral frontal regions such as the inferior frontal gyrus (IFG), anterior insula (AI) and the ventral temporoparietal junction (vTPJ </w:t>
                            </w:r>
                            <w:r w:rsidRPr="00BE0995">
                              <w:rPr>
                                <w:rFonts w:ascii="Arial" w:hAnsi="Arial" w:cs="Arial"/>
                              </w:rPr>
                              <w:fldChar w:fldCharType="begin"/>
                            </w:r>
                            <w:r w:rsidRPr="00BE0995">
                              <w:rPr>
                                <w:rFonts w:ascii="Arial" w:hAnsi="Arial" w:cs="Arial"/>
                              </w:rPr>
                              <w:instrText xml:space="preserve"> ADDIN ZOTERO_ITEM CSL_CITATION {"citationID":"G6ToMT54","properties":{"formattedCitation":"(Christoff, Gordon, Smallwood, Smith, &amp; Schooler, 2009)","plainCitation":"(Christoff, Gordon, Smallwood, Smith, &amp; Schooler, 2009)","noteIndex":0},"citationItems":[{"id":488,"uris":["http://zotero.org/groups/318634/items/ZCS4RGNI"],"uri":["http://zotero.org/groups/318634/items/ZCS4RGNI"],"itemData":{"id":488,"type":"article-journal","title":"Experience sampling during fMRI reveals default network and executive system contributions to mind wandering","container-title":"Proceedings of the National Academy of Sciences","page":"8719–8724","volume":"106","issue":"21","source":"Google Scholar","author":[{"family":"Christoff","given":"Kalina"},{"family":"Gordon","given":"Alan M."},{"family":"Smallwood","given":"Jonathan"},{"family":"Smith","given":"Rachelle"},{"family":"Schooler","given":"Jonathan W."}],"issued":{"date-parts":[["2009"]]}}}],"schema":"https://github.com/citation-style-language/schema/raw/master/csl-citation.json"} </w:instrText>
                            </w:r>
                            <w:r w:rsidRPr="00BE0995">
                              <w:rPr>
                                <w:rFonts w:ascii="Arial" w:hAnsi="Arial" w:cs="Arial"/>
                              </w:rPr>
                              <w:fldChar w:fldCharType="separate"/>
                            </w:r>
                            <w:r w:rsidRPr="00BE0995">
                              <w:rPr>
                                <w:rFonts w:ascii="Arial" w:hAnsi="Arial" w:cs="Arial"/>
                                <w:noProof/>
                              </w:rPr>
                              <w:t>(Christoff, Gordon, Smallwood, Smith, &amp; Schooler, 2009)</w:t>
                            </w:r>
                            <w:r w:rsidRPr="00BE0995">
                              <w:rPr>
                                <w:rFonts w:ascii="Arial" w:hAnsi="Arial" w:cs="Arial"/>
                              </w:rPr>
                              <w:fldChar w:fldCharType="end"/>
                            </w:r>
                            <w:r>
                              <w:rPr>
                                <w:rFonts w:ascii="Arial" w:hAnsi="Arial" w:cs="Arial"/>
                              </w:rPr>
                              <w:t xml:space="preserve"> (Figure from </w:t>
                            </w:r>
                            <w:r>
                              <w:rPr>
                                <w:rFonts w:ascii="Arial" w:hAnsi="Arial" w:cs="Arial"/>
                              </w:rPr>
                              <w:fldChar w:fldCharType="begin"/>
                            </w:r>
                            <w:r>
                              <w:rPr>
                                <w:rFonts w:ascii="Arial" w:hAnsi="Arial" w:cs="Arial"/>
                              </w:rPr>
                              <w:instrText xml:space="preserve"> ADDIN ZOTERO_ITEM CSL_CITATION {"citationID":"jtjIyXO7","properties":{"formattedCitation":"(Christoff, Irving, Fox, Spreng, &amp; Andrews-Hanna, 2016)","plainCitation":"(Christoff, Irving, Fox, Spreng, &amp; Andrews-Hanna, 2016)","noteIndex":0},"citationItems":[{"id":570,"uris":["http://zotero.org/groups/318634/items/YUGEYLFP"],"uri":["http://zotero.org/groups/318634/items/YUGEYLFP"],"itemData":{"id":570,"type":"article-journal","title":"Mind-wandering as spontaneous thought: a dynamic framework","container-title":"Nature Reviews Neuroscience","page":"718-731","volume":"17","issue":"11","source":"www.nature.com","abstract":"Most research on mind-wandering has characterized it as a mental state with contents that are task unrelated or stimulus independent. However, the dynamics of mind-wandering — how mental states change over time — have remained largely neglected. Here, we introduce a dynamic framework for understanding mind-wandering and its relationship to the recruitment of large-scale brain networks. We propose that mind-wandering is best understood as a member of a family of spontaneous-thought phenomena that also includes creative thought and dreaming. This dynamic framework can shed new light on mental disorders that are marked by alterations in spontaneous thought, including depression, anxiety and attention deficit hyperactivity disorder.","DOI":"10.1038/nrn.2016.113","ISSN":"1471-0048","title-short":"Mind-wandering as spontaneous thought","language":"en","author":[{"family":"Christoff","given":"Kalina"},{"family":"Irving","given":"Zachary C."},{"family":"Fox","given":"Kieran C. R."},{"family":"Spreng","given":"R. Nathan"},{"family":"Andrews-Hanna","given":"Jessica R."}],"issued":{"date-parts":[["2016",11]]}}}],"schema":"https://github.com/citation-style-language/schema/raw/master/csl-citation.json"} </w:instrText>
                            </w:r>
                            <w:r>
                              <w:rPr>
                                <w:rFonts w:ascii="Arial" w:hAnsi="Arial" w:cs="Arial"/>
                              </w:rPr>
                              <w:fldChar w:fldCharType="separate"/>
                            </w:r>
                            <w:r>
                              <w:rPr>
                                <w:rFonts w:ascii="Arial" w:hAnsi="Arial" w:cs="Arial"/>
                                <w:noProof/>
                              </w:rPr>
                              <w:t>Christoff, Irving, Fox, Spreng, &amp; Andrews-Hanna, 2016)</w:t>
                            </w:r>
                            <w:r>
                              <w:rPr>
                                <w:rFonts w:ascii="Arial" w:hAnsi="Arial" w:cs="Arial"/>
                              </w:rPr>
                              <w:fldChar w:fldCharType="end"/>
                            </w:r>
                            <w:r>
                              <w:rPr>
                                <w:rFonts w:ascii="Arial" w:hAnsi="Arial" w:cs="Arial"/>
                              </w:rPr>
                              <w:t>.</w:t>
                            </w:r>
                            <w:bookmarkEnd w:id="170"/>
                            <w:bookmarkEnd w:id="171"/>
                          </w:p>
                          <w:p w14:paraId="230C9C44" w14:textId="77777777" w:rsidR="00AE6937" w:rsidRDefault="00AE6937" w:rsidP="00AE6937">
                            <w:pPr>
                              <w:pStyle w:val="Caption"/>
                              <w:jc w:val="center"/>
                            </w:pPr>
                          </w:p>
                          <w:p w14:paraId="35D396C6" w14:textId="77777777" w:rsidR="00AE6937" w:rsidRDefault="00AE6937" w:rsidP="00AE6937">
                            <w:pPr>
                              <w:jc w:val="center"/>
                            </w:pPr>
                          </w:p>
                          <w:p w14:paraId="114BFB01" w14:textId="77777777" w:rsidR="00AE6937" w:rsidRDefault="00AE6937" w:rsidP="00AE693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5375C" id="Text Box 81" o:spid="_x0000_s1030" type="#_x0000_t202" style="position:absolute;margin-left:-.5pt;margin-top:.05pt;width:418.5pt;height:579.6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" filled="f" stroked="f" strokeweight=".5pt">
                <v:textbox>
                  <w:txbxContent>
                    <w:p w14:paraId="593BD106" w14:textId="77777777" w:rsidR="00AE6937" w:rsidRDefault="00AE6937" w:rsidP="00AE6937">
                      <w:pPr>
                        <w:keepNext/>
                        <w:jc w:val="center"/>
                      </w:pPr>
                      <w:r>
                        <w:rPr>
                          <w:noProof/>
                          <w:lang w:eastAsia="en-GB"/>
                        </w:rPr>
                        <w:drawing>
                          <wp:inline distT="0" distB="0" distL="0" distR="0" wp14:anchorId="2AE91D5F" wp14:editId="4C188E57">
                            <wp:extent cx="5295583" cy="3299589"/>
                            <wp:effectExtent l="0" t="0" r="635"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ure1.5-attention_networks.png"/>
                                    <pic:cNvPicPr/>
                                  </pic:nvPicPr>
                                  <pic:blipFill>
                                    <a:blip r:embed="rId17">
                                      <a:extLst>
                                        <a:ext uri="{28A0092B-C50C-407E-A947-70E740481C1C}">
                                          <a14:useLocalDpi xmlns:a14="http://schemas.microsoft.com/office/drawing/2010/main" val="0"/>
                                        </a:ext>
                                      </a:extLst>
                                    </a:blip>
                                    <a:stretch>
                                      <a:fillRect/>
                                    </a:stretch>
                                  </pic:blipFill>
                                  <pic:spPr>
                                    <a:xfrm>
                                      <a:off x="0" y="0"/>
                                      <a:ext cx="5336571" cy="3325128"/>
                                    </a:xfrm>
                                    <a:prstGeom prst="rect">
                                      <a:avLst/>
                                    </a:prstGeom>
                                  </pic:spPr>
                                </pic:pic>
                              </a:graphicData>
                            </a:graphic>
                          </wp:inline>
                        </w:drawing>
                      </w:r>
                    </w:p>
                    <w:p w14:paraId="66CEB542" w14:textId="77777777" w:rsidR="00AE6937" w:rsidRPr="00BE0995" w:rsidRDefault="00AE6937" w:rsidP="00AE6937">
                      <w:pPr>
                        <w:spacing w:line="360" w:lineRule="auto"/>
                        <w:jc w:val="both"/>
                        <w:rPr>
                          <w:rFonts w:ascii="Arial" w:hAnsi="Arial" w:cs="Arial"/>
                        </w:rPr>
                      </w:pPr>
                      <w:bookmarkStart w:id="178" w:name="_Toc12363336"/>
                      <w:bookmarkStart w:id="179" w:name="_Toc16242693"/>
                      <w:r w:rsidRPr="00BE0995">
                        <w:rPr>
                          <w:rFonts w:ascii="Arial" w:hAnsi="Arial" w:cs="Arial"/>
                          <w:b/>
                        </w:rPr>
                        <w:t xml:space="preserve">Figure </w:t>
                      </w:r>
                      <w:r>
                        <w:rPr>
                          <w:rFonts w:ascii="Arial" w:hAnsi="Arial" w:cs="Arial"/>
                          <w:b/>
                        </w:rPr>
                        <w:fldChar w:fldCharType="begin"/>
                      </w:r>
                      <w:r>
                        <w:rPr>
                          <w:rFonts w:ascii="Arial" w:hAnsi="Arial" w:cs="Arial"/>
                          <w:b/>
                        </w:rPr>
                        <w:instrText xml:space="preserve"> STYLEREF 1 \s </w:instrText>
                      </w:r>
                      <w:r>
                        <w:rPr>
                          <w:rFonts w:ascii="Arial" w:hAnsi="Arial" w:cs="Arial"/>
                          <w:b/>
                        </w:rPr>
                        <w:fldChar w:fldCharType="separate"/>
                      </w:r>
                      <w:r>
                        <w:rPr>
                          <w:rFonts w:ascii="Arial" w:hAnsi="Arial" w:cs="Arial"/>
                          <w:b/>
                          <w:noProof/>
                        </w:rPr>
                        <w:t>1</w:t>
                      </w:r>
                      <w:r>
                        <w:rPr>
                          <w:rFonts w:ascii="Arial" w:hAnsi="Arial" w:cs="Arial"/>
                          <w:b/>
                        </w:rPr>
                        <w:fldChar w:fldCharType="end"/>
                      </w:r>
                      <w:r>
                        <w:rPr>
                          <w:rFonts w:ascii="Arial" w:hAnsi="Arial" w:cs="Arial"/>
                          <w:b/>
                        </w:rPr>
                        <w:t>.</w:t>
                      </w:r>
                      <w:r>
                        <w:rPr>
                          <w:rFonts w:ascii="Arial" w:hAnsi="Arial" w:cs="Arial"/>
                          <w:b/>
                        </w:rPr>
                        <w:fldChar w:fldCharType="begin"/>
                      </w:r>
                      <w:r>
                        <w:rPr>
                          <w:rFonts w:ascii="Arial" w:hAnsi="Arial" w:cs="Arial"/>
                          <w:b/>
                        </w:rPr>
                        <w:instrText xml:space="preserve"> SEQ Figure \* ARABIC \s 1 </w:instrText>
                      </w:r>
                      <w:r>
                        <w:rPr>
                          <w:rFonts w:ascii="Arial" w:hAnsi="Arial" w:cs="Arial"/>
                          <w:b/>
                        </w:rPr>
                        <w:fldChar w:fldCharType="separate"/>
                      </w:r>
                      <w:r>
                        <w:rPr>
                          <w:rFonts w:ascii="Arial" w:hAnsi="Arial" w:cs="Arial"/>
                          <w:b/>
                          <w:noProof/>
                        </w:rPr>
                        <w:t>5</w:t>
                      </w:r>
                      <w:r>
                        <w:rPr>
                          <w:rFonts w:ascii="Arial" w:hAnsi="Arial" w:cs="Arial"/>
                          <w:b/>
                        </w:rPr>
                        <w:fldChar w:fldCharType="end"/>
                      </w:r>
                      <w:r w:rsidRPr="00BE0995">
                        <w:rPr>
                          <w:rFonts w:ascii="Arial" w:hAnsi="Arial" w:cs="Arial"/>
                        </w:rPr>
                        <w:t xml:space="preserve"> Large-scale brain connectivity networks. A) The default mode network (DN) core subsystem includes the anterior medial prefrontal cortex (</w:t>
                      </w:r>
                      <w:proofErr w:type="spellStart"/>
                      <w:r w:rsidRPr="00BE0995">
                        <w:rPr>
                          <w:rFonts w:ascii="Arial" w:hAnsi="Arial" w:cs="Arial"/>
                        </w:rPr>
                        <w:t>mPFC</w:t>
                      </w:r>
                      <w:proofErr w:type="spellEnd"/>
                      <w:r w:rsidRPr="00BE0995">
                        <w:rPr>
                          <w:rFonts w:ascii="Arial" w:hAnsi="Arial" w:cs="Arial"/>
                        </w:rPr>
                        <w:t>), posterior cingulate cortex (PCC) and posterior inferior parietal lobule (</w:t>
                      </w:r>
                      <w:proofErr w:type="spellStart"/>
                      <w:r w:rsidRPr="00BE0995">
                        <w:rPr>
                          <w:rFonts w:ascii="Arial" w:hAnsi="Arial" w:cs="Arial"/>
                        </w:rPr>
                        <w:t>pIPL</w:t>
                      </w:r>
                      <w:proofErr w:type="spellEnd"/>
                      <w:r w:rsidRPr="00BE0995">
                        <w:rPr>
                          <w:rFonts w:ascii="Arial" w:hAnsi="Arial" w:cs="Arial"/>
                        </w:rPr>
                        <w:t>). A second default mode subsystem centres around the medial temporal lobe (MTL) including the hippocampal formation (HF) and parahippocampal cortex (PHC). The third subcomponent of the default network extends dorsally into the dorsomedial prefrontal cortex (</w:t>
                      </w:r>
                      <w:proofErr w:type="spellStart"/>
                      <w:r w:rsidRPr="00BE0995">
                        <w:rPr>
                          <w:rFonts w:ascii="Arial" w:hAnsi="Arial" w:cs="Arial"/>
                        </w:rPr>
                        <w:t>dmPFC</w:t>
                      </w:r>
                      <w:proofErr w:type="spellEnd"/>
                      <w:r w:rsidRPr="00BE0995">
                        <w:rPr>
                          <w:rFonts w:ascii="Arial" w:hAnsi="Arial" w:cs="Arial"/>
                        </w:rPr>
                        <w:t>) and the lateral temporal cortex (LTC). B) The dorsal attention network (DAN) is composed of regions centred around the intraparietal sulcus (IPS), the superior parietal lobule (SPL) and along the dorsal frontal cortex. C) The ventral attention network (VAN) contains a collection of ventral frontal regions such as the inferior frontal gyrus (IFG), anterior insula (AI) and the ventral temporoparietal junction (</w:t>
                      </w:r>
                      <w:proofErr w:type="spellStart"/>
                      <w:r w:rsidRPr="00BE0995">
                        <w:rPr>
                          <w:rFonts w:ascii="Arial" w:hAnsi="Arial" w:cs="Arial"/>
                        </w:rPr>
                        <w:t>vTPJ</w:t>
                      </w:r>
                      <w:proofErr w:type="spellEnd"/>
                      <w:r w:rsidRPr="00BE0995">
                        <w:rPr>
                          <w:rFonts w:ascii="Arial" w:hAnsi="Arial" w:cs="Arial"/>
                        </w:rPr>
                        <w:t xml:space="preserve"> </w:t>
                      </w:r>
                      <w:r w:rsidRPr="00BE0995">
                        <w:rPr>
                          <w:rFonts w:ascii="Arial" w:hAnsi="Arial" w:cs="Arial"/>
                        </w:rPr>
                        <w:fldChar w:fldCharType="begin"/>
                      </w:r>
                      <w:r w:rsidRPr="00BE0995">
                        <w:rPr>
                          <w:rFonts w:ascii="Arial" w:hAnsi="Arial" w:cs="Arial"/>
                        </w:rPr>
                        <w:instrText xml:space="preserve"> ADDIN ZOTERO_ITEM CSL_CITATION {"citationID":"G6ToMT54","properties":{"formattedCitation":"(Christoff, Gordon, Smallwood, Smith, &amp; Schooler, 2009)","plainCitation":"(Christoff, Gordon, Smallwood, Smith, &amp; Schooler, 2009)","noteIndex":0},"citationItems":[{"id":488,"uris":["http://zotero.org/groups/318634/items/ZCS4RGNI"],"uri":["http://zotero.org/groups/318634/items/ZCS4RGNI"],"itemData":{"id":488,"type":"article-journal","title":"Experience sampling during fMRI reveals default network and executive system contributions to mind wandering","container-title":"Proceedings of the National Academy of Sciences","page":"8719–8724","volume":"106","issue":"21","source":"Google Scholar","author":[{"family":"Christoff","given":"Kalina"},{"family":"Gordon","given":"Alan M."},{"family":"Smallwood","given":"Jonathan"},{"family":"Smith","given":"Rachelle"},{"family":"Schooler","given":"Jonathan W."}],"issued":{"date-parts":[["2009"]]}}}],"schema":"https://github.com/citation-style-language/schema/raw/master/csl-citation.json"} </w:instrText>
                      </w:r>
                      <w:r w:rsidRPr="00BE0995">
                        <w:rPr>
                          <w:rFonts w:ascii="Arial" w:hAnsi="Arial" w:cs="Arial"/>
                        </w:rPr>
                        <w:fldChar w:fldCharType="separate"/>
                      </w:r>
                      <w:r w:rsidRPr="00BE0995">
                        <w:rPr>
                          <w:rFonts w:ascii="Arial" w:hAnsi="Arial" w:cs="Arial"/>
                          <w:noProof/>
                        </w:rPr>
                        <w:t>(Christoff, Gordon, Smallwood, Smith, &amp; Schooler, 2009)</w:t>
                      </w:r>
                      <w:r w:rsidRPr="00BE0995">
                        <w:rPr>
                          <w:rFonts w:ascii="Arial" w:hAnsi="Arial" w:cs="Arial"/>
                        </w:rPr>
                        <w:fldChar w:fldCharType="end"/>
                      </w:r>
                      <w:r>
                        <w:rPr>
                          <w:rFonts w:ascii="Arial" w:hAnsi="Arial" w:cs="Arial"/>
                        </w:rPr>
                        <w:t xml:space="preserve"> (Figure from </w:t>
                      </w:r>
                      <w:r>
                        <w:rPr>
                          <w:rFonts w:ascii="Arial" w:hAnsi="Arial" w:cs="Arial"/>
                        </w:rPr>
                        <w:fldChar w:fldCharType="begin"/>
                      </w:r>
                      <w:r>
                        <w:rPr>
                          <w:rFonts w:ascii="Arial" w:hAnsi="Arial" w:cs="Arial"/>
                        </w:rPr>
                        <w:instrText xml:space="preserve"> ADDIN ZOTERO_ITEM CSL_CITATION {"citationID":"jtjIyXO7","properties":{"formattedCitation":"(Christoff, Irving, Fox, Spreng, &amp; Andrews-Hanna, 2016)","plainCitation":"(Christoff, Irving, Fox, Spreng, &amp; Andrews-Hanna, 2016)","noteIndex":0},"citationItems":[{"id":570,"uris":["http://zotero.org/groups/318634/items/YUGEYLFP"],"uri":["http://zotero.org/groups/318634/items/YUGEYLFP"],"itemData":{"id":570,"type":"article-journal","title":"Mind-wandering as spontaneous thought: a dynamic framework","container-title":"Nature Reviews Neuroscience","page":"718-731","volume":"17","issue":"11","source":"www.nature.com","abstract":"Most research on mind-wandering has characterized it as a mental state with contents that are task unrelated or stimulus independent. However, the dynamics of mind-wandering — how mental states change over time — have remained largely neglected. Here, we introduce a dynamic framework for understanding mind-wandering and its relationship to the recruitment of large-scale brain networks. We propose that mind-wandering is best understood as a member of a family of spontaneous-thought phenomena that also includes creative thought and dreaming. This dynamic framework can shed new light on mental disorders that are marked by alterations in spontaneous thought, including depression, anxiety and attention deficit hyperactivity disorder.","DOI":"10.1038/nrn.2016.113","ISSN":"1471-0048","title-short":"Mind-wandering as spontaneous thought","language":"en","author":[{"family":"Christoff","given":"Kalina"},{"family":"Irving","given":"Zachary C."},{"family":"Fox","given":"Kieran C. R."},{"family":"Spreng","given":"R. Nathan"},{"family":"Andrews-Hanna","given":"Jessica R."}],"issued":{"date-parts":[["2016",11]]}}}],"schema":"https://github.com/citation-style-language/schema/raw/master/csl-citation.json"} </w:instrText>
                      </w:r>
                      <w:r>
                        <w:rPr>
                          <w:rFonts w:ascii="Arial" w:hAnsi="Arial" w:cs="Arial"/>
                        </w:rPr>
                        <w:fldChar w:fldCharType="separate"/>
                      </w:r>
                      <w:r>
                        <w:rPr>
                          <w:rFonts w:ascii="Arial" w:hAnsi="Arial" w:cs="Arial"/>
                          <w:noProof/>
                        </w:rPr>
                        <w:t>Christoff, Irving, Fox, Spreng, &amp; Andrews-Hanna, 2016)</w:t>
                      </w:r>
                      <w:r>
                        <w:rPr>
                          <w:rFonts w:ascii="Arial" w:hAnsi="Arial" w:cs="Arial"/>
                        </w:rPr>
                        <w:fldChar w:fldCharType="end"/>
                      </w:r>
                      <w:r>
                        <w:rPr>
                          <w:rFonts w:ascii="Arial" w:hAnsi="Arial" w:cs="Arial"/>
                        </w:rPr>
                        <w:t>.</w:t>
                      </w:r>
                      <w:bookmarkEnd w:id="178"/>
                      <w:bookmarkEnd w:id="179"/>
                    </w:p>
                    <w:p w14:paraId="230C9C44" w14:textId="77777777" w:rsidR="00AE6937" w:rsidRDefault="00AE6937" w:rsidP="00AE6937">
                      <w:pPr>
                        <w:pStyle w:val="Caption"/>
                        <w:jc w:val="center"/>
                      </w:pPr>
                    </w:p>
                    <w:p w14:paraId="35D396C6" w14:textId="77777777" w:rsidR="00AE6937" w:rsidRDefault="00AE6937" w:rsidP="00AE6937">
                      <w:pPr>
                        <w:jc w:val="center"/>
                      </w:pPr>
                    </w:p>
                    <w:p w14:paraId="114BFB01" w14:textId="77777777" w:rsidR="00AE6937" w:rsidRDefault="00AE6937" w:rsidP="00AE6937">
                      <w:pPr>
                        <w:jc w:val="center"/>
                      </w:pPr>
                    </w:p>
                  </w:txbxContent>
                </v:textbox>
                <w10:wrap type="square"/>
              </v:shape>
            </w:pict>
          </mc:Fallback>
        </mc:AlternateContent>
      </w:r>
    </w:p>
    <w:p w14:paraId="7AACB1B7" w14:textId="77777777" w:rsidR="000C73FA" w:rsidRPr="00225AB0" w:rsidRDefault="000C73FA" w:rsidP="001811CC">
      <w:pPr>
        <w:pStyle w:val="Heading3"/>
        <w:numPr>
          <w:ilvl w:val="2"/>
          <w:numId w:val="2"/>
        </w:numPr>
        <w:rPr>
          <w:rFonts w:ascii="Arial" w:hAnsi="Arial" w:cs="Arial"/>
          <w:b/>
          <w:i/>
          <w:color w:val="000000" w:themeColor="text1"/>
          <w:sz w:val="28"/>
          <w:szCs w:val="28"/>
        </w:rPr>
      </w:pPr>
      <w:bookmarkStart w:id="172" w:name="_Toc11147964"/>
      <w:bookmarkStart w:id="173" w:name="_Toc11153910"/>
      <w:bookmarkStart w:id="174" w:name="_Toc11753616"/>
      <w:bookmarkStart w:id="175" w:name="_Toc11926802"/>
      <w:bookmarkStart w:id="176" w:name="_Toc11930035"/>
      <w:bookmarkStart w:id="177" w:name="_Toc16075351"/>
      <w:bookmarkStart w:id="178" w:name="_Toc16236974"/>
      <w:r w:rsidRPr="00225AB0">
        <w:rPr>
          <w:rFonts w:ascii="Arial" w:hAnsi="Arial" w:cs="Arial"/>
          <w:b/>
          <w:i/>
          <w:color w:val="000000" w:themeColor="text1"/>
          <w:sz w:val="28"/>
          <w:szCs w:val="28"/>
        </w:rPr>
        <w:t>Attentional modulation of network connectivity</w:t>
      </w:r>
      <w:bookmarkEnd w:id="172"/>
      <w:bookmarkEnd w:id="173"/>
      <w:bookmarkEnd w:id="174"/>
      <w:bookmarkEnd w:id="175"/>
      <w:bookmarkEnd w:id="176"/>
      <w:bookmarkEnd w:id="177"/>
      <w:bookmarkEnd w:id="178"/>
      <w:r w:rsidRPr="00225AB0">
        <w:rPr>
          <w:rFonts w:ascii="Arial" w:hAnsi="Arial" w:cs="Arial"/>
          <w:b/>
          <w:i/>
          <w:color w:val="000000" w:themeColor="text1"/>
          <w:sz w:val="28"/>
          <w:szCs w:val="28"/>
        </w:rPr>
        <w:t xml:space="preserve"> </w:t>
      </w:r>
    </w:p>
    <w:p w14:paraId="4E2AA155" w14:textId="77777777" w:rsidR="00225AB0" w:rsidRPr="00225AB0" w:rsidRDefault="00225AB0" w:rsidP="00225AB0">
      <w:pPr>
        <w:pStyle w:val="ListParagraph"/>
        <w:rPr>
          <w:rFonts w:ascii="Arial" w:hAnsi="Arial" w:cs="Arial"/>
        </w:rPr>
      </w:pPr>
    </w:p>
    <w:p w14:paraId="547C0A6D" w14:textId="2019F53C" w:rsidR="000C73FA" w:rsidRPr="00225AB0" w:rsidRDefault="000C73FA" w:rsidP="000C73FA">
      <w:pPr>
        <w:spacing w:line="480" w:lineRule="auto"/>
        <w:rPr>
          <w:rFonts w:ascii="Arial" w:hAnsi="Arial" w:cs="Arial"/>
        </w:rPr>
      </w:pPr>
      <w:r w:rsidRPr="00225AB0">
        <w:rPr>
          <w:rFonts w:ascii="Arial" w:hAnsi="Arial" w:cs="Arial"/>
        </w:rPr>
        <w:t xml:space="preserve">Previous research has demonstrated that attention can modulate the pattern of activity </w:t>
      </w:r>
      <w:r w:rsidR="00D44AC6">
        <w:rPr>
          <w:rFonts w:ascii="Arial" w:hAnsi="Arial" w:cs="Arial"/>
        </w:rPr>
        <w:t>in</w:t>
      </w:r>
      <w:r w:rsidRPr="00225AB0">
        <w:rPr>
          <w:rFonts w:ascii="Arial" w:hAnsi="Arial" w:cs="Arial"/>
        </w:rPr>
        <w:t xml:space="preserve"> individual visual regions or across voxels. However, recent research suggests attention may also modulate the connectivity across </w:t>
      </w:r>
      <w:r w:rsidRPr="00225AB0">
        <w:rPr>
          <w:rFonts w:ascii="Arial" w:hAnsi="Arial" w:cs="Arial"/>
        </w:rPr>
        <w:lastRenderedPageBreak/>
        <w:t>multiple areas of cortex</w:t>
      </w:r>
      <w:r w:rsidR="001E05AF">
        <w:rPr>
          <w:rFonts w:ascii="Arial" w:hAnsi="Arial" w:cs="Arial"/>
        </w:rPr>
        <w:t xml:space="preserve"> simultaneously</w:t>
      </w:r>
      <w:r w:rsidRPr="00225AB0">
        <w:rPr>
          <w:rFonts w:ascii="Arial" w:hAnsi="Arial" w:cs="Arial"/>
        </w:rPr>
        <w:t xml:space="preserve">. For example, </w:t>
      </w:r>
      <w:r w:rsidRPr="00225AB0">
        <w:rPr>
          <w:rFonts w:ascii="Arial" w:hAnsi="Arial" w:cs="Arial"/>
        </w:rPr>
        <w:fldChar w:fldCharType="begin"/>
      </w:r>
      <w:r w:rsidR="00321AB9">
        <w:rPr>
          <w:rFonts w:ascii="Arial" w:hAnsi="Arial" w:cs="Arial"/>
        </w:rPr>
        <w:instrText xml:space="preserve"> ADDIN ZOTERO_ITEM CSL_CITATION {"citationID":"wI8pGyaj","properties":{"formattedCitation":"(Bartels &amp; Zeki, 2004b)","plainCitation":"(Bartels &amp; Zeki, 2004b)","dontUpdate":true,"noteIndex":0},"citationItems":[{"id":43,"uris":["http://zotero.org/groups/318634/items/4DP68J4G"],"uri":["http://zotero.org/groups/318634/items/4DP68J4G"],"itemData":{"id":43,"type":"article-journal","title":"The chronoarchitecture of the human brain--natural viewing conditions reveal a time-based anatomy of the brain","container-title":"NeuroImage","page":"419-433","volume":"22","issue":"1","source":"PubMed","abstract":"A dominant tendency in cerebral studies has been the attempt to locate architecturally distinct parts of the cortex and assign special functions to each, through histological, clinical or hypothesis-based imaging experiments. Here we show that the cerebral cortex can also be subdivided into different components temporally, without any a priori hypotheses, based on the principle of functional independence. This states that distinct functional subdivisions have activity time courses (ATCs) that are, if not independent, at least characteristic to each when the brain is exposed to natural conditions. To approach a time-based anatomy experimentally, we recorded whole-brain activity using functional magnetic resonance imaging (fMRI) and analyzed the data with independent component analysis (ICA). Our results show that a multitude of cortical areas can be identified based purely on their characteristic ATCs during natural conditions. We demonstrate that a more \"rich\" stimulation (free viewing of a movie) leads to more areas being activated in a specific way than conventional stimuli, allowing for a more detailed dissection of the cortex into its subdivisions. We show that stimulus-driven functionally specialized areas can be identified by intersubject correlation even if their function is unknown. Chronoarchitectonic mapping thus opens the prospect of identifying previously unknown cortical subdivisions based on natural viewing conditions by exploiting the characteristic temporal \"fingerprint\" that is unique to each.","DOI":"10.1016/j.neuroimage.2004.01.007","ISSN":"1053-8119","note":"PMID: 15110035","journalAbbreviation":"Neuroimage","language":"eng","author":[{"family":"Bartels","given":"Andreas"},{"family":"Zeki","given":"Semir"}],"issued":{"date-parts":[["2004",5]]}}}],"schema":"https://github.com/citation-style-language/schema/raw/master/csl-citation.json"} </w:instrText>
      </w:r>
      <w:r w:rsidRPr="00225AB0">
        <w:rPr>
          <w:rFonts w:ascii="Arial" w:hAnsi="Arial" w:cs="Arial"/>
        </w:rPr>
        <w:fldChar w:fldCharType="separate"/>
      </w:r>
      <w:r w:rsidRPr="00225AB0">
        <w:rPr>
          <w:rFonts w:ascii="Arial" w:hAnsi="Arial" w:cs="Arial"/>
          <w:noProof/>
        </w:rPr>
        <w:t>Bartels &amp; Zeki, (2004b)</w:t>
      </w:r>
      <w:r w:rsidRPr="00225AB0">
        <w:rPr>
          <w:rFonts w:ascii="Arial" w:hAnsi="Arial" w:cs="Arial"/>
        </w:rPr>
        <w:fldChar w:fldCharType="end"/>
      </w:r>
      <w:r w:rsidRPr="00225AB0">
        <w:rPr>
          <w:rFonts w:ascii="Arial" w:hAnsi="Arial" w:cs="Arial"/>
        </w:rPr>
        <w:t xml:space="preserve"> identified higher anatomical specific</w:t>
      </w:r>
      <w:r w:rsidR="001E05AF">
        <w:rPr>
          <w:rFonts w:ascii="Arial" w:hAnsi="Arial" w:cs="Arial"/>
        </w:rPr>
        <w:t>ity</w:t>
      </w:r>
      <w:r w:rsidRPr="00225AB0">
        <w:rPr>
          <w:rFonts w:ascii="Arial" w:hAnsi="Arial" w:cs="Arial"/>
        </w:rPr>
        <w:t xml:space="preserve"> and functional connectivity across the cortex during natural viewing of a movie stimulus versus ‘rest’, when participants performed no explicit task. Additionally, </w:t>
      </w:r>
      <w:r w:rsidRPr="00225AB0">
        <w:rPr>
          <w:rFonts w:ascii="Arial" w:hAnsi="Arial" w:cs="Arial"/>
        </w:rPr>
        <w:fldChar w:fldCharType="begin"/>
      </w:r>
      <w:r w:rsidR="00321AB9">
        <w:rPr>
          <w:rFonts w:ascii="Arial" w:hAnsi="Arial" w:cs="Arial"/>
        </w:rPr>
        <w:instrText xml:space="preserve"> ADDIN ZOTERO_ITEM CSL_CITATION {"citationID":"dBtV4478","properties":{"formattedCitation":"(Hasson, Nir, Levy, Fuhrmann, &amp; Malach, 2004)","plainCitation":"(Hasson, Nir, Levy, Fuhrmann, &amp; Malach, 2004)","dontUpdate":true,"noteIndex":0},"citationItems":[{"id":38,"uris":["http://zotero.org/groups/318634/items/S72VS9BZ"],"uri":["http://zotero.org/groups/318634/items/S72VS9BZ"],"itemData":{"id":38,"type":"article-journal","title":"Intersubject synchronization of cortical activity during natural vision","container-title":"Science (New York, N.Y.)","page":"1634-1640","volume":"303","issue":"5664","source":"PubMed","abstract":"To what extent do all brains work alike during natural conditions? We explored this question by letting five subjects freely view half an hour of a popular movie while undergoing functional brain imaging. Applying an unbiased analysis in which spatiotemporal activity patterns in one brain were used to \"model\" activity in another brain, we found a striking level of voxel-by-voxel synchronization between individuals, not only in primary and secondary visual and auditory areas but also in association cortices. The results reveal a surprising tendency of individual brains to \"tick collectively\" during natural vision. The intersubject synchronization consisted of a widespread cortical activation pattern correlated with emotionally arousing scenes and regionally selective components. The characteristics of these activations were revealed with the use of an open-ended \"reverse-correlation\" approach, which inverts the conventional analysis by letting the brain signals themselves \"pick up\" the optimal stimuli for each specialized cortical area.","DOI":"10.1126/science.1089506","ISSN":"1095-9203","note":"PMID: 15016991","journalAbbreviation":"Science","language":"eng","author":[{"family":"Hasson","given":"Uri"},{"family":"Nir","given":"Yuval"},{"family":"Levy","given":"Ifat"},{"family":"Fuhrmann","given":"Galit"},{"family":"Malach","given":"Rafael"}],"issued":{"date-parts":[["2004",3,12]]}}}],"schema":"https://github.com/citation-style-language/schema/raw/master/csl-citation.json"} </w:instrText>
      </w:r>
      <w:r w:rsidRPr="00225AB0">
        <w:rPr>
          <w:rFonts w:ascii="Arial" w:hAnsi="Arial" w:cs="Arial"/>
        </w:rPr>
        <w:fldChar w:fldCharType="separate"/>
      </w:r>
      <w:r w:rsidRPr="00225AB0">
        <w:rPr>
          <w:rFonts w:ascii="Arial" w:hAnsi="Arial" w:cs="Arial"/>
          <w:noProof/>
        </w:rPr>
        <w:t>Hasson, Nir, Levy, Fuhrmann, &amp; Malach, (2004)</w:t>
      </w:r>
      <w:r w:rsidRPr="00225AB0">
        <w:rPr>
          <w:rFonts w:ascii="Arial" w:hAnsi="Arial" w:cs="Arial"/>
        </w:rPr>
        <w:fldChar w:fldCharType="end"/>
      </w:r>
      <w:r w:rsidRPr="00225AB0">
        <w:rPr>
          <w:rFonts w:ascii="Arial" w:hAnsi="Arial" w:cs="Arial"/>
        </w:rPr>
        <w:t xml:space="preserve"> demonstrated individual brain regions ‘tick together’ in a synchronised fashion during passive viewing of a dynamic, complex stimulus, providing evidence for the distributed synchronized activity of the default mode network during undemanding tasks. Conversely, </w:t>
      </w:r>
      <w:r w:rsidRPr="00225AB0">
        <w:rPr>
          <w:rFonts w:ascii="Arial" w:hAnsi="Arial" w:cs="Arial"/>
        </w:rPr>
        <w:fldChar w:fldCharType="begin"/>
      </w:r>
      <w:r w:rsidR="00321AB9">
        <w:rPr>
          <w:rFonts w:ascii="Arial" w:hAnsi="Arial" w:cs="Arial"/>
        </w:rPr>
        <w:instrText xml:space="preserve"> ADDIN ZOTERO_ITEM CSL_CITATION {"citationID":"iBArAgzf","properties":{"formattedCitation":"(Fox et al., 2005)","plainCitation":"(Fox et al., 2005)","dontUpdate":true,"noteIndex":0},"citationItems":[{"id":259,"uris":["http://zotero.org/groups/318634/items/7YHBRPAP"],"uri":["http://zotero.org/groups/318634/items/7YHBRPAP"],"itemData":{"id":259,"type":"article-journal","title":"The human brain is intrinsically organized into dynamic, anticorrelated functional networks","container-title":"Proceedings of the National Academy of Sciences of the United States of America","page":"9673-9678","volume":"102","issue":"27","source":"PubMed","abstract":"During performance of attention-demanding cognitive tasks, certain regions of the brain routinely increase activity, whereas others routinely decrease activity. In this study, we investigate the extent to which this task-related dichotomy is represented intrinsically in the resting human brain through examination of spontaneous fluctuations in the functional MRI blood oxygen level-dependent signal. We identify two diametrically opposed, widely distributed brain networks on the basis of both spontaneous correlations within each network and anticorrelations between networks. One network consists of regions routinely exhibiting task-related activations and the other of regions routinely exhibiting task-related deactivations. This intrinsic organization, featuring the presence of anticorrelated networks in the absence of overt task performance, provides a critical context in which to understand brain function. We suggest that both task-driven neuronal responses and behavior are reflections of this dynamic, ongoing, functional organization of the brain.","DOI":"10.1073/pnas.0504136102","ISSN":"0027-8424","note":"PMID: 15976020\nPMCID: PMC1157105","journalAbbreviation":"Proc. Natl. Acad. Sci. U.S.A.","language":"eng","author":[{"family":"Fox","given":"Michael D."},{"family":"Snyder","given":"Abraham Z."},{"family":"Vincent","given":"Justin L."},{"family":"Corbetta","given":"Maurizio"},{"family":"Van Essen","given":"David C."},{"family":"Raichle","given":"Marcus E."}],"issued":{"date-parts":[["2005",7,5]]}}}],"schema":"https://github.com/citation-style-language/schema/raw/master/csl-citation.json"} </w:instrText>
      </w:r>
      <w:r w:rsidRPr="00225AB0">
        <w:rPr>
          <w:rFonts w:ascii="Arial" w:hAnsi="Arial" w:cs="Arial"/>
        </w:rPr>
        <w:fldChar w:fldCharType="separate"/>
      </w:r>
      <w:r w:rsidRPr="00225AB0">
        <w:rPr>
          <w:rFonts w:ascii="Arial" w:hAnsi="Arial" w:cs="Arial"/>
          <w:noProof/>
        </w:rPr>
        <w:t>Fox et al., (2005)</w:t>
      </w:r>
      <w:r w:rsidRPr="00225AB0">
        <w:rPr>
          <w:rFonts w:ascii="Arial" w:hAnsi="Arial" w:cs="Arial"/>
        </w:rPr>
        <w:fldChar w:fldCharType="end"/>
      </w:r>
      <w:r w:rsidRPr="00225AB0">
        <w:rPr>
          <w:rFonts w:ascii="Arial" w:hAnsi="Arial" w:cs="Arial"/>
        </w:rPr>
        <w:t xml:space="preserve"> identified a decrease in BOLD signal </w:t>
      </w:r>
      <w:r w:rsidR="00D44AC6">
        <w:rPr>
          <w:rFonts w:ascii="Arial" w:hAnsi="Arial" w:cs="Arial"/>
        </w:rPr>
        <w:t>in</w:t>
      </w:r>
      <w:r w:rsidRPr="00225AB0">
        <w:rPr>
          <w:rFonts w:ascii="Arial" w:hAnsi="Arial" w:cs="Arial"/>
        </w:rPr>
        <w:t xml:space="preserve"> default mode regions during challenging, externally-directed tasks, again providing evidence for the modulation of activity </w:t>
      </w:r>
      <w:r w:rsidR="00D44AC6">
        <w:rPr>
          <w:rFonts w:ascii="Arial" w:hAnsi="Arial" w:cs="Arial"/>
        </w:rPr>
        <w:t>in</w:t>
      </w:r>
      <w:r w:rsidRPr="00225AB0">
        <w:rPr>
          <w:rFonts w:ascii="Arial" w:hAnsi="Arial" w:cs="Arial"/>
        </w:rPr>
        <w:t xml:space="preserve"> default mode and task-based networks as a function of attention. </w:t>
      </w:r>
    </w:p>
    <w:p w14:paraId="35A8DB8E" w14:textId="77777777" w:rsidR="000C73FA" w:rsidRPr="00225AB0" w:rsidRDefault="000C73FA" w:rsidP="000C73FA">
      <w:pPr>
        <w:rPr>
          <w:rFonts w:ascii="Arial" w:hAnsi="Arial" w:cs="Arial"/>
        </w:rPr>
      </w:pPr>
    </w:p>
    <w:p w14:paraId="33B2850D" w14:textId="1EE1B546" w:rsidR="001E05AF" w:rsidRDefault="000C73FA" w:rsidP="000C73FA">
      <w:pPr>
        <w:spacing w:line="480" w:lineRule="auto"/>
        <w:rPr>
          <w:rFonts w:ascii="Arial" w:hAnsi="Arial" w:cs="Arial"/>
        </w:rPr>
      </w:pPr>
      <w:r w:rsidRPr="00225AB0">
        <w:rPr>
          <w:rFonts w:ascii="Arial" w:hAnsi="Arial" w:cs="Arial"/>
        </w:rPr>
        <w:t xml:space="preserve">The reciprocal relationship between the default mode and task-based networks has been termed ‘functional antagonism’ </w:t>
      </w:r>
      <w:r w:rsidRPr="00225AB0">
        <w:rPr>
          <w:rFonts w:ascii="Arial" w:hAnsi="Arial" w:cs="Arial"/>
        </w:rPr>
        <w:fldChar w:fldCharType="begin"/>
      </w:r>
      <w:r w:rsidR="00321AB9">
        <w:rPr>
          <w:rFonts w:ascii="Arial" w:hAnsi="Arial" w:cs="Arial"/>
        </w:rPr>
        <w:instrText xml:space="preserve"> ADDIN ZOTERO_ITEM CSL_CITATION {"citationID":"LMjPLq3w","properties":{"formattedCitation":"(Anticevic et al., 2012)","plainCitation":"(Anticevic et al., 2012)","dontUpdate":true,"noteIndex":0},"citationItems":[{"id":150,"uris":["http://zotero.org/groups/318634/items/TYLFVPKH"],"uri":["http://zotero.org/groups/318634/items/TYLFVPKH"],"itemData":{"id":150,"type":"article-journal","title":"The Role of Default Network Deactivation in Cognition and Disease","container-title":"Trends in cognitive sciences","page":"584-592","volume":"16","issue":"12","source":"PubMed Central","abstract":"A considerable body of evidence has accumulated over recent years on the functions of the default-mode network (DMN) – a set of brain regions whose activity is high when the mind is not engaged in specific behavioral tasks and low during focused attention on the external environment. In this review, we focus on DMN suppression and its functional role in health and disease, summarizing evidence that spans several disciplines, including cognitive neuroscience, pharmacological neuroimaging, clinical neuroscience, and theoretical neuroscience. Collectively, this research highlights the functional relevance of DMN suppression for goal-directed cognition, possibly by reducing goal-irrelevant functions supported by the DMN (e.g., mind- wandering), and illustrates the functional significance of DMN suppression deficits in severe mental illness.","DOI":"10.1016/j.tics.2012.10.008","ISSN":"1364-6613","note":"PMID: 23142417\nPMCID: PMC3501603","journalAbbreviation":"Trends Cogn Sci","author":[{"family":"Anticevic","given":"Alan"},{"family":"Cole","given":"Michael W."},{"family":"Murray","given":"John D."},{"family":"Corlett","given":"Philip R."},{"family":"Wang","given":"Xiao-Jing"},{"family":"Krystal","given":"John H."}],"issued":{"date-parts":[["2012",12]]}}}],"schema":"https://github.com/citation-style-language/schema/raw/master/csl-citation.json"} </w:instrText>
      </w:r>
      <w:r w:rsidRPr="00225AB0">
        <w:rPr>
          <w:rFonts w:ascii="Arial" w:hAnsi="Arial" w:cs="Arial"/>
        </w:rPr>
        <w:fldChar w:fldCharType="separate"/>
      </w:r>
      <w:r w:rsidRPr="00225AB0">
        <w:rPr>
          <w:rFonts w:ascii="Arial" w:hAnsi="Arial" w:cs="Arial"/>
          <w:noProof/>
        </w:rPr>
        <w:t>(see Anticevic et al., 2012)</w:t>
      </w:r>
      <w:r w:rsidRPr="00225AB0">
        <w:rPr>
          <w:rFonts w:ascii="Arial" w:hAnsi="Arial" w:cs="Arial"/>
        </w:rPr>
        <w:fldChar w:fldCharType="end"/>
      </w:r>
      <w:r w:rsidRPr="00225AB0">
        <w:rPr>
          <w:rFonts w:ascii="Arial" w:hAnsi="Arial" w:cs="Arial"/>
        </w:rPr>
        <w:t>. The extent of this activity change between networks as a function of externally-directed attention has been suggested to have specific benefits. For example, previous research has demonstrated that individuals possessing stronger negative connections between the fronto-parietal and visual attention network</w:t>
      </w:r>
      <w:r w:rsidR="001E05AF">
        <w:rPr>
          <w:rFonts w:ascii="Arial" w:hAnsi="Arial" w:cs="Arial"/>
        </w:rPr>
        <w:t>s</w:t>
      </w:r>
      <w:r w:rsidRPr="00225AB0">
        <w:rPr>
          <w:rFonts w:ascii="Arial" w:hAnsi="Arial" w:cs="Arial"/>
        </w:rPr>
        <w:t xml:space="preserve"> with </w:t>
      </w:r>
      <w:r w:rsidR="001E05AF">
        <w:rPr>
          <w:rFonts w:ascii="Arial" w:hAnsi="Arial" w:cs="Arial"/>
        </w:rPr>
        <w:t xml:space="preserve">the </w:t>
      </w:r>
      <w:r w:rsidRPr="00225AB0">
        <w:rPr>
          <w:rFonts w:ascii="Arial" w:hAnsi="Arial" w:cs="Arial"/>
        </w:rPr>
        <w:t xml:space="preserve">default mode network had better cognitive functioning and task-switching (executive function) abilities </w:t>
      </w:r>
      <w:r w:rsidRPr="00225AB0">
        <w:rPr>
          <w:rFonts w:ascii="Arial" w:hAnsi="Arial" w:cs="Arial"/>
        </w:rPr>
        <w:fldChar w:fldCharType="begin"/>
      </w:r>
      <w:r w:rsidR="00321AB9">
        <w:rPr>
          <w:rFonts w:ascii="Arial" w:hAnsi="Arial" w:cs="Arial"/>
        </w:rPr>
        <w:instrText xml:space="preserve"> ADDIN ZOTERO_ITEM CSL_CITATION {"citationID":"zWhEmyt7","properties":{"formattedCitation":"(Reineberg, Gustavson, Benca, Banich, &amp; Friedman, 2018)","plainCitation":"(Reineberg, Gustavson, Benca, Banich, &amp; Friedman, 2018)","dontUpdate":true,"noteIndex":0},"citationItems":[{"id":221,"uris":["http://zotero.org/groups/318634/items/482K87P4"],"uri":["http://zotero.org/groups/318634/items/482K87P4"],"itemData":{"id":221,"type":"article-journal","title":"The Relationship Between Resting State Network Connectivity and Individual Differences in Executive Functions","container-title":"Frontiers in Psychology","page":"1600","volume":"9","source":"PubMed","abstract":"The brain is organized into a number of large networks based on shared function, for example, high-level cognitive functions (frontoparietal network), attentional capabilities (dorsal and ventral attention networks), and internal mentation (default network). The correlations of these networks during resting-state fMRI scans varies across individuals and is an indicator of individual differences in ability. Prior work shows higher cognitive functioning (as measured by working memory and attention tasks) is associated with stronger negative correlations between frontoparietal/attention and default networks, suggesting that increased ability may depend upon the diverging activation of networks with contrasting function. However, these prior studies lack specificity with regard to the higher-level cognitive functions involved, particularly with regards to separable components of executive function (EF). Here we decompose EF into three factors from the unity/diversity model of EFs: Common EF, Shifting-specific EF, and Updating-specific EF, measuring each via factor scores derived from a battery of behavioral tasks completed by 250 adult participants (age 28) at the time of a resting-state scan. We found the hypothesized segregated pattern only for Shifting-specific EF. Specifically, after accounting for one's general EF ability (Common EF), individuals better able to fluidly switch between task sets have a stronger negative correlation between the ventral attention network and the default network. We also report non-predicted novel findings in that individuals with higher Shifting-specific abilities exhibited more positive connectivity between frontoparietal and visual networks, while those individuals with higher Common EF exhibited increased connectivity between sensory and default networks. Overall, these results reveal a new degree of specificity with regard to connectivity/EF relationships.","DOI":"10.3389/fpsyg.2018.01600","ISSN":"1664-1078","note":"PMID: 30233455\nPMCID: PMC6134071","journalAbbreviation":"Front Psychol","language":"eng","author":[{"family":"Reineberg","given":"Andrew E."},{"family":"Gustavson","given":"Daniel E."},{"family":"Benca","given":"Chelsie"},{"family":"Banich","given":"Marie T."},{"family":"Friedman","given":"Naomi P."}],"issued":{"date-parts":[["2018"]]}}}],"schema":"https://github.com/citation-style-language/schema/raw/master/csl-citation.json"} </w:instrText>
      </w:r>
      <w:r w:rsidRPr="00225AB0">
        <w:rPr>
          <w:rFonts w:ascii="Arial" w:hAnsi="Arial" w:cs="Arial"/>
        </w:rPr>
        <w:fldChar w:fldCharType="separate"/>
      </w:r>
      <w:r w:rsidRPr="00225AB0">
        <w:rPr>
          <w:rFonts w:ascii="Arial" w:hAnsi="Arial" w:cs="Arial"/>
          <w:noProof/>
        </w:rPr>
        <w:t>(see Reineberg, Gustavson, Benca, Banich, &amp; Friedman, 2018)</w:t>
      </w:r>
      <w:r w:rsidRPr="00225AB0">
        <w:rPr>
          <w:rFonts w:ascii="Arial" w:hAnsi="Arial" w:cs="Arial"/>
        </w:rPr>
        <w:fldChar w:fldCharType="end"/>
      </w:r>
      <w:r w:rsidRPr="00225AB0">
        <w:rPr>
          <w:rFonts w:ascii="Arial" w:hAnsi="Arial" w:cs="Arial"/>
        </w:rPr>
        <w:t>. This cognitive flexibility (antagonism between greater positive connectivity during rest and negative connectivity during demanding tasks</w:t>
      </w:r>
      <w:r w:rsidR="001E05AF">
        <w:rPr>
          <w:rFonts w:ascii="Arial" w:hAnsi="Arial" w:cs="Arial"/>
        </w:rPr>
        <w:t xml:space="preserve"> </w:t>
      </w:r>
      <w:r w:rsidR="00D44AC6">
        <w:rPr>
          <w:rFonts w:ascii="Arial" w:hAnsi="Arial" w:cs="Arial"/>
        </w:rPr>
        <w:t>in</w:t>
      </w:r>
      <w:r w:rsidR="001E05AF">
        <w:rPr>
          <w:rFonts w:ascii="Arial" w:hAnsi="Arial" w:cs="Arial"/>
        </w:rPr>
        <w:t xml:space="preserve"> the default mode network</w:t>
      </w:r>
      <w:r w:rsidRPr="00225AB0">
        <w:rPr>
          <w:rFonts w:ascii="Arial" w:hAnsi="Arial" w:cs="Arial"/>
        </w:rPr>
        <w:t xml:space="preserve">), has also been associated with higher levels of creativity </w:t>
      </w:r>
      <w:r w:rsidRPr="00225AB0">
        <w:rPr>
          <w:rFonts w:ascii="Arial" w:hAnsi="Arial" w:cs="Arial"/>
        </w:rPr>
        <w:fldChar w:fldCharType="begin"/>
      </w:r>
      <w:r w:rsidR="00321AB9">
        <w:rPr>
          <w:rFonts w:ascii="Arial" w:hAnsi="Arial" w:cs="Arial"/>
        </w:rPr>
        <w:instrText xml:space="preserve"> ADDIN ZOTERO_ITEM CSL_CITATION {"citationID":"8fCOEuW4","properties":{"formattedCitation":"(Li et al., 2017)","plainCitation":"(Li et al., 2017)","noteIndex":0},"citationItems":[{"id":249,"uris":["http://zotero.org/groups/318634/items/L9XI39ZI"],"uri":["http://zotero.org/groups/318634/items/L9XI39ZI"],"itemData":{"id":249,"type":"article-journal","title":"High transition frequencies of dynamic functional connectivity states in the creative brain","container-title":"Scientific Reports","page":"46072","volume":"7","source":"PubMed","abstract":"Creativity is thought to require the flexible reconfiguration of multiple brain regions that interact in transient and complex communication patterns. In contrast to prior emphases on searching for specific regions or networks associated with creative performance, we focused on exploring the association between the reconfiguration of dynamic functional connectivity states and creative ability. We hypothesized that a high frequency of dynamic functional connectivity state transitions will be associated with creative ability. To test this hypothesis, we recruited a high-creative group (HCG) and a low-creative group (LCG) of participants and collected resting-state fMRI (R-fMRI) data and Torrance Tests of Creative Thinking (TTCT) scores from each participant. By combining an independent component analysis with a dynamic network analysis approach, we discovered the HCG had more frequent transitions between dynamic functional connectivity (dFC) states than the LCG. Moreover, a confirmatory analysis using multiplication of temporal derivatives also indicated that there were more frequent dFC state transitions in the HCG. Taken together, these results provided empirical evidence for a linkage between the flexible reconfiguration of dynamic functional connectivity states and creative ability. These findings have the potential to provide new insights into the neural basis of creativity.","DOI":"10.1038/srep46072","ISSN":"2045-2322","note":"PMID: 28383052\nPMCID: PMC5382673","journalAbbreviation":"Sci Rep","language":"eng","author":[{"family":"Li","given":"Junchao"},{"family":"Zhang","given":"Delong"},{"family":"Liang","given":"Aiying"},{"family":"Liang","given":"Bishan"},{"family":"Wang","given":"Zengjian"},{"family":"Cai","given":"Yuxuan"},{"family":"Gao","given":"Mengxia"},{"family":"Gao","given":"Zhenni"},{"family":"Chang","given":"Song"},{"family":"Jiao","given":"Bingqing"},{"family":"Huang","given":"Ruiwang"},{"family":"Liu","given":"Ming"}],"issued":{"date-parts":[["2017"]],"season":"06"}}}],"schema":"https://github.com/citation-style-language/schema/raw/master/csl-citation.json"} </w:instrText>
      </w:r>
      <w:r w:rsidRPr="00225AB0">
        <w:rPr>
          <w:rFonts w:ascii="Arial" w:hAnsi="Arial" w:cs="Arial"/>
        </w:rPr>
        <w:fldChar w:fldCharType="separate"/>
      </w:r>
      <w:r w:rsidRPr="00225AB0">
        <w:rPr>
          <w:rFonts w:ascii="Arial" w:hAnsi="Arial" w:cs="Arial"/>
          <w:noProof/>
        </w:rPr>
        <w:t>(Li et al., 2017)</w:t>
      </w:r>
      <w:r w:rsidRPr="00225AB0">
        <w:rPr>
          <w:rFonts w:ascii="Arial" w:hAnsi="Arial" w:cs="Arial"/>
        </w:rPr>
        <w:fldChar w:fldCharType="end"/>
      </w:r>
      <w:r w:rsidRPr="00225AB0">
        <w:rPr>
          <w:rFonts w:ascii="Arial" w:hAnsi="Arial" w:cs="Arial"/>
        </w:rPr>
        <w:t xml:space="preserve">, better </w:t>
      </w:r>
      <w:r w:rsidRPr="00225AB0">
        <w:rPr>
          <w:rFonts w:ascii="Arial" w:hAnsi="Arial" w:cs="Arial"/>
        </w:rPr>
        <w:lastRenderedPageBreak/>
        <w:t xml:space="preserve">reading abilities in childhood and higher stress resilience </w:t>
      </w:r>
      <w:r w:rsidRPr="00225AB0">
        <w:rPr>
          <w:rFonts w:ascii="Arial" w:hAnsi="Arial" w:cs="Arial"/>
        </w:rPr>
        <w:fldChar w:fldCharType="begin"/>
      </w:r>
      <w:r w:rsidR="00321AB9">
        <w:rPr>
          <w:rFonts w:ascii="Arial" w:hAnsi="Arial" w:cs="Arial"/>
        </w:rPr>
        <w:instrText xml:space="preserve"> ADDIN ZOTERO_ITEM CSL_CITATION {"citationID":"uWKqBYS4","properties":{"formattedCitation":"(Dajani &amp; Uddin, 2015)","plainCitation":"(Dajani &amp; Uddin, 2015)","dontUpdate":true,"noteIndex":0},"citationItems":[{"id":272,"uris":["http://zotero.org/groups/318634/items/9SGVIVLV"],"uri":["http://zotero.org/groups/318634/items/9SGVIVLV"],"itemData":{"id":272,"type":"article-journal","title":"Demystifying cognitive flexibility: Implications for clinical and developmental neuroscience","container-title":"Trends in Neurosciences","page":"571-578","volume":"38","issue":"9","source":"PubMed","abstract":"Cognitive flexibility, the readiness with which one can selectively switch between mental processes to generate appropriate behavioral responses, develops in a protracted manner and is compromised in several prevalent neurodevelopmental disorders. It is unclear whether cognitive flexibility arises from neural substrates distinct from the executive control network (ECN) or from the interplay of nodes within this and other networks. Here we review neuroimaging studies of cognitive flexibility, focusing on set shifting and task switching. We propose that more consistent operationalization and study of cognitive flexibility is required in clinical and developmental neuroscience. We suggest that an important avenue for future research is the characterization of the relationship between neural flexibility and cognitive flexibility in typical and atypical development.","DOI":"10.1016/j.tins.2015.07.003","ISSN":"1878-108X","note":"PMID: 26343956\nPMCID: PMC5414037","title-short":"Demystifying cognitive flexibility","journalAbbreviation":"Trends Neurosci.","language":"eng","author":[{"family":"Dajani","given":"Dina R."},{"family":"Uddin","given":"Lucina Q."}],"issued":{"date-parts":[["2015",9]]}}}],"schema":"https://github.com/citation-style-language/schema/raw/master/csl-citation.json"} </w:instrText>
      </w:r>
      <w:r w:rsidRPr="00225AB0">
        <w:rPr>
          <w:rFonts w:ascii="Arial" w:hAnsi="Arial" w:cs="Arial"/>
        </w:rPr>
        <w:fldChar w:fldCharType="separate"/>
      </w:r>
      <w:r w:rsidRPr="00225AB0">
        <w:rPr>
          <w:rFonts w:ascii="Arial" w:hAnsi="Arial" w:cs="Arial"/>
          <w:noProof/>
        </w:rPr>
        <w:t>(see Dajani &amp; Uddin, 2015 for a review)</w:t>
      </w:r>
      <w:r w:rsidRPr="00225AB0">
        <w:rPr>
          <w:rFonts w:ascii="Arial" w:hAnsi="Arial" w:cs="Arial"/>
        </w:rPr>
        <w:fldChar w:fldCharType="end"/>
      </w:r>
      <w:r w:rsidRPr="00225AB0">
        <w:rPr>
          <w:rFonts w:ascii="Arial" w:hAnsi="Arial" w:cs="Arial"/>
        </w:rPr>
        <w:t xml:space="preserve">. </w:t>
      </w:r>
    </w:p>
    <w:p w14:paraId="19E8D71A" w14:textId="77777777" w:rsidR="006F425C" w:rsidRPr="00225AB0" w:rsidRDefault="006F425C" w:rsidP="000C73FA">
      <w:pPr>
        <w:spacing w:line="480" w:lineRule="auto"/>
        <w:rPr>
          <w:rFonts w:ascii="Arial" w:hAnsi="Arial" w:cs="Arial"/>
        </w:rPr>
      </w:pPr>
    </w:p>
    <w:p w14:paraId="62A71E29" w14:textId="77777777" w:rsidR="000C73FA" w:rsidRPr="00225AB0" w:rsidRDefault="000C73FA" w:rsidP="001811CC">
      <w:pPr>
        <w:pStyle w:val="Heading2"/>
        <w:numPr>
          <w:ilvl w:val="1"/>
          <w:numId w:val="2"/>
        </w:numPr>
        <w:rPr>
          <w:rFonts w:ascii="Arial" w:hAnsi="Arial" w:cs="Arial"/>
          <w:b/>
          <w:color w:val="000000" w:themeColor="text1"/>
          <w:sz w:val="28"/>
          <w:szCs w:val="28"/>
        </w:rPr>
      </w:pPr>
      <w:bookmarkStart w:id="179" w:name="_Toc11147965"/>
      <w:bookmarkStart w:id="180" w:name="_Toc11153911"/>
      <w:bookmarkStart w:id="181" w:name="_Toc11753617"/>
      <w:bookmarkStart w:id="182" w:name="_Toc11926803"/>
      <w:bookmarkStart w:id="183" w:name="_Toc11930036"/>
      <w:bookmarkStart w:id="184" w:name="_Toc16075352"/>
      <w:bookmarkStart w:id="185" w:name="_Toc16236975"/>
      <w:r w:rsidRPr="00225AB0">
        <w:rPr>
          <w:rFonts w:ascii="Arial" w:hAnsi="Arial" w:cs="Arial"/>
          <w:b/>
          <w:color w:val="000000" w:themeColor="text1"/>
          <w:sz w:val="28"/>
          <w:szCs w:val="28"/>
        </w:rPr>
        <w:t>Naturalistic stimuli</w:t>
      </w:r>
      <w:bookmarkEnd w:id="179"/>
      <w:bookmarkEnd w:id="180"/>
      <w:bookmarkEnd w:id="181"/>
      <w:bookmarkEnd w:id="182"/>
      <w:bookmarkEnd w:id="183"/>
      <w:bookmarkEnd w:id="184"/>
      <w:bookmarkEnd w:id="185"/>
    </w:p>
    <w:p w14:paraId="403CEDF3" w14:textId="77777777" w:rsidR="00225AB0" w:rsidRPr="00225AB0" w:rsidRDefault="00225AB0" w:rsidP="00225AB0">
      <w:pPr>
        <w:pStyle w:val="ListParagraph"/>
        <w:rPr>
          <w:rFonts w:ascii="Arial" w:hAnsi="Arial" w:cs="Arial"/>
        </w:rPr>
      </w:pPr>
    </w:p>
    <w:p w14:paraId="7C81620F" w14:textId="53F3F3ED" w:rsidR="000C73FA" w:rsidRPr="00225AB0" w:rsidRDefault="000C73FA" w:rsidP="000C73FA">
      <w:pPr>
        <w:spacing w:line="480" w:lineRule="auto"/>
        <w:rPr>
          <w:rFonts w:ascii="Arial" w:hAnsi="Arial" w:cs="Arial"/>
        </w:rPr>
      </w:pPr>
      <w:r w:rsidRPr="00225AB0">
        <w:rPr>
          <w:rFonts w:ascii="Arial" w:hAnsi="Arial" w:cs="Arial"/>
        </w:rPr>
        <w:t xml:space="preserve">Traditional visual research focuses on the use of highly-controlled low-level visual stimuli in order to probe precise aspects of visual system functioning. However, the extent this research is always a reflection of visual processes in the real-world is questionable. To tackle this issue of generalisation, recent research is beginning to investigate visual function with complex, dynamic, uncontrolled naturalistic stimuli, such as movie clips, which possess far greater similarity with real-world visual scenes than more traditional stimuli. </w:t>
      </w:r>
      <w:r w:rsidRPr="00225AB0">
        <w:rPr>
          <w:rFonts w:ascii="Arial" w:hAnsi="Arial" w:cs="Arial"/>
        </w:rPr>
        <w:fldChar w:fldCharType="begin"/>
      </w:r>
      <w:r w:rsidR="00321AB9">
        <w:rPr>
          <w:rFonts w:ascii="Arial" w:hAnsi="Arial" w:cs="Arial"/>
        </w:rPr>
        <w:instrText xml:space="preserve"> ADDIN ZOTERO_ITEM CSL_CITATION {"citationID":"QjPbjbTJ","properties":{"formattedCitation":"(Haxby, Connolly, &amp; Guntupalli, 2014)","plainCitation":"(Haxby, Connolly, &amp; Guntupalli, 2014)","dontUpdate":true,"noteIndex":0},"citationItems":[{"id":45,"uris":["http://zotero.org/groups/318634/items/YHHXN97Q"],"uri":["http://zotero.org/groups/318634/items/YHHXN97Q"],"itemData":{"id":45,"type":"article-journal","title":"Decoding neural representational spaces using multivariate pattern analysis","container-title":"Annual Review of Neuroscience","page":"435-456","volume":"37","source":"PubMed","abstract":"A major challenge for systems neuroscience is to break the neural code. Computational algorithms for encoding information into neural activity and extracting information from measured activity afford understanding of how percepts, memories, thought, and knowledge are represented in patterns of brain activity. The past decade and a half has seen significant advances in the development of methods for decoding human neural activity, such as multivariate pattern classification, representational similarity analysis, hyperalignment, and stimulus-model-based encoding and decoding. This article reviews these advances and integrates neural decoding methods into a common framework organized around the concept of high-dimensional representational spaces.","DOI":"10.1146/annurev-neuro-062012-170325","ISSN":"1545-4126","note":"PMID: 25002277","journalAbbreviation":"Annu. Rev. Neurosci.","language":"eng","author":[{"family":"Haxby","given":"James V."},{"family":"Connolly","given":"Andrew C."},{"family":"Guntupalli","given":"J. Swaroop"}],"issued":{"date-parts":[["2014"]]}}}],"schema":"https://github.com/citation-style-language/schema/raw/master/csl-citation.json"} </w:instrText>
      </w:r>
      <w:r w:rsidRPr="00225AB0">
        <w:rPr>
          <w:rFonts w:ascii="Arial" w:hAnsi="Arial" w:cs="Arial"/>
        </w:rPr>
        <w:fldChar w:fldCharType="separate"/>
      </w:r>
      <w:r w:rsidRPr="00225AB0">
        <w:rPr>
          <w:rFonts w:ascii="Arial" w:hAnsi="Arial" w:cs="Arial"/>
          <w:noProof/>
        </w:rPr>
        <w:t>Haxby, Connolly, &amp; Guntupalli, (2014)</w:t>
      </w:r>
      <w:r w:rsidRPr="00225AB0">
        <w:rPr>
          <w:rFonts w:ascii="Arial" w:hAnsi="Arial" w:cs="Arial"/>
        </w:rPr>
        <w:fldChar w:fldCharType="end"/>
      </w:r>
      <w:r w:rsidRPr="00225AB0">
        <w:rPr>
          <w:rFonts w:ascii="Arial" w:hAnsi="Arial" w:cs="Arial"/>
        </w:rPr>
        <w:t xml:space="preserve"> argue for the importance of naturalistic visual stimuli in identifying transformation parameters to allow for modelling of low-level stimulus results to real-world scenarios. Additionally, </w:t>
      </w:r>
      <w:r w:rsidRPr="00225AB0">
        <w:rPr>
          <w:rFonts w:ascii="Arial" w:hAnsi="Arial" w:cs="Arial"/>
        </w:rPr>
        <w:fldChar w:fldCharType="begin"/>
      </w:r>
      <w:r w:rsidR="00321AB9">
        <w:rPr>
          <w:rFonts w:ascii="Arial" w:hAnsi="Arial" w:cs="Arial"/>
        </w:rPr>
        <w:instrText xml:space="preserve"> ADDIN ZOTERO_ITEM CSL_CITATION {"citationID":"Q9t7KIf3","properties":{"formattedCitation":"(Spiers &amp; Maguire, 2007)","plainCitation":"(Spiers &amp; Maguire, 2007)","dontUpdate":true,"noteIndex":0},"citationItems":[{"id":44,"uris":["http://zotero.org/groups/318634/items/98YZP2H5"],"uri":["http://zotero.org/groups/318634/items/98YZP2H5"],"itemData":{"id":44,"type":"article-journal","title":"Decoding human brain activity during real-world experiences","container-title":"Trends in Cognitive Sciences","page":"356-365","volume":"11","issue":"8","source":"PubMed","abstract":"The human brain evolved to function and survive in a highly stimulating, complex and fast-changing world. Attempting to ascertain the neural substrates of operating in naturalistic contexts represents a huge challenge. Recently, however, researchers have begun to use several innovative analysis methods to interrogate functional magnetic resonance imaging (fMRI) data collected during dynamic naturalistic tasks. Central to these new developments is the inventive approach taken to segregating neural activity linked to specific events within the overall continuous stream of complex stimulation. In this review, we discuss the recent literature, detailing the key studies and their methods. These analytical techniques can be applied in a wide range of cognitive domains and, thus, offer exciting new opportunities for gaining insights into the brain bases of thoughts and behaviours in the real-world setting where they normally occur.","DOI":"10.1016/j.tics.2007.06.002","ISSN":"1364-6613","note":"PMID: 17618161","journalAbbreviation":"Trends Cogn. Sci. (Regul. Ed.)","language":"eng","author":[{"family":"Spiers","given":"Hugo J."},{"family":"Maguire","given":"Eleanor A."}],"issued":{"date-parts":[["2007",8]]}}}],"schema":"https://github.com/citation-style-language/schema/raw/master/csl-citation.json"} </w:instrText>
      </w:r>
      <w:r w:rsidRPr="00225AB0">
        <w:rPr>
          <w:rFonts w:ascii="Arial" w:hAnsi="Arial" w:cs="Arial"/>
        </w:rPr>
        <w:fldChar w:fldCharType="separate"/>
      </w:r>
      <w:r w:rsidRPr="00225AB0">
        <w:rPr>
          <w:rFonts w:ascii="Arial" w:hAnsi="Arial" w:cs="Arial"/>
          <w:noProof/>
        </w:rPr>
        <w:t>Spiers &amp; Maguire, (2007)</w:t>
      </w:r>
      <w:r w:rsidRPr="00225AB0">
        <w:rPr>
          <w:rFonts w:ascii="Arial" w:hAnsi="Arial" w:cs="Arial"/>
        </w:rPr>
        <w:fldChar w:fldCharType="end"/>
      </w:r>
      <w:r w:rsidRPr="00225AB0">
        <w:rPr>
          <w:rFonts w:ascii="Arial" w:hAnsi="Arial" w:cs="Arial"/>
        </w:rPr>
        <w:t xml:space="preserve"> note that the human brain evolved </w:t>
      </w:r>
      <w:r w:rsidR="00D44AC6">
        <w:rPr>
          <w:rFonts w:ascii="Arial" w:hAnsi="Arial" w:cs="Arial"/>
        </w:rPr>
        <w:t>in</w:t>
      </w:r>
      <w:r w:rsidRPr="00225AB0">
        <w:rPr>
          <w:rFonts w:ascii="Arial" w:hAnsi="Arial" w:cs="Arial"/>
        </w:rPr>
        <w:t xml:space="preserve"> a complex and dynamic visual world, and stress the importance of examining visual function under these conditions. </w:t>
      </w:r>
    </w:p>
    <w:p w14:paraId="0A9BD10A" w14:textId="77777777" w:rsidR="000C73FA" w:rsidRPr="00225AB0" w:rsidRDefault="000C73FA" w:rsidP="000C73FA">
      <w:pPr>
        <w:rPr>
          <w:rFonts w:ascii="Arial" w:hAnsi="Arial" w:cs="Arial"/>
        </w:rPr>
      </w:pPr>
    </w:p>
    <w:p w14:paraId="16AF1C37" w14:textId="50E5D202" w:rsidR="00CC7DCB" w:rsidRDefault="000C73FA" w:rsidP="00225AB0">
      <w:pPr>
        <w:spacing w:line="480" w:lineRule="auto"/>
        <w:rPr>
          <w:rFonts w:ascii="Arial" w:hAnsi="Arial" w:cs="Arial"/>
        </w:rPr>
      </w:pPr>
      <w:r w:rsidRPr="00225AB0">
        <w:rPr>
          <w:rFonts w:ascii="Arial" w:hAnsi="Arial" w:cs="Arial"/>
        </w:rPr>
        <w:t xml:space="preserve">Naturalistic stimuli are also considered to offer some benefits beyond more traditional stimuli. For example, </w:t>
      </w:r>
      <w:r w:rsidRPr="00225AB0">
        <w:rPr>
          <w:rFonts w:ascii="Arial" w:hAnsi="Arial" w:cs="Arial"/>
        </w:rPr>
        <w:fldChar w:fldCharType="begin"/>
      </w:r>
      <w:r w:rsidR="00321AB9">
        <w:rPr>
          <w:rFonts w:ascii="Arial" w:hAnsi="Arial" w:cs="Arial"/>
        </w:rPr>
        <w:instrText xml:space="preserve"> ADDIN ZOTERO_ITEM CSL_CITATION {"citationID":"IUdDQAEZ","properties":{"formattedCitation":"(Bartels &amp; Zeki, 2004b)","plainCitation":"(Bartels &amp; Zeki, 2004b)","dontUpdate":true,"noteIndex":0},"citationItems":[{"id":43,"uris":["http://zotero.org/groups/318634/items/4DP68J4G"],"uri":["http://zotero.org/groups/318634/items/4DP68J4G"],"itemData":{"id":43,"type":"article-journal","title":"The chronoarchitecture of the human brain--natural viewing conditions reveal a time-based anatomy of the brain","container-title":"NeuroImage","page":"419-433","volume":"22","issue":"1","source":"PubMed","abstract":"A dominant tendency in cerebral studies has been the attempt to locate architecturally distinct parts of the cortex and assign special functions to each, through histological, clinical or hypothesis-based imaging experiments. Here we show that the cerebral cortex can also be subdivided into different components temporally, without any a priori hypotheses, based on the principle of functional independence. This states that distinct functional subdivisions have activity time courses (ATCs) that are, if not independent, at least characteristic to each when the brain is exposed to natural conditions. To approach a time-based anatomy experimentally, we recorded whole-brain activity using functional magnetic resonance imaging (fMRI) and analyzed the data with independent component analysis (ICA). Our results show that a multitude of cortical areas can be identified based purely on their characteristic ATCs during natural conditions. We demonstrate that a more \"rich\" stimulation (free viewing of a movie) leads to more areas being activated in a specific way than conventional stimuli, allowing for a more detailed dissection of the cortex into its subdivisions. We show that stimulus-driven functionally specialized areas can be identified by intersubject correlation even if their function is unknown. Chronoarchitectonic mapping thus opens the prospect of identifying previously unknown cortical subdivisions based on natural viewing conditions by exploiting the characteristic temporal \"fingerprint\" that is unique to each.","DOI":"10.1016/j.neuroimage.2004.01.007","ISSN":"1053-8119","note":"PMID: 15110035","journalAbbreviation":"Neuroimage","language":"eng","author":[{"family":"Bartels","given":"Andreas"},{"family":"Zeki","given":"Semir"}],"issued":{"date-parts":[["2004",5]]}}}],"schema":"https://github.com/citation-style-language/schema/raw/master/csl-citation.json"} </w:instrText>
      </w:r>
      <w:r w:rsidRPr="00225AB0">
        <w:rPr>
          <w:rFonts w:ascii="Arial" w:hAnsi="Arial" w:cs="Arial"/>
        </w:rPr>
        <w:fldChar w:fldCharType="separate"/>
      </w:r>
      <w:r w:rsidRPr="00225AB0">
        <w:rPr>
          <w:rFonts w:ascii="Arial" w:hAnsi="Arial" w:cs="Arial"/>
          <w:noProof/>
        </w:rPr>
        <w:t>Bartels &amp; Zeki, (2004b)</w:t>
      </w:r>
      <w:r w:rsidRPr="00225AB0">
        <w:rPr>
          <w:rFonts w:ascii="Arial" w:hAnsi="Arial" w:cs="Arial"/>
        </w:rPr>
        <w:fldChar w:fldCharType="end"/>
      </w:r>
      <w:r w:rsidRPr="00225AB0">
        <w:rPr>
          <w:rFonts w:ascii="Arial" w:hAnsi="Arial" w:cs="Arial"/>
        </w:rPr>
        <w:t xml:space="preserve"> demonstrate that the ‘rich’ stimulation provided by a naturalistic stimulus elicits greater activation of areas than typically seen with conventional stimuli. They also demonstrate a high similarity of results between two halves of</w:t>
      </w:r>
      <w:r w:rsidR="001E05AF">
        <w:rPr>
          <w:rFonts w:ascii="Arial" w:hAnsi="Arial" w:cs="Arial"/>
        </w:rPr>
        <w:t xml:space="preserve"> an experiment conducted with</w:t>
      </w:r>
      <w:r w:rsidRPr="00225AB0">
        <w:rPr>
          <w:rFonts w:ascii="Arial" w:hAnsi="Arial" w:cs="Arial"/>
        </w:rPr>
        <w:t xml:space="preserve"> a naturalistic stimulus, indicating that despite their imprecise and uncontrolled nature, complex, dynamic stimuli are effective in investigating activation across the visual cortex </w:t>
      </w:r>
      <w:r w:rsidRPr="00225AB0">
        <w:rPr>
          <w:rFonts w:ascii="Arial" w:hAnsi="Arial" w:cs="Arial"/>
        </w:rPr>
        <w:fldChar w:fldCharType="begin"/>
      </w:r>
      <w:r w:rsidR="00321AB9">
        <w:rPr>
          <w:rFonts w:ascii="Arial" w:hAnsi="Arial" w:cs="Arial"/>
        </w:rPr>
        <w:instrText xml:space="preserve"> ADDIN ZOTERO_ITEM CSL_CITATION {"citationID":"K60rKp2n","properties":{"formattedCitation":"(Andreas Bartels &amp; Zeki, 2004a)","plainCitation":"(Andreas Bartels &amp; Zeki, 2004a)","dontUpdate":true,"noteIndex":0},"citationItems":[{"id":42,"uris":["http://zotero.org/groups/318634/items/Y8NNHCLK"],"uri":["http://zotero.org/groups/318634/items/Y8NNHCLK"],"itemData":{"id":42,"type":"article-journal","title":"Functional brain mapping during free viewing of natural scenes","container-title":"Human Brain Mapping","page":"75-85","volume":"21","issue":"2","source":"PubMed","abstract":"Previous imaging studies have used mostly perceptually abstracted, idealized, or static stimuli to show segregation of function in the cerebral cortex. We wanted to learn whether functional segregation is maintained during more natural, complex, and dynamic conditions when many features have to be processed simultaneously, and identify regions whose activity correlates with the perception of specific features. To achieve this, we used functional magnetic resonance imaging (fMRI) to measure brain activity when human observers viewed freely dynamic natural scenes (a James Bond movie). The intensity with which they perceived different features (color, faces, language, and human bodies) was assessed psychometrically in separate sessions. In all subjects different features were perceived with a high degree of independence over time. We found that the perception of each feature correlated with activity in separate, specialized areas whose activity also varied independently. We conclude that even in natural conditions, when many features have to be processed simultaneously, functional specialization is preserved. Our method thus opens a new way of brain mapping, which allows the localization of a multitude of brain areas based on a single experiment using uncontrolled, natural stimuli. Furthermore, our results show that the intensity of activity in a specialized area is linearly correlated with the intensity of its perceptual experience. This leads us to suggest that each specialized area is directly responsible for the creation of a feature-specific conscious percept (a microconsciousness). Hum. Brain Mapp. 21:75-83, 2004.","DOI":"10.1002/hbm.10153","ISSN":"1065-9471","note":"PMID: 14755595","journalAbbreviation":"Hum Brain Mapp","language":"eng","author":[{"family":"Bartels","given":"Andreas"},{"family":"Zeki","given":"Semir"}],"issued":{"date-parts":[["2004",2]]}}}],"schema":"https://github.com/citation-style-language/schema/raw/master/csl-citation.json"}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(Bartels &amp; Zeki, 2004a)</w:t>
      </w:r>
      <w:r w:rsidRPr="00225AB0">
        <w:rPr>
          <w:rFonts w:ascii="Arial" w:hAnsi="Arial" w:cs="Arial"/>
        </w:rPr>
        <w:fldChar w:fldCharType="end"/>
      </w:r>
      <w:r w:rsidRPr="00225AB0">
        <w:rPr>
          <w:rFonts w:ascii="Arial" w:hAnsi="Arial" w:cs="Arial"/>
        </w:rPr>
        <w:t xml:space="preserve">. In line with </w:t>
      </w:r>
      <w:r w:rsidRPr="00225AB0">
        <w:rPr>
          <w:rFonts w:ascii="Arial" w:hAnsi="Arial" w:cs="Arial"/>
        </w:rPr>
        <w:lastRenderedPageBreak/>
        <w:t xml:space="preserve">previous research, </w:t>
      </w:r>
      <w:r w:rsidRPr="00225AB0">
        <w:rPr>
          <w:rFonts w:ascii="Arial" w:hAnsi="Arial" w:cs="Arial"/>
        </w:rPr>
        <w:fldChar w:fldCharType="begin"/>
      </w:r>
      <w:r w:rsidR="00321AB9">
        <w:rPr>
          <w:rFonts w:ascii="Arial" w:hAnsi="Arial" w:cs="Arial"/>
        </w:rPr>
        <w:instrText xml:space="preserve"> ADDIN ZOTERO_ITEM CSL_CITATION {"citationID":"QoUiT0pz","properties":{"formattedCitation":"(Russ &amp; Leopold, 2015)","plainCitation":"(Russ &amp; Leopold, 2015)","dontUpdate":true,"noteIndex":0},"citationItems":[{"id":39,"uris":["http://zotero.org/groups/318634/items/R8EIC582"],"uri":["http://zotero.org/groups/318634/items/R8EIC582"],"itemData":{"id":39,"type":"article-journal","title":"Functional MRI mapping of dynamic visual features during natural viewing in the macaque","container-title":"NeuroImage","page":"84-94","volume":"109","source":"PubMed","abstract":"The ventral visual pathway of the primate brain is specialized to respond to stimuli in certain categories, such as the well-studied face selective patches in the macaque inferotemporal cortex. To what extent does response selectivity determined using brief presentations of isolated stimuli predict activity during the free viewing of a natural, dynamic scene, where features are superimposed in space and time? To approach this question, we obtained fMRI activity from the brains of three macaques viewing extended video clips containing a range of social and nonsocial content and compared the fMRI time courses to a family of feature models derived from the movie content. Starting with more than two dozen feature models extracted from each movie, we created functional maps based on features whose time courses were nearly orthogonal, focusing primarily on faces, motion content, and contrast level. Activity mapping using the face feature model readily yielded functional regions closely resembling face patches obtained using a block design in the same animals. Overall, the motion feature model dominated responses in nearly all visually driven areas, including the face patches as well as ventral visual areas V4, TEO, and TE. Control experiments presenting dynamic movies, whose content was free of animals, demonstrated that biological movement critically contributed to the predominance of motion in fMRI responses. These results highlight the value of natural viewing paradigms for studying the brain's functional organization and also underscore the paramount contribution of magnocellular input to the ventral visual pathway during natural vision.","DOI":"10.1016/j.neuroimage.2015.01.012","ISSN":"1095-9572","note":"PMID: 25579448\nPMCID: PMC4339453","journalAbbreviation":"Neuroimage","language":"eng","author":[{"family":"Russ","given":"Brian E."},{"family":"Leopold","given":"David A."}],"issued":{"date-parts":[["2015",4,1]]}}}],"schema":"https://github.com/citation-style-language/schema/raw/master/csl-citation.json"} </w:instrText>
      </w:r>
      <w:r w:rsidRPr="00225AB0">
        <w:rPr>
          <w:rFonts w:ascii="Arial" w:hAnsi="Arial" w:cs="Arial"/>
        </w:rPr>
        <w:fldChar w:fldCharType="separate"/>
      </w:r>
      <w:r w:rsidRPr="00225AB0">
        <w:rPr>
          <w:rFonts w:ascii="Arial" w:hAnsi="Arial" w:cs="Arial"/>
          <w:noProof/>
        </w:rPr>
        <w:t>Russ &amp; Leopold, (2015)</w:t>
      </w:r>
      <w:r w:rsidRPr="00225AB0">
        <w:rPr>
          <w:rFonts w:ascii="Arial" w:hAnsi="Arial" w:cs="Arial"/>
        </w:rPr>
        <w:fldChar w:fldCharType="end"/>
      </w:r>
      <w:r w:rsidRPr="00225AB0">
        <w:rPr>
          <w:rFonts w:ascii="Arial" w:hAnsi="Arial" w:cs="Arial"/>
        </w:rPr>
        <w:t xml:space="preserve"> also demonstrate that it is possible to create functional maps and assess aspects of functional brain organisation under natural viewing conditions. Hence, recent research demonstrates the importance of experimentation with naturalistic, dynamic visual scenes to supplement findings with more conventional low-level, highly controlled visual stimuli.</w:t>
      </w:r>
    </w:p>
    <w:p w14:paraId="56DA2A91" w14:textId="77777777" w:rsidR="00225AB0" w:rsidRPr="00225AB0" w:rsidRDefault="000C73FA" w:rsidP="00225AB0">
      <w:pPr>
        <w:spacing w:line="480" w:lineRule="auto"/>
        <w:rPr>
          <w:rFonts w:ascii="Arial" w:hAnsi="Arial" w:cs="Arial"/>
        </w:rPr>
      </w:pPr>
      <w:r w:rsidRPr="00225AB0">
        <w:rPr>
          <w:rFonts w:ascii="Arial" w:hAnsi="Arial" w:cs="Arial"/>
        </w:rPr>
        <w:t xml:space="preserve"> </w:t>
      </w:r>
    </w:p>
    <w:p w14:paraId="0A9FEC8C" w14:textId="77777777" w:rsidR="000C73FA" w:rsidRPr="005A0ED3" w:rsidRDefault="000C73FA" w:rsidP="001811CC">
      <w:pPr>
        <w:pStyle w:val="Heading2"/>
        <w:numPr>
          <w:ilvl w:val="1"/>
          <w:numId w:val="2"/>
        </w:numPr>
        <w:rPr>
          <w:rFonts w:ascii="Arial" w:hAnsi="Arial" w:cs="Arial"/>
          <w:b/>
          <w:color w:val="000000" w:themeColor="text1"/>
          <w:sz w:val="28"/>
          <w:szCs w:val="28"/>
        </w:rPr>
      </w:pPr>
      <w:bookmarkStart w:id="186" w:name="_Toc11147966"/>
      <w:bookmarkStart w:id="187" w:name="_Toc11153912"/>
      <w:bookmarkStart w:id="188" w:name="_Toc11753618"/>
      <w:bookmarkStart w:id="189" w:name="_Toc11926804"/>
      <w:bookmarkStart w:id="190" w:name="_Toc11930037"/>
      <w:bookmarkStart w:id="191" w:name="_Toc16075353"/>
      <w:bookmarkStart w:id="192" w:name="_Toc16236976"/>
      <w:r w:rsidRPr="005A0ED3">
        <w:rPr>
          <w:rFonts w:ascii="Arial" w:hAnsi="Arial" w:cs="Arial"/>
          <w:b/>
          <w:color w:val="000000" w:themeColor="text1"/>
          <w:sz w:val="28"/>
          <w:szCs w:val="28"/>
        </w:rPr>
        <w:t>Outline of thesis</w:t>
      </w:r>
      <w:bookmarkEnd w:id="186"/>
      <w:bookmarkEnd w:id="187"/>
      <w:bookmarkEnd w:id="188"/>
      <w:bookmarkEnd w:id="189"/>
      <w:bookmarkEnd w:id="190"/>
      <w:bookmarkEnd w:id="191"/>
      <w:bookmarkEnd w:id="192"/>
    </w:p>
    <w:p w14:paraId="3442719B" w14:textId="77777777" w:rsidR="00225AB0" w:rsidRPr="00225AB0" w:rsidRDefault="00225AB0" w:rsidP="00225AB0">
      <w:pPr>
        <w:pStyle w:val="ListParagraph"/>
        <w:rPr>
          <w:rFonts w:ascii="Arial" w:hAnsi="Arial" w:cs="Arial"/>
        </w:rPr>
      </w:pPr>
    </w:p>
    <w:p w14:paraId="740D0A5E" w14:textId="50E1BF76" w:rsidR="000C73FA" w:rsidRDefault="000C73FA" w:rsidP="000C73FA">
      <w:pPr>
        <w:spacing w:line="480" w:lineRule="auto"/>
        <w:rPr>
          <w:rFonts w:ascii="Arial" w:hAnsi="Arial" w:cs="Arial"/>
        </w:rPr>
      </w:pPr>
      <w:r w:rsidRPr="00225AB0">
        <w:rPr>
          <w:rFonts w:ascii="Arial" w:hAnsi="Arial" w:cs="Arial"/>
        </w:rPr>
        <w:t xml:space="preserve">This thesis contains four experiments organised into individual empirical papers. First, </w:t>
      </w:r>
      <w:r w:rsidRPr="00225AB0">
        <w:rPr>
          <w:rFonts w:ascii="Arial" w:hAnsi="Arial" w:cs="Arial"/>
          <w:i/>
        </w:rPr>
        <w:t xml:space="preserve">Chapter 2 </w:t>
      </w:r>
      <w:r w:rsidRPr="00225AB0">
        <w:rPr>
          <w:rFonts w:ascii="Arial" w:hAnsi="Arial" w:cs="Arial"/>
        </w:rPr>
        <w:t xml:space="preserve">provides a detailed overview of the methods used across the four experimental chapters. In </w:t>
      </w:r>
      <w:r w:rsidRPr="00225AB0">
        <w:rPr>
          <w:rFonts w:ascii="Arial" w:hAnsi="Arial" w:cs="Arial"/>
          <w:i/>
        </w:rPr>
        <w:t xml:space="preserve">Chapter 3, </w:t>
      </w:r>
      <w:r w:rsidRPr="00225AB0">
        <w:rPr>
          <w:rFonts w:ascii="Arial" w:hAnsi="Arial" w:cs="Arial"/>
        </w:rPr>
        <w:t>we conducted a psychophysics experiment to assess the effectiveness of radial frequency patterns as a stimulus to probe visual attention through the use of the</w:t>
      </w:r>
      <w:r w:rsidR="00601836">
        <w:rPr>
          <w:rFonts w:ascii="Arial" w:hAnsi="Arial" w:cs="Arial"/>
        </w:rPr>
        <w:t xml:space="preserve"> </w:t>
      </w:r>
      <w:r w:rsidRPr="00225AB0">
        <w:rPr>
          <w:rFonts w:ascii="Arial" w:hAnsi="Arial" w:cs="Arial"/>
        </w:rPr>
        <w:t xml:space="preserve">selective versus distributed paradigm. In </w:t>
      </w:r>
      <w:r w:rsidRPr="00225AB0">
        <w:rPr>
          <w:rFonts w:ascii="Arial" w:hAnsi="Arial" w:cs="Arial"/>
          <w:i/>
        </w:rPr>
        <w:t>Chapter 4</w:t>
      </w:r>
      <w:r w:rsidRPr="00225AB0">
        <w:rPr>
          <w:rFonts w:ascii="Arial" w:hAnsi="Arial" w:cs="Arial"/>
        </w:rPr>
        <w:t xml:space="preserve">, we use visual psychophysics and fMRI to examine feature-specific patterns of attention and functional connectivity in human visual cortex. In </w:t>
      </w:r>
      <w:r w:rsidRPr="00225AB0">
        <w:rPr>
          <w:rFonts w:ascii="Arial" w:hAnsi="Arial" w:cs="Arial"/>
          <w:i/>
        </w:rPr>
        <w:t>Chapter 5</w:t>
      </w:r>
      <w:r w:rsidRPr="00225AB0">
        <w:rPr>
          <w:rFonts w:ascii="Arial" w:hAnsi="Arial" w:cs="Arial"/>
        </w:rPr>
        <w:t xml:space="preserve">, we use similar methods with chromatic stimuli to examine the feature- and colour-specific patterns of attentional modulation </w:t>
      </w:r>
      <w:r w:rsidR="00D44AC6">
        <w:rPr>
          <w:rFonts w:ascii="Arial" w:hAnsi="Arial" w:cs="Arial"/>
        </w:rPr>
        <w:t>in</w:t>
      </w:r>
      <w:r w:rsidRPr="00225AB0">
        <w:rPr>
          <w:rFonts w:ascii="Arial" w:hAnsi="Arial" w:cs="Arial"/>
        </w:rPr>
        <w:t xml:space="preserve"> the visual cortex. In </w:t>
      </w:r>
      <w:r w:rsidRPr="00225AB0">
        <w:rPr>
          <w:rFonts w:ascii="Arial" w:hAnsi="Arial" w:cs="Arial"/>
          <w:i/>
        </w:rPr>
        <w:t>Chapter 5</w:t>
      </w:r>
      <w:r w:rsidRPr="00225AB0">
        <w:rPr>
          <w:rFonts w:ascii="Arial" w:hAnsi="Arial" w:cs="Arial"/>
        </w:rPr>
        <w:t xml:space="preserve"> we </w:t>
      </w:r>
      <w:r w:rsidR="006672D3">
        <w:rPr>
          <w:rFonts w:ascii="Arial" w:hAnsi="Arial" w:cs="Arial"/>
        </w:rPr>
        <w:t>use</w:t>
      </w:r>
      <w:r w:rsidR="006672D3" w:rsidRPr="00225AB0">
        <w:rPr>
          <w:rFonts w:ascii="Arial" w:hAnsi="Arial" w:cs="Arial"/>
        </w:rPr>
        <w:t xml:space="preserve"> </w:t>
      </w:r>
      <w:r w:rsidRPr="00225AB0">
        <w:rPr>
          <w:rFonts w:ascii="Arial" w:hAnsi="Arial" w:cs="Arial"/>
        </w:rPr>
        <w:t xml:space="preserve">fMRI and a complex, naturalistic stimulus to investigate differential patterns of stimulus-specific activation and connectivity when directing attention toward a dynamic, uncontrolled visual stimulus. </w:t>
      </w:r>
      <w:r w:rsidRPr="00225AB0">
        <w:rPr>
          <w:rFonts w:ascii="Arial" w:hAnsi="Arial" w:cs="Arial"/>
          <w:i/>
        </w:rPr>
        <w:t xml:space="preserve">Chapter 6 </w:t>
      </w:r>
      <w:r w:rsidRPr="00225AB0">
        <w:rPr>
          <w:rFonts w:ascii="Arial" w:hAnsi="Arial" w:cs="Arial"/>
        </w:rPr>
        <w:t xml:space="preserve">summarises the conclusions of these four experiments, as well as describing directions for future studies. </w:t>
      </w:r>
    </w:p>
    <w:p w14:paraId="6119D73A" w14:textId="3762C934" w:rsidR="00AC2195" w:rsidRDefault="00AC2195" w:rsidP="000C73FA">
      <w:pPr>
        <w:spacing w:line="480" w:lineRule="auto"/>
        <w:rPr>
          <w:rFonts w:ascii="Arial" w:hAnsi="Arial" w:cs="Arial"/>
        </w:rPr>
      </w:pPr>
    </w:p>
    <w:p w14:paraId="3353A7CB" w14:textId="5C72B9A5" w:rsidR="005A0ED3" w:rsidRDefault="005A0ED3" w:rsidP="005A0ED3"/>
    <w:p w14:paraId="3848C4BC" w14:textId="5AB0394F" w:rsidR="007B68C2" w:rsidRDefault="007B68C2" w:rsidP="005A0ED3"/>
    <w:p w14:paraId="32C3009E" w14:textId="77777777" w:rsidR="007B68C2" w:rsidRPr="005A0ED3" w:rsidRDefault="007B68C2" w:rsidP="005A0ED3"/>
    <w:p w14:paraId="2B58E31A" w14:textId="77777777" w:rsidR="000C73FA" w:rsidRPr="00225AB0" w:rsidRDefault="000C73FA" w:rsidP="007A2630">
      <w:pPr>
        <w:pStyle w:val="Heading1"/>
        <w:numPr>
          <w:ilvl w:val="0"/>
          <w:numId w:val="10"/>
        </w:numPr>
        <w:ind w:left="0" w:firstLine="0"/>
        <w:rPr>
          <w:rFonts w:ascii="Arial" w:hAnsi="Arial" w:cs="Arial"/>
          <w:b/>
          <w:color w:val="000000" w:themeColor="text1"/>
          <w:sz w:val="44"/>
          <w:szCs w:val="44"/>
        </w:rPr>
      </w:pPr>
      <w:bookmarkStart w:id="193" w:name="_Toc11153913"/>
      <w:bookmarkStart w:id="194" w:name="_Toc11753619"/>
      <w:bookmarkStart w:id="195" w:name="_Toc11926805"/>
      <w:bookmarkStart w:id="196" w:name="_Toc11930038"/>
      <w:bookmarkStart w:id="197" w:name="_Toc16075354"/>
      <w:bookmarkStart w:id="198" w:name="_Toc16236977"/>
      <w:r w:rsidRPr="00225AB0">
        <w:rPr>
          <w:rFonts w:ascii="Arial" w:hAnsi="Arial" w:cs="Arial"/>
          <w:b/>
          <w:color w:val="000000" w:themeColor="text1"/>
          <w:sz w:val="44"/>
          <w:szCs w:val="44"/>
        </w:rPr>
        <w:lastRenderedPageBreak/>
        <w:t>Methodologies</w:t>
      </w:r>
      <w:bookmarkEnd w:id="193"/>
      <w:bookmarkEnd w:id="194"/>
      <w:bookmarkEnd w:id="195"/>
      <w:bookmarkEnd w:id="196"/>
      <w:bookmarkEnd w:id="197"/>
      <w:bookmarkEnd w:id="198"/>
      <w:r w:rsidRPr="00225AB0">
        <w:rPr>
          <w:rFonts w:ascii="Arial" w:hAnsi="Arial" w:cs="Arial"/>
          <w:b/>
          <w:color w:val="000000" w:themeColor="text1"/>
          <w:sz w:val="44"/>
          <w:szCs w:val="44"/>
        </w:rPr>
        <w:t xml:space="preserve"> </w:t>
      </w:r>
    </w:p>
    <w:p w14:paraId="0C0D1372" w14:textId="77777777" w:rsidR="00D36AFF" w:rsidRPr="00225AB0" w:rsidRDefault="00D36AFF" w:rsidP="00D36AFF">
      <w:pPr>
        <w:rPr>
          <w:rFonts w:ascii="Arial" w:hAnsi="Arial" w:cs="Arial"/>
        </w:rPr>
      </w:pPr>
    </w:p>
    <w:p w14:paraId="6CAFBC53" w14:textId="77777777" w:rsidR="00D36AFF" w:rsidRPr="00225AB0" w:rsidRDefault="00D36AFF" w:rsidP="00D36AFF">
      <w:pPr>
        <w:rPr>
          <w:rFonts w:ascii="Arial" w:hAnsi="Arial" w:cs="Arial"/>
        </w:rPr>
      </w:pPr>
    </w:p>
    <w:p w14:paraId="2CD8BA09" w14:textId="7F7AEF13" w:rsidR="000C73FA" w:rsidRPr="00225AB0" w:rsidRDefault="000C73FA" w:rsidP="000C73FA">
      <w:pPr>
        <w:spacing w:line="480" w:lineRule="auto"/>
        <w:rPr>
          <w:rFonts w:ascii="Arial" w:hAnsi="Arial" w:cs="Arial"/>
        </w:rPr>
      </w:pPr>
      <w:r w:rsidRPr="00225AB0">
        <w:rPr>
          <w:rFonts w:ascii="Arial" w:hAnsi="Arial" w:cs="Arial"/>
        </w:rPr>
        <w:t xml:space="preserve">The following is a review of key methodologies used </w:t>
      </w:r>
      <w:r w:rsidR="00D44AC6">
        <w:rPr>
          <w:rFonts w:ascii="Arial" w:hAnsi="Arial" w:cs="Arial"/>
        </w:rPr>
        <w:t>in</w:t>
      </w:r>
      <w:r w:rsidRPr="00225AB0">
        <w:rPr>
          <w:rFonts w:ascii="Arial" w:hAnsi="Arial" w:cs="Arial"/>
        </w:rPr>
        <w:t xml:space="preserve"> this thesis that are covered only briefly in the experimental chapters themselves. This includes a definition of radial frequency patterns and isoluminance testing as well as a summary of the principles of neuroimaging, including population receptive field mapping, MT+ localisation and machine learning classification methods. </w:t>
      </w:r>
    </w:p>
    <w:p w14:paraId="1165A4BE" w14:textId="77777777" w:rsidR="000C73FA" w:rsidRPr="00225AB0" w:rsidRDefault="000C73FA" w:rsidP="000C73FA">
      <w:pPr>
        <w:spacing w:line="480" w:lineRule="auto"/>
        <w:rPr>
          <w:rFonts w:ascii="Arial" w:hAnsi="Arial" w:cs="Arial"/>
        </w:rPr>
      </w:pPr>
    </w:p>
    <w:p w14:paraId="036DCCB7" w14:textId="77777777" w:rsidR="005A0ED3" w:rsidRPr="005A0ED3" w:rsidRDefault="00601836" w:rsidP="001811CC">
      <w:pPr>
        <w:pStyle w:val="Heading2"/>
        <w:numPr>
          <w:ilvl w:val="1"/>
          <w:numId w:val="3"/>
        </w:numPr>
        <w:rPr>
          <w:rFonts w:ascii="Arial" w:hAnsi="Arial" w:cs="Arial"/>
          <w:b/>
          <w:color w:val="000000" w:themeColor="text1"/>
          <w:sz w:val="28"/>
          <w:szCs w:val="28"/>
        </w:rPr>
      </w:pPr>
      <w:bookmarkStart w:id="199" w:name="_Toc16075355"/>
      <w:bookmarkStart w:id="200" w:name="_Toc16236978"/>
      <w:r>
        <w:rPr>
          <w:rFonts w:ascii="Arial" w:hAnsi="Arial" w:cs="Arial"/>
          <w:b/>
          <w:color w:val="000000" w:themeColor="text1"/>
          <w:sz w:val="28"/>
          <w:szCs w:val="28"/>
        </w:rPr>
        <w:t>Radial frequency patterns</w:t>
      </w:r>
      <w:bookmarkEnd w:id="199"/>
      <w:bookmarkEnd w:id="200"/>
    </w:p>
    <w:p w14:paraId="26534B18" w14:textId="77777777" w:rsidR="005A0ED3" w:rsidRPr="005A0ED3" w:rsidRDefault="005A0ED3" w:rsidP="005A0ED3"/>
    <w:p w14:paraId="6FD0E59E" w14:textId="2A32AA9C" w:rsidR="002F4BDC" w:rsidRDefault="002F4BDC" w:rsidP="002F4BDC">
      <w:pPr>
        <w:spacing w:line="480" w:lineRule="auto"/>
        <w:rPr>
          <w:rFonts w:ascii="Arial" w:hAnsi="Arial" w:cs="Arial"/>
        </w:rPr>
      </w:pPr>
      <w:r>
        <w:rPr>
          <w:rFonts w:ascii="Arial" w:hAnsi="Arial" w:cs="Arial"/>
          <w:noProof/>
        </w:rPr>
        <mc:AlternateContent>
          <mc:Choice Requires="wps">
            <w:drawing>
              <wp:anchor distT="0" distB="0" distL="114300" distR="114300" simplePos="0" relativeHeight="251719680" behindDoc="0" locked="0" layoutInCell="1" allowOverlap="1" wp14:anchorId="199135C6" wp14:editId="035D76EF">
                <wp:simplePos x="0" y="0"/>
                <wp:positionH relativeFrom="column">
                  <wp:posOffset>236220</wp:posOffset>
                </wp:positionH>
                <wp:positionV relativeFrom="paragraph">
                  <wp:posOffset>2230120</wp:posOffset>
                </wp:positionV>
                <wp:extent cx="4726940" cy="1122045"/>
                <wp:effectExtent l="0" t="0" r="10160" b="8255"/>
                <wp:wrapTight wrapText="bothSides">
                  <wp:wrapPolygon edited="0">
                    <wp:start x="0" y="0"/>
                    <wp:lineTo x="0" y="21514"/>
                    <wp:lineTo x="21588" y="21514"/>
                    <wp:lineTo x="21588" y="0"/>
                    <wp:lineTo x="0" y="0"/>
                  </wp:wrapPolygon>
                </wp:wrapTight>
                <wp:docPr id="135" name="Text Box 135"/>
                <wp:cNvGraphicFramePr/>
                <a:graphic xmlns:a="http://schemas.openxmlformats.org/drawingml/2006/main">
                  <a:graphicData uri="http://schemas.microsoft.com/office/word/2010/wordprocessingShape">
                    <wps:wsp>
                      <wps:cNvSpPr txBox="1"/>
                      <wps:spPr>
                        <a:xfrm>
                          <a:off x="0" y="0"/>
                          <a:ext cx="4726940" cy="1122045"/>
                        </a:xfrm>
                        <a:prstGeom prst="rect">
                          <a:avLst/>
                        </a:prstGeom>
                        <a:solidFill>
                          <a:schemeClr val="bg1"/>
                        </a:solidFill>
                        <a:ln w="6350">
                          <a:solidFill>
                            <a:schemeClr val="bg1"/>
                          </a:solidFill>
                        </a:ln>
                      </wps:spPr>
                      <wps:txbx>
                        <w:txbxContent>
                          <w:p w14:paraId="05CB99C7" w14:textId="394AB648" w:rsidR="00C93BE0" w:rsidRPr="002F4BDC" w:rsidRDefault="00C93BE0" w:rsidP="002F4BDC">
                            <w:pPr>
                              <w:spacing w:line="480" w:lineRule="auto"/>
                              <w:rPr>
                                <w:rFonts w:ascii="Arial" w:hAnsi="Arial" w:cs="Arial"/>
                                <w:sz w:val="28"/>
                                <w:szCs w:val="28"/>
                              </w:rPr>
                            </w:pPr>
                            <m:oMathPara>
                              <m:oMath>
                                <m:r>
                                  <w:rPr>
                                    <w:rFonts w:ascii="Cambria Math" w:hAnsi="Cambria Math" w:cs="Arial"/>
                                    <w:sz w:val="28"/>
                                    <w:szCs w:val="28"/>
                                  </w:rPr>
                                  <m:t>r=</m:t>
                                </m:r>
                                <m:sSub>
                                  <m:sSubPr>
                                    <m:ctrlPr>
                                      <w:rPr>
                                        <w:rFonts w:ascii="Cambria Math" w:hAnsi="Cambria Math" w:cs="Arial"/>
                                        <w:i/>
                                        <w:sz w:val="28"/>
                                        <w:szCs w:val="28"/>
                                      </w:rPr>
                                    </m:ctrlPr>
                                  </m:sSubPr>
                                  <m:e>
                                    <m:r>
                                      <w:rPr>
                                        <w:rFonts w:ascii="Cambria Math" w:hAnsi="Cambria Math" w:cs="Arial"/>
                                        <w:sz w:val="28"/>
                                        <w:szCs w:val="28"/>
                                      </w:rPr>
                                      <m:t>r</m:t>
                                    </m:r>
                                  </m:e>
                                  <m:sub>
                                    <m:r>
                                      <w:rPr>
                                        <w:rFonts w:ascii="Cambria Math" w:hAnsi="Cambria Math" w:cs="Arial"/>
                                        <w:sz w:val="28"/>
                                        <w:szCs w:val="28"/>
                                      </w:rPr>
                                      <m:t>0</m:t>
                                    </m:r>
                                  </m:sub>
                                </m:sSub>
                                <m:d>
                                  <m:dPr>
                                    <m:ctrlPr>
                                      <w:rPr>
                                        <w:rFonts w:ascii="Cambria Math" w:hAnsi="Cambria Math" w:cs="Arial"/>
                                        <w:i/>
                                        <w:sz w:val="28"/>
                                        <w:szCs w:val="28"/>
                                      </w:rPr>
                                    </m:ctrlPr>
                                  </m:dPr>
                                  <m:e>
                                    <m:r>
                                      <w:rPr>
                                        <w:rFonts w:ascii="Cambria Math" w:hAnsi="Cambria Math" w:cs="Arial"/>
                                        <w:sz w:val="28"/>
                                        <w:szCs w:val="28"/>
                                      </w:rPr>
                                      <m:t>1+A</m:t>
                                    </m:r>
                                    <m:d>
                                      <m:dPr>
                                        <m:ctrlPr>
                                          <w:rPr>
                                            <w:rFonts w:ascii="Cambria Math" w:hAnsi="Cambria Math" w:cs="Arial"/>
                                            <w:i/>
                                            <w:sz w:val="28"/>
                                            <w:szCs w:val="28"/>
                                          </w:rPr>
                                        </m:ctrlPr>
                                      </m:dPr>
                                      <m:e>
                                        <m:func>
                                          <m:funcPr>
                                            <m:ctrlPr>
                                              <w:rPr>
                                                <w:rFonts w:ascii="Cambria Math" w:hAnsi="Cambria Math" w:cs="Arial"/>
                                                <w:sz w:val="28"/>
                                                <w:szCs w:val="28"/>
                                              </w:rPr>
                                            </m:ctrlPr>
                                          </m:funcPr>
                                          <m:fName>
                                            <m:r>
                                              <m:rPr>
                                                <m:sty m:val="p"/>
                                              </m:rPr>
                                              <w:rPr>
                                                <w:rFonts w:ascii="Cambria Math" w:hAnsi="Cambria Math" w:cs="Arial"/>
                                                <w:sz w:val="28"/>
                                                <w:szCs w:val="28"/>
                                              </w:rPr>
                                              <m:t>sin</m:t>
                                            </m:r>
                                            <m:ctrlPr>
                                              <w:rPr>
                                                <w:rFonts w:ascii="Cambria Math" w:hAnsi="Cambria Math" w:cs="Arial"/>
                                                <w:i/>
                                                <w:sz w:val="28"/>
                                                <w:szCs w:val="28"/>
                                              </w:rPr>
                                            </m:ctrlPr>
                                          </m:fName>
                                          <m:e>
                                            <m:d>
                                              <m:dPr>
                                                <m:ctrlPr>
                                                  <w:rPr>
                                                    <w:rFonts w:ascii="Cambria Math" w:hAnsi="Cambria Math" w:cs="Arial"/>
                                                    <w:i/>
                                                    <w:sz w:val="28"/>
                                                    <w:szCs w:val="28"/>
                                                  </w:rPr>
                                                </m:ctrlPr>
                                              </m:dPr>
                                              <m:e>
                                                <m:r>
                                                  <w:rPr>
                                                    <w:rFonts w:ascii="Cambria Math" w:hAnsi="Cambria Math" w:cs="Arial"/>
                                                    <w:sz w:val="28"/>
                                                    <w:szCs w:val="28"/>
                                                  </w:rPr>
                                                  <m:t>ωθ+ ∅</m:t>
                                                </m:r>
                                              </m:e>
                                            </m:d>
                                          </m:e>
                                        </m:func>
                                      </m:e>
                                    </m:d>
                                  </m:e>
                                </m:d>
                              </m:oMath>
                            </m:oMathPara>
                          </w:p>
                          <w:p w14:paraId="6ED70ACE" w14:textId="77777777" w:rsidR="00C93BE0" w:rsidRPr="002F4BDC" w:rsidRDefault="00C93BE0">
                            <w:pPr>
                              <w:rPr>
                                <w:iCs/>
                              </w:rPr>
                            </w:pPr>
                          </w:p>
                          <w:p w14:paraId="4AC684C9" w14:textId="38BC384E" w:rsidR="00C93BE0" w:rsidRPr="002F4BDC" w:rsidRDefault="00C93BE0" w:rsidP="002F4BDC">
                            <w:pPr>
                              <w:spacing w:line="480" w:lineRule="auto"/>
                              <w:jc w:val="center"/>
                              <w:rPr>
                                <w:rFonts w:ascii="Arial" w:hAnsi="Arial" w:cs="Arial"/>
                                <w:iCs/>
                                <w:sz w:val="28"/>
                                <w:szCs w:val="28"/>
                              </w:rPr>
                            </w:pPr>
                            <w:bookmarkStart w:id="201" w:name="_Toc16242738"/>
                            <w:r w:rsidRPr="002F4BDC">
                              <w:rPr>
                                <w:rFonts w:ascii="Arial" w:hAnsi="Arial" w:cs="Arial"/>
                                <w:b/>
                                <w:iCs/>
                                <w:color w:val="000000" w:themeColor="text1"/>
                              </w:rPr>
                              <w:t xml:space="preserve">Equation </w:t>
                            </w:r>
                            <w:r w:rsidRPr="002F4BDC">
                              <w:rPr>
                                <w:rFonts w:ascii="Arial" w:hAnsi="Arial" w:cs="Arial"/>
                                <w:b/>
                                <w:iCs/>
                                <w:color w:val="000000" w:themeColor="text1"/>
                              </w:rPr>
                              <w:fldChar w:fldCharType="begin"/>
                            </w:r>
                            <w:r w:rsidRPr="002F4BDC">
                              <w:rPr>
                                <w:rFonts w:ascii="Arial" w:hAnsi="Arial" w:cs="Arial"/>
                                <w:b/>
                                <w:iCs/>
                                <w:color w:val="000000" w:themeColor="text1"/>
                              </w:rPr>
                              <w:instrText xml:space="preserve"> STYLEREF 1 \s </w:instrText>
                            </w:r>
                            <w:r w:rsidRPr="002F4BDC">
                              <w:rPr>
                                <w:rFonts w:ascii="Arial" w:hAnsi="Arial" w:cs="Arial"/>
                                <w:b/>
                                <w:iCs/>
                                <w:color w:val="000000" w:themeColor="text1"/>
                              </w:rPr>
                              <w:fldChar w:fldCharType="separate"/>
                            </w:r>
                            <w:r>
                              <w:rPr>
                                <w:rFonts w:ascii="Arial" w:hAnsi="Arial" w:cs="Arial"/>
                                <w:b/>
                                <w:iCs/>
                                <w:noProof/>
                                <w:color w:val="000000" w:themeColor="text1"/>
                              </w:rPr>
                              <w:t>2</w:t>
                            </w:r>
                            <w:r w:rsidRPr="002F4BDC">
                              <w:rPr>
                                <w:rFonts w:ascii="Arial" w:hAnsi="Arial" w:cs="Arial"/>
                                <w:b/>
                                <w:iCs/>
                                <w:color w:val="000000" w:themeColor="text1"/>
                              </w:rPr>
                              <w:fldChar w:fldCharType="end"/>
                            </w:r>
                            <w:r w:rsidRPr="002F4BDC">
                              <w:rPr>
                                <w:rFonts w:ascii="Arial" w:hAnsi="Arial" w:cs="Arial"/>
                                <w:b/>
                                <w:iCs/>
                                <w:color w:val="000000" w:themeColor="text1"/>
                              </w:rPr>
                              <w:t>.</w:t>
                            </w:r>
                            <w:r w:rsidRPr="002F4BDC">
                              <w:rPr>
                                <w:rFonts w:ascii="Arial" w:hAnsi="Arial" w:cs="Arial"/>
                                <w:b/>
                                <w:iCs/>
                                <w:color w:val="000000" w:themeColor="text1"/>
                              </w:rPr>
                              <w:fldChar w:fldCharType="begin"/>
                            </w:r>
                            <w:r w:rsidRPr="002F4BDC">
                              <w:rPr>
                                <w:rFonts w:ascii="Arial" w:hAnsi="Arial" w:cs="Arial"/>
                                <w:b/>
                                <w:iCs/>
                                <w:color w:val="000000" w:themeColor="text1"/>
                              </w:rPr>
                              <w:instrText xml:space="preserve"> SEQ Equation \* ARABIC \s 1 </w:instrText>
                            </w:r>
                            <w:r w:rsidRPr="002F4BDC">
                              <w:rPr>
                                <w:rFonts w:ascii="Arial" w:hAnsi="Arial" w:cs="Arial"/>
                                <w:b/>
                                <w:iCs/>
                                <w:color w:val="000000" w:themeColor="text1"/>
                              </w:rPr>
                              <w:fldChar w:fldCharType="separate"/>
                            </w:r>
                            <w:r>
                              <w:rPr>
                                <w:rFonts w:ascii="Arial" w:hAnsi="Arial" w:cs="Arial"/>
                                <w:b/>
                                <w:iCs/>
                                <w:noProof/>
                                <w:color w:val="000000" w:themeColor="text1"/>
                              </w:rPr>
                              <w:t>1</w:t>
                            </w:r>
                            <w:r w:rsidRPr="002F4BDC">
                              <w:rPr>
                                <w:rFonts w:ascii="Arial" w:hAnsi="Arial" w:cs="Arial"/>
                                <w:b/>
                                <w:iCs/>
                                <w:color w:val="000000" w:themeColor="text1"/>
                              </w:rPr>
                              <w:fldChar w:fldCharType="end"/>
                            </w:r>
                            <w:r w:rsidRPr="002F4BDC">
                              <w:rPr>
                                <w:rFonts w:ascii="Arial" w:hAnsi="Arial" w:cs="Arial"/>
                                <w:iCs/>
                                <w:color w:val="000000" w:themeColor="text1"/>
                              </w:rPr>
                              <w:t xml:space="preserve"> Equation for the calculation of a RF pattern</w:t>
                            </w:r>
                            <w:bookmarkEnd w:id="201"/>
                          </w:p>
                          <w:p w14:paraId="36D0B375" w14:textId="77777777" w:rsidR="00C93BE0" w:rsidRDefault="00C93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9135C6" id="Text Box 135" o:spid="_x0000_s1031" type="#_x0000_t202" style="position:absolute;margin-left:18.6pt;margin-top:175.6pt;width:372.2pt;height:88.3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" fillcolor="white [3212]" strokecolor="white [3212]" strokeweight=".5pt">
                <v:textbox>
                  <w:txbxContent>
                    <w:p w14:paraId="05CB99C7" w14:textId="394AB648" w:rsidR="00C93BE0" w:rsidRPr="002F4BDC" w:rsidRDefault="00C93BE0" w:rsidP="002F4BDC">
                      <w:pPr>
                        <w:spacing w:line="480" w:lineRule="auto"/>
                        <w:rPr>
                          <w:rFonts w:ascii="Arial" w:hAnsi="Arial" w:cs="Arial"/>
                          <w:sz w:val="28"/>
                          <w:szCs w:val="28"/>
                        </w:rPr>
                      </w:pPr>
                      <m:oMathPara>
                        <m:oMath>
                          <m:r>
                            <w:rPr>
                              <w:rFonts w:ascii="Cambria Math" w:hAnsi="Cambria Math" w:cs="Arial"/>
                              <w:sz w:val="28"/>
                              <w:szCs w:val="28"/>
                            </w:rPr>
                            <m:t>r=</m:t>
                          </m:r>
                          <m:sSub>
                            <m:sSubPr>
                              <m:ctrlPr>
                                <w:rPr>
                                  <w:rFonts w:ascii="Cambria Math" w:hAnsi="Cambria Math" w:cs="Arial"/>
                                  <w:i/>
                                  <w:sz w:val="28"/>
                                  <w:szCs w:val="28"/>
                                </w:rPr>
                              </m:ctrlPr>
                            </m:sSubPr>
                            <m:e>
                              <m:r>
                                <w:rPr>
                                  <w:rFonts w:ascii="Cambria Math" w:hAnsi="Cambria Math" w:cs="Arial"/>
                                  <w:sz w:val="28"/>
                                  <w:szCs w:val="28"/>
                                </w:rPr>
                                <m:t>r</m:t>
                              </m:r>
                            </m:e>
                            <m:sub>
                              <m:r>
                                <w:rPr>
                                  <w:rFonts w:ascii="Cambria Math" w:hAnsi="Cambria Math" w:cs="Arial"/>
                                  <w:sz w:val="28"/>
                                  <w:szCs w:val="28"/>
                                </w:rPr>
                                <m:t>0</m:t>
                              </m:r>
                            </m:sub>
                          </m:sSub>
                          <m:d>
                            <m:dPr>
                              <m:ctrlPr>
                                <w:rPr>
                                  <w:rFonts w:ascii="Cambria Math" w:hAnsi="Cambria Math" w:cs="Arial"/>
                                  <w:i/>
                                  <w:sz w:val="28"/>
                                  <w:szCs w:val="28"/>
                                </w:rPr>
                              </m:ctrlPr>
                            </m:dPr>
                            <m:e>
                              <m:r>
                                <w:rPr>
                                  <w:rFonts w:ascii="Cambria Math" w:hAnsi="Cambria Math" w:cs="Arial"/>
                                  <w:sz w:val="28"/>
                                  <w:szCs w:val="28"/>
                                </w:rPr>
                                <m:t>1+A</m:t>
                              </m:r>
                              <m:d>
                                <m:dPr>
                                  <m:ctrlPr>
                                    <w:rPr>
                                      <w:rFonts w:ascii="Cambria Math" w:hAnsi="Cambria Math" w:cs="Arial"/>
                                      <w:i/>
                                      <w:sz w:val="28"/>
                                      <w:szCs w:val="28"/>
                                    </w:rPr>
                                  </m:ctrlPr>
                                </m:dPr>
                                <m:e>
                                  <m:func>
                                    <m:funcPr>
                                      <m:ctrlPr>
                                        <w:rPr>
                                          <w:rFonts w:ascii="Cambria Math" w:hAnsi="Cambria Math" w:cs="Arial"/>
                                          <w:sz w:val="28"/>
                                          <w:szCs w:val="28"/>
                                        </w:rPr>
                                      </m:ctrlPr>
                                    </m:funcPr>
                                    <m:fName>
                                      <m:r>
                                        <m:rPr>
                                          <m:sty m:val="p"/>
                                        </m:rPr>
                                        <w:rPr>
                                          <w:rFonts w:ascii="Cambria Math" w:hAnsi="Cambria Math" w:cs="Arial"/>
                                          <w:sz w:val="28"/>
                                          <w:szCs w:val="28"/>
                                        </w:rPr>
                                        <m:t>sin</m:t>
                                      </m:r>
                                      <m:ctrlPr>
                                        <w:rPr>
                                          <w:rFonts w:ascii="Cambria Math" w:hAnsi="Cambria Math" w:cs="Arial"/>
                                          <w:i/>
                                          <w:sz w:val="28"/>
                                          <w:szCs w:val="28"/>
                                        </w:rPr>
                                      </m:ctrlPr>
                                    </m:fName>
                                    <m:e>
                                      <m:d>
                                        <m:dPr>
                                          <m:ctrlPr>
                                            <w:rPr>
                                              <w:rFonts w:ascii="Cambria Math" w:hAnsi="Cambria Math" w:cs="Arial"/>
                                              <w:i/>
                                              <w:sz w:val="28"/>
                                              <w:szCs w:val="28"/>
                                            </w:rPr>
                                          </m:ctrlPr>
                                        </m:dPr>
                                        <m:e>
                                          <m:r>
                                            <w:rPr>
                                              <w:rFonts w:ascii="Cambria Math" w:hAnsi="Cambria Math" w:cs="Arial"/>
                                              <w:sz w:val="28"/>
                                              <w:szCs w:val="28"/>
                                            </w:rPr>
                                            <m:t>ωθ+ ∅</m:t>
                                          </m:r>
                                        </m:e>
                                      </m:d>
                                    </m:e>
                                  </m:func>
                                </m:e>
                              </m:d>
                            </m:e>
                          </m:d>
                        </m:oMath>
                      </m:oMathPara>
                    </w:p>
                    <w:p w14:paraId="6ED70ACE" w14:textId="77777777" w:rsidR="00C93BE0" w:rsidRPr="002F4BDC" w:rsidRDefault="00C93BE0">
                      <w:pPr>
                        <w:rPr>
                          <w:iCs/>
                        </w:rPr>
                      </w:pPr>
                    </w:p>
                    <w:p w14:paraId="4AC684C9" w14:textId="38BC384E" w:rsidR="00C93BE0" w:rsidRPr="002F4BDC" w:rsidRDefault="00C93BE0" w:rsidP="002F4BDC">
                      <w:pPr>
                        <w:spacing w:line="480" w:lineRule="auto"/>
                        <w:jc w:val="center"/>
                        <w:rPr>
                          <w:rFonts w:ascii="Arial" w:hAnsi="Arial" w:cs="Arial"/>
                          <w:iCs/>
                          <w:sz w:val="28"/>
                          <w:szCs w:val="28"/>
                        </w:rPr>
                      </w:pPr>
                      <w:bookmarkStart w:id="210" w:name="_Toc16242738"/>
                      <w:r w:rsidRPr="002F4BDC">
                        <w:rPr>
                          <w:rFonts w:ascii="Arial" w:hAnsi="Arial" w:cs="Arial"/>
                          <w:b/>
                          <w:iCs/>
                          <w:color w:val="000000" w:themeColor="text1"/>
                        </w:rPr>
                        <w:t xml:space="preserve">Equation </w:t>
                      </w:r>
                      <w:r w:rsidRPr="002F4BDC">
                        <w:rPr>
                          <w:rFonts w:ascii="Arial" w:hAnsi="Arial" w:cs="Arial"/>
                          <w:b/>
                          <w:iCs/>
                          <w:color w:val="000000" w:themeColor="text1"/>
                        </w:rPr>
                        <w:fldChar w:fldCharType="begin"/>
                      </w:r>
                      <w:r w:rsidRPr="002F4BDC">
                        <w:rPr>
                          <w:rFonts w:ascii="Arial" w:hAnsi="Arial" w:cs="Arial"/>
                          <w:b/>
                          <w:iCs/>
                          <w:color w:val="000000" w:themeColor="text1"/>
                        </w:rPr>
                        <w:instrText xml:space="preserve"> STYLEREF 1 \s </w:instrText>
                      </w:r>
                      <w:r w:rsidRPr="002F4BDC">
                        <w:rPr>
                          <w:rFonts w:ascii="Arial" w:hAnsi="Arial" w:cs="Arial"/>
                          <w:b/>
                          <w:iCs/>
                          <w:color w:val="000000" w:themeColor="text1"/>
                        </w:rPr>
                        <w:fldChar w:fldCharType="separate"/>
                      </w:r>
                      <w:r>
                        <w:rPr>
                          <w:rFonts w:ascii="Arial" w:hAnsi="Arial" w:cs="Arial"/>
                          <w:b/>
                          <w:iCs/>
                          <w:noProof/>
                          <w:color w:val="000000" w:themeColor="text1"/>
                        </w:rPr>
                        <w:t>2</w:t>
                      </w:r>
                      <w:r w:rsidRPr="002F4BDC">
                        <w:rPr>
                          <w:rFonts w:ascii="Arial" w:hAnsi="Arial" w:cs="Arial"/>
                          <w:b/>
                          <w:iCs/>
                          <w:color w:val="000000" w:themeColor="text1"/>
                        </w:rPr>
                        <w:fldChar w:fldCharType="end"/>
                      </w:r>
                      <w:r w:rsidRPr="002F4BDC">
                        <w:rPr>
                          <w:rFonts w:ascii="Arial" w:hAnsi="Arial" w:cs="Arial"/>
                          <w:b/>
                          <w:iCs/>
                          <w:color w:val="000000" w:themeColor="text1"/>
                        </w:rPr>
                        <w:t>.</w:t>
                      </w:r>
                      <w:r w:rsidRPr="002F4BDC">
                        <w:rPr>
                          <w:rFonts w:ascii="Arial" w:hAnsi="Arial" w:cs="Arial"/>
                          <w:b/>
                          <w:iCs/>
                          <w:color w:val="000000" w:themeColor="text1"/>
                        </w:rPr>
                        <w:fldChar w:fldCharType="begin"/>
                      </w:r>
                      <w:r w:rsidRPr="002F4BDC">
                        <w:rPr>
                          <w:rFonts w:ascii="Arial" w:hAnsi="Arial" w:cs="Arial"/>
                          <w:b/>
                          <w:iCs/>
                          <w:color w:val="000000" w:themeColor="text1"/>
                        </w:rPr>
                        <w:instrText xml:space="preserve"> SEQ Equation \* ARABIC \s 1 </w:instrText>
                      </w:r>
                      <w:r w:rsidRPr="002F4BDC">
                        <w:rPr>
                          <w:rFonts w:ascii="Arial" w:hAnsi="Arial" w:cs="Arial"/>
                          <w:b/>
                          <w:iCs/>
                          <w:color w:val="000000" w:themeColor="text1"/>
                        </w:rPr>
                        <w:fldChar w:fldCharType="separate"/>
                      </w:r>
                      <w:r>
                        <w:rPr>
                          <w:rFonts w:ascii="Arial" w:hAnsi="Arial" w:cs="Arial"/>
                          <w:b/>
                          <w:iCs/>
                          <w:noProof/>
                          <w:color w:val="000000" w:themeColor="text1"/>
                        </w:rPr>
                        <w:t>1</w:t>
                      </w:r>
                      <w:r w:rsidRPr="002F4BDC">
                        <w:rPr>
                          <w:rFonts w:ascii="Arial" w:hAnsi="Arial" w:cs="Arial"/>
                          <w:b/>
                          <w:iCs/>
                          <w:color w:val="000000" w:themeColor="text1"/>
                        </w:rPr>
                        <w:fldChar w:fldCharType="end"/>
                      </w:r>
                      <w:r w:rsidRPr="002F4BDC">
                        <w:rPr>
                          <w:rFonts w:ascii="Arial" w:hAnsi="Arial" w:cs="Arial"/>
                          <w:iCs/>
                          <w:color w:val="000000" w:themeColor="text1"/>
                        </w:rPr>
                        <w:t xml:space="preserve"> Equation for the calculation of a RF pattern</w:t>
                      </w:r>
                      <w:bookmarkEnd w:id="210"/>
                    </w:p>
                    <w:p w14:paraId="36D0B375" w14:textId="77777777" w:rsidR="00C93BE0" w:rsidRDefault="00C93BE0"/>
                  </w:txbxContent>
                </v:textbox>
                <w10:wrap type="tight"/>
              </v:shape>
            </w:pict>
          </mc:Fallback>
        </mc:AlternateContent>
      </w:r>
      <w:r w:rsidR="000C73FA" w:rsidRPr="00225AB0">
        <w:rPr>
          <w:rFonts w:ascii="Arial" w:hAnsi="Arial" w:cs="Arial"/>
        </w:rPr>
        <w:t xml:space="preserve">Here we discuss the creation of stimuli used </w:t>
      </w:r>
      <w:r w:rsidR="00D44AC6">
        <w:rPr>
          <w:rFonts w:ascii="Arial" w:hAnsi="Arial" w:cs="Arial"/>
        </w:rPr>
        <w:t>in</w:t>
      </w:r>
      <w:r w:rsidR="000C73FA" w:rsidRPr="00225AB0">
        <w:rPr>
          <w:rFonts w:ascii="Arial" w:hAnsi="Arial" w:cs="Arial"/>
        </w:rPr>
        <w:t xml:space="preserve"> </w:t>
      </w:r>
      <w:r w:rsidR="000C73FA" w:rsidRPr="00225AB0">
        <w:rPr>
          <w:rFonts w:ascii="Arial" w:hAnsi="Arial" w:cs="Arial"/>
          <w:i/>
        </w:rPr>
        <w:t xml:space="preserve">Chapters 3, 4 and 5. </w:t>
      </w:r>
      <w:r w:rsidR="000C73FA" w:rsidRPr="00225AB0">
        <w:rPr>
          <w:rFonts w:ascii="Arial" w:hAnsi="Arial" w:cs="Arial"/>
        </w:rPr>
        <w:t xml:space="preserve">Radial frequency (RF) patterns are sinusoidally-modulated circular patterns, characterised by the number and size of their lobes </w:t>
      </w:r>
      <w:r w:rsidR="000C73FA" w:rsidRPr="00225AB0">
        <w:rPr>
          <w:rFonts w:ascii="Arial" w:hAnsi="Arial" w:cs="Arial"/>
        </w:rPr>
        <w:fldChar w:fldCharType="begin"/>
      </w:r>
      <w:r w:rsidR="00321AB9">
        <w:rPr>
          <w:rFonts w:ascii="Arial" w:hAnsi="Arial" w:cs="Arial"/>
        </w:rPr>
        <w:instrText xml:space="preserve"> ADDIN ZOTERO_ITEM CSL_CITATION {"citationID":"WUvxSXji","properties":{"formattedCitation":"(Ivanov &amp; Mullen, 2012a; Frances Wilkinson, Wilson, &amp; Habak, 1998a; Wilson &amp; Wilkinson, 1997a)","plainCitation":"(Ivanov &amp; Mullen, 2012a; Frances Wilkinson, Wilson, &amp; Habak, 1998a; Wilson &amp; Wilkinson, 1997a)","noteIndex":0},"citationItems":[{"id":"9GXKD9A2/A7RitxIZ","uris":["http://zotero.org/users/2260738/items/I7VYKI2E"],"uri":["http://zotero.org/users/2260738/items/I7VYKI2E"],"itemData":{"id":452,"type":"article-journal","title":"The role of local features in shape discrimination of contour- and surface-defined radial frequency patterns at low contrast","container-title":"Vision Research","page":"1-10","volume":"52","issue":"1","source":"PubMed","abstract":"Shape processing involves a progression from local to global analysis. A key aspect of this is the binding of distributed local features into an overall form followed by the extraction of the shape independently of its local contrast and spatial scales, so enabling the shape to be encoded based on its proportions without reference to its exact size or retinal location. Here we use contour- and surface-defined radial frequency (RF) patterns in a shape discrimination task, previously thought to reflect a global processing stage that has reached contrast and scale invariance. We compare performance across different spatial scales for a wide range of RF patterns (contour spatial frequencies of 0.7-10.0cpd, pattern radii of 0.5-10.5°), and sharp- and smooth-edged surface-RF patterns, all at low contrast (5× detection threshold). We show that shape discrimination thresholds for RF patterns have a complex series of dependencies on stimulus size (radius), contour spatial frequency (thickness) and contrast, with no scale invariance. Our results are at odds with earlier work showing no effect of radius and spatial frequency on discrimination thresholds. We show that this discrepancy can be accounted for by a differential effect of contrast on shape discrimination, with shape invariance only stabilizing at higher contrasts (10-20× threshold).","DOI":"10.1016/j.visres.2011.10.002","ISSN":"1878-5646","note":"PMID: 22037304","journalAbbreviation":"Vision Res.","language":"eng","author":[{"family":"Ivanov","given":"Iliya V."},{"family":"Mullen","given":"Kathy T."}],"issued":{"date-parts":[["2012",1,1]]}}},{"id":"9GXKD9A2/XvfdZT4W","uris":["http://zotero.org/users/2260738/items/GTCNRDSX"],"uri":["http://zotero.org/users/2260738/items/GTCNRDSX"],"itemData":{"id":193,"type":"article-journal","title":"Detection and recognition of radial frequency patterns 1","container-title":"Vision research","page":"3555–3568","volume":"38","issue":"22","source":"Google Scholar","author":[{"family":"Wilkinson","given":"Frances"},{"family":"Wilson","given":"Hugh R."},{"family":"Habak","given":"Claudine"}],"issued":{"date-parts":[["1998"]]}}},{"id":"9GXKD9A2/kGoyvqtj","uris":["http://zotero.org/users/2260738/items/AQX9X7AR"],"uri":["http://zotero.org/users/2260738/items/AQX9X7AR"],"itemData":{"id":450,"type":"article-journal","title":"Evolving concepts of spatial channels in vision: from independence to nonlinear interactions","container-title":"Perception","page":"939-960","volume":"26","issue":"8","source":"PubMed","abstract":"By the 1960s it was evident from neuroanatomy that there were extensive recurrent interactions, both excitatory and inhibitory, among visual cortical neurons. Nevertheless, the psychophysical discovery of 'spatial-frequency channels' gave rise to a decade in which parallel, independent channels were thought to subserve early spatial vision. Recent work, however, has clearly demonstrated that early visual channels do not perform a Fourier or wavelet decomposition of the image. Instead, they interact through a variety of nonlinear pooling mechanisms. Such nonlinear interactions perform important computations in texture perception, stereopsis, and motion and form vision.","DOI":"10.1068/p260939","ISSN":"0301-0066","note":"PMID: 9509156","title-short":"Evolving concepts of spatial channels in vision","journalAbbreviation":"Perception","language":"eng","author":[{"family":"Wilson","given":"H. R."},{"family":"Wilkinson","given":"F."}],"issued":{"date-parts":[["1997"]]}}}],"schema":"https://github.com/citation-style-language/schema/raw/master/csl-citation.json"} </w:instrText>
      </w:r>
      <w:r w:rsidR="000C73FA" w:rsidRPr="00225AB0">
        <w:rPr>
          <w:rFonts w:ascii="Arial" w:hAnsi="Arial" w:cs="Arial"/>
        </w:rPr>
        <w:fldChar w:fldCharType="separate"/>
      </w:r>
      <w:r w:rsidR="00967B1F" w:rsidRPr="00225AB0">
        <w:rPr>
          <w:rFonts w:ascii="Arial" w:hAnsi="Arial" w:cs="Arial"/>
          <w:noProof/>
        </w:rPr>
        <w:t>(Ivanov &amp; Mullen, 2012; Wilkinson, Wilson, &amp; Habak, 1998; Wilson &amp; Wilkinson, 1997)</w:t>
      </w:r>
      <w:r w:rsidR="000C73FA" w:rsidRPr="00225AB0">
        <w:rPr>
          <w:rFonts w:ascii="Arial" w:hAnsi="Arial" w:cs="Arial"/>
        </w:rPr>
        <w:fldChar w:fldCharType="end"/>
      </w:r>
      <w:r w:rsidR="00160DE0">
        <w:rPr>
          <w:rFonts w:ascii="Arial" w:hAnsi="Arial" w:cs="Arial"/>
        </w:rPr>
        <w:t xml:space="preserve"> (see Figure 2.1)</w:t>
      </w:r>
      <w:r w:rsidR="000C73FA" w:rsidRPr="00225AB0">
        <w:rPr>
          <w:rFonts w:ascii="Arial" w:hAnsi="Arial" w:cs="Arial"/>
        </w:rPr>
        <w:t xml:space="preserve">. RF </w:t>
      </w:r>
      <w:r w:rsidR="00827DE2">
        <w:rPr>
          <w:rFonts w:ascii="Arial" w:hAnsi="Arial" w:cs="Arial"/>
        </w:rPr>
        <w:t xml:space="preserve">patterns </w:t>
      </w:r>
      <w:r w:rsidR="000C73FA" w:rsidRPr="00225AB0">
        <w:rPr>
          <w:rFonts w:ascii="Arial" w:hAnsi="Arial" w:cs="Arial"/>
        </w:rPr>
        <w:t>are defined in polar coordinates, and are specified using the following formula:</w:t>
      </w:r>
    </w:p>
    <w:p w14:paraId="5F9187E7" w14:textId="32553722" w:rsidR="002E061B" w:rsidRPr="006F425C" w:rsidRDefault="00D44AC6" w:rsidP="006F425C">
      <w:pPr>
        <w:spacing w:line="480" w:lineRule="auto"/>
        <w:jc w:val="both"/>
        <w:rPr>
          <w:rFonts w:ascii="Arial" w:hAnsi="Arial" w:cs="Arial"/>
          <w:color w:val="000000" w:themeColor="text1"/>
        </w:rPr>
      </w:pPr>
      <w:r>
        <w:rPr>
          <w:rFonts w:ascii="Arial" w:hAnsi="Arial" w:cs="Arial"/>
        </w:rPr>
        <w:t>In</w:t>
      </w:r>
      <w:r w:rsidR="000C73FA" w:rsidRPr="00225AB0">
        <w:rPr>
          <w:rFonts w:ascii="Arial" w:hAnsi="Arial" w:cs="Arial"/>
        </w:rPr>
        <w:t xml:space="preserve"> this equation, </w:t>
      </w:r>
      <m:oMath>
        <m:r>
          <w:rPr>
            <w:rFonts w:ascii="Cambria Math" w:hAnsi="Cambria Math" w:cs="Arial"/>
            <w:sz w:val="28"/>
            <w:szCs w:val="28"/>
          </w:rPr>
          <m:t>r</m:t>
        </m:r>
      </m:oMath>
      <w:r w:rsidR="000C73FA" w:rsidRPr="00225AB0">
        <w:rPr>
          <w:rFonts w:ascii="Arial" w:hAnsi="Arial" w:cs="Arial"/>
        </w:rPr>
        <w:t xml:space="preserve"> is specified as a function of </w:t>
      </w:r>
      <m:oMath>
        <m:r>
          <w:rPr>
            <w:rFonts w:ascii="Cambria Math" w:hAnsi="Cambria Math" w:cs="Arial"/>
            <w:sz w:val="28"/>
            <w:szCs w:val="28"/>
          </w:rPr>
          <m:t>θ</m:t>
        </m:r>
      </m:oMath>
      <w:r w:rsidR="000C73FA" w:rsidRPr="00225AB0">
        <w:rPr>
          <w:rFonts w:ascii="Arial" w:hAnsi="Arial" w:cs="Arial"/>
        </w:rPr>
        <w:t>, which represents the angle around the circle’s perimeter, which can be modulated sinusoidally by altering frequency (</w:t>
      </w:r>
      <m:oMath>
        <m:r>
          <w:rPr>
            <w:rFonts w:ascii="Cambria Math" w:hAnsi="Cambria Math" w:cs="Arial"/>
            <w:sz w:val="28"/>
            <w:szCs w:val="28"/>
          </w:rPr>
          <m:t>ω</m:t>
        </m:r>
      </m:oMath>
      <w:r w:rsidR="000C73FA" w:rsidRPr="00225AB0">
        <w:rPr>
          <w:rFonts w:ascii="Arial" w:hAnsi="Arial" w:cs="Arial"/>
        </w:rPr>
        <w:t>) which specifies the number of lobes, and amplitude (</w:t>
      </w:r>
      <m:oMath>
        <m:r>
          <w:rPr>
            <w:rFonts w:ascii="Cambria Math" w:hAnsi="Cambria Math" w:cs="Arial"/>
            <w:sz w:val="28"/>
            <w:szCs w:val="28"/>
          </w:rPr>
          <m:t>A</m:t>
        </m:r>
      </m:oMath>
      <w:r w:rsidR="000C73FA" w:rsidRPr="00225AB0">
        <w:rPr>
          <w:rFonts w:ascii="Arial" w:hAnsi="Arial" w:cs="Arial"/>
        </w:rPr>
        <w:t xml:space="preserve">), specifying the size of those lobes. The rotation of the stimulus is defined by </w:t>
      </w:r>
      <w:r w:rsidR="000C73FA" w:rsidRPr="00170639">
        <w:rPr>
          <w:rFonts w:ascii="Arial" w:hAnsi="Arial" w:cs="Arial"/>
        </w:rPr>
        <w:lastRenderedPageBreak/>
        <w:t>the</w:t>
      </w:r>
      <w:r w:rsidR="000C73FA" w:rsidRPr="00225AB0">
        <w:rPr>
          <w:rFonts w:ascii="Arial" w:hAnsi="Arial" w:cs="Arial"/>
        </w:rPr>
        <w:t xml:space="preserve"> </w:t>
      </w:r>
      <w:r w:rsidR="000C73FA" w:rsidRPr="00225AB0">
        <w:rPr>
          <w:rFonts w:ascii="Arial" w:hAnsi="Arial" w:cs="Arial"/>
          <w:color w:val="000000" w:themeColor="text1"/>
        </w:rPr>
        <w:t>phase (</w:t>
      </w:r>
      <m:oMath>
        <m:r>
          <w:rPr>
            <w:rFonts w:ascii="Cambria Math" w:hAnsi="Cambria Math" w:cs="Arial"/>
            <w:sz w:val="28"/>
            <w:szCs w:val="28"/>
          </w:rPr>
          <m:t>∅</m:t>
        </m:r>
      </m:oMath>
      <w:r w:rsidR="000C73FA" w:rsidRPr="00225AB0">
        <w:rPr>
          <w:rFonts w:ascii="Arial" w:hAnsi="Arial" w:cs="Arial"/>
          <w:color w:val="000000" w:themeColor="text1"/>
        </w:rPr>
        <w:t>). The mean radius (</w:t>
      </w:r>
      <m:oMath>
        <m:sSub>
          <m:sSubPr>
            <m:ctrlPr>
              <w:rPr>
                <w:rFonts w:ascii="Cambria Math" w:hAnsi="Cambria Math" w:cs="Arial"/>
                <w:i/>
                <w:sz w:val="28"/>
                <w:szCs w:val="28"/>
              </w:rPr>
            </m:ctrlPr>
          </m:sSubPr>
          <m:e>
            <m:r>
              <w:rPr>
                <w:rFonts w:ascii="Cambria Math" w:hAnsi="Cambria Math" w:cs="Arial"/>
                <w:sz w:val="28"/>
                <w:szCs w:val="28"/>
              </w:rPr>
              <m:t>r</m:t>
            </m:r>
          </m:e>
          <m:sub>
            <m:r>
              <w:rPr>
                <w:rFonts w:ascii="Cambria Math" w:hAnsi="Cambria Math" w:cs="Arial"/>
                <w:sz w:val="28"/>
                <w:szCs w:val="28"/>
              </w:rPr>
              <m:t>0</m:t>
            </m:r>
          </m:sub>
        </m:sSub>
      </m:oMath>
      <w:r w:rsidR="000C73FA" w:rsidRPr="00225AB0">
        <w:rPr>
          <w:rFonts w:ascii="Arial" w:hAnsi="Arial" w:cs="Arial"/>
          <w:color w:val="000000" w:themeColor="text1"/>
        </w:rPr>
        <w:t xml:space="preserve">) specifies the average size of the stimulus </w:t>
      </w:r>
      <w:r w:rsidR="006F425C">
        <w:rPr>
          <w:rFonts w:ascii="Arial" w:hAnsi="Arial" w:cs="Arial"/>
          <w:noProof/>
          <w:lang w:eastAsia="en-GB"/>
        </w:rPr>
        <mc:AlternateContent>
          <mc:Choice Requires="wps">
            <w:drawing>
              <wp:anchor distT="0" distB="0" distL="114300" distR="114300" simplePos="0" relativeHeight="251781120" behindDoc="1" locked="0" layoutInCell="1" allowOverlap="1" wp14:anchorId="5495D18E" wp14:editId="72C6DB72">
                <wp:simplePos x="0" y="0"/>
                <wp:positionH relativeFrom="column">
                  <wp:posOffset>635</wp:posOffset>
                </wp:positionH>
                <wp:positionV relativeFrom="paragraph">
                  <wp:posOffset>812454</wp:posOffset>
                </wp:positionV>
                <wp:extent cx="5300345" cy="8049260"/>
                <wp:effectExtent l="0" t="0" r="0" b="0"/>
                <wp:wrapTight wrapText="bothSides">
                  <wp:wrapPolygon edited="0">
                    <wp:start x="259" y="34"/>
                    <wp:lineTo x="259" y="21505"/>
                    <wp:lineTo x="21271" y="21505"/>
                    <wp:lineTo x="21271" y="34"/>
                    <wp:lineTo x="259" y="34"/>
                  </wp:wrapPolygon>
                </wp:wrapTight>
                <wp:docPr id="85" name="Text Box 85"/>
                <wp:cNvGraphicFramePr/>
                <a:graphic xmlns:a="http://schemas.openxmlformats.org/drawingml/2006/main">
                  <a:graphicData uri="http://schemas.microsoft.com/office/word/2010/wordprocessingShape">
                    <wps:wsp>
                      <wps:cNvSpPr txBox="1"/>
                      <wps:spPr>
                        <a:xfrm>
                          <a:off x="0" y="0"/>
                          <a:ext cx="5300345" cy="8049260"/>
                        </a:xfrm>
                        <a:prstGeom prst="rect">
                          <a:avLst/>
                        </a:prstGeom>
                        <a:noFill/>
                        <a:ln w="6350">
                          <a:noFill/>
                        </a:ln>
                      </wps:spPr>
                      <wps:txbx>
                        <w:txbxContent>
                          <w:p w14:paraId="6819305B" w14:textId="77777777" w:rsidR="00C93BE0" w:rsidRDefault="00C93BE0" w:rsidP="006F425C">
                            <w:pPr>
                              <w:keepNext/>
                              <w:jc w:val="center"/>
                            </w:pPr>
                            <w:r>
                              <w:rPr>
                                <w:noProof/>
                                <w:lang w:eastAsia="en-GB"/>
                              </w:rPr>
                              <w:drawing>
                                <wp:inline distT="0" distB="0" distL="0" distR="0" wp14:anchorId="4894D83A" wp14:editId="13DAC915">
                                  <wp:extent cx="4996367" cy="6359237"/>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igure2.1_radial_frequency_patterns.png"/>
                                          <pic:cNvPicPr/>
                                        </pic:nvPicPr>
                                        <pic:blipFill>
                                          <a:blip r:embed="rId18">
                                            <a:extLst>
                                              <a:ext uri="{28A0092B-C50C-407E-A947-70E740481C1C}">
                                                <a14:useLocalDpi xmlns:a14="http://schemas.microsoft.com/office/drawing/2010/main" val="0"/>
                                              </a:ext>
                                            </a:extLst>
                                          </a:blip>
                                          <a:stretch>
                                            <a:fillRect/>
                                          </a:stretch>
                                        </pic:blipFill>
                                        <pic:spPr>
                                          <a:xfrm>
                                            <a:off x="0" y="0"/>
                                            <a:ext cx="5023930" cy="6394319"/>
                                          </a:xfrm>
                                          <a:prstGeom prst="rect">
                                            <a:avLst/>
                                          </a:prstGeom>
                                        </pic:spPr>
                                      </pic:pic>
                                    </a:graphicData>
                                  </a:graphic>
                                </wp:inline>
                              </w:drawing>
                            </w:r>
                          </w:p>
                          <w:p w14:paraId="2960F0CC" w14:textId="7027901B" w:rsidR="00C93BE0" w:rsidRPr="00D4636E" w:rsidRDefault="00C93BE0" w:rsidP="009F3085">
                            <w:pPr>
                              <w:spacing w:line="360" w:lineRule="auto"/>
                              <w:jc w:val="both"/>
                              <w:rPr>
                                <w:rFonts w:ascii="Arial" w:hAnsi="Arial" w:cs="Arial"/>
                              </w:rPr>
                            </w:pPr>
                            <w:bookmarkStart w:id="202" w:name="_Toc12363337"/>
                            <w:bookmarkStart w:id="203" w:name="_Toc16242694"/>
                            <w:r w:rsidRPr="00D4636E">
                              <w:rPr>
                                <w:rFonts w:ascii="Arial" w:hAnsi="Arial" w:cs="Arial"/>
                                <w:b/>
                              </w:rPr>
                              <w:t xml:space="preserve">Figure </w:t>
                            </w:r>
                            <w:r>
                              <w:rPr>
                                <w:rFonts w:ascii="Arial" w:hAnsi="Arial" w:cs="Arial"/>
                                <w:b/>
                              </w:rPr>
                              <w:fldChar w:fldCharType="begin"/>
                            </w:r>
                            <w:r>
                              <w:rPr>
                                <w:rFonts w:ascii="Arial" w:hAnsi="Arial" w:cs="Arial"/>
                                <w:b/>
                              </w:rPr>
                              <w:instrText xml:space="preserve"> STYLEREF 1 \s </w:instrText>
                            </w:r>
                            <w:r>
                              <w:rPr>
                                <w:rFonts w:ascii="Arial" w:hAnsi="Arial" w:cs="Arial"/>
                                <w:b/>
                              </w:rPr>
                              <w:fldChar w:fldCharType="separate"/>
                            </w:r>
                            <w:r>
                              <w:rPr>
                                <w:rFonts w:ascii="Arial" w:hAnsi="Arial" w:cs="Arial"/>
                                <w:b/>
                                <w:noProof/>
                              </w:rPr>
                              <w:t>2</w:t>
                            </w:r>
                            <w:r>
                              <w:rPr>
                                <w:rFonts w:ascii="Arial" w:hAnsi="Arial" w:cs="Arial"/>
                                <w:b/>
                              </w:rPr>
                              <w:fldChar w:fldCharType="end"/>
                            </w:r>
                            <w:r>
                              <w:rPr>
                                <w:rFonts w:ascii="Arial" w:hAnsi="Arial" w:cs="Arial"/>
                                <w:b/>
                              </w:rPr>
                              <w:t>.</w:t>
                            </w:r>
                            <w:r>
                              <w:rPr>
                                <w:rFonts w:ascii="Arial" w:hAnsi="Arial" w:cs="Arial"/>
                                <w:b/>
                              </w:rPr>
                              <w:fldChar w:fldCharType="begin"/>
                            </w:r>
                            <w:r>
                              <w:rPr>
                                <w:rFonts w:ascii="Arial" w:hAnsi="Arial" w:cs="Arial"/>
                                <w:b/>
                              </w:rPr>
                              <w:instrText xml:space="preserve"> SEQ Figure \* ARABIC \s 1 </w:instrText>
                            </w:r>
                            <w:r>
                              <w:rPr>
                                <w:rFonts w:ascii="Arial" w:hAnsi="Arial" w:cs="Arial"/>
                                <w:b/>
                              </w:rPr>
                              <w:fldChar w:fldCharType="separate"/>
                            </w:r>
                            <w:r>
                              <w:rPr>
                                <w:rFonts w:ascii="Arial" w:hAnsi="Arial" w:cs="Arial"/>
                                <w:b/>
                                <w:noProof/>
                              </w:rPr>
                              <w:t>1</w:t>
                            </w:r>
                            <w:r>
                              <w:rPr>
                                <w:rFonts w:ascii="Arial" w:hAnsi="Arial" w:cs="Arial"/>
                                <w:b/>
                              </w:rPr>
                              <w:fldChar w:fldCharType="end"/>
                            </w:r>
                            <w:r w:rsidRPr="00D4636E">
                              <w:rPr>
                                <w:rFonts w:ascii="Arial" w:hAnsi="Arial" w:cs="Arial"/>
                              </w:rPr>
                              <w:t xml:space="preserve"> Radial frequency patterns with different radial frequencies, amplitudes and orientations (polar phase). Radial amplitude refers to modulation relative to the radius of a base circle. Within this thesis, we use three-lobed radial frequency pattern and modulate the amplitude (shape), orientation and contrast of the stimulus </w:t>
                            </w:r>
                            <w:r w:rsidRPr="00D4636E">
                              <w:rPr>
                                <w:rFonts w:ascii="Arial" w:hAnsi="Arial" w:cs="Arial"/>
                              </w:rPr>
                              <w:fldChar w:fldCharType="begin"/>
                            </w:r>
                            <w:r w:rsidRPr="00D4636E">
                              <w:rPr>
                                <w:rFonts w:ascii="Arial" w:hAnsi="Arial" w:cs="Arial"/>
                              </w:rPr>
                              <w:instrText xml:space="preserve"> ADDIN ZOTERO_ITEM CSL_CITATION {"citationID":"k1nw35jv","properties":{"formattedCitation":"(Salmela, Henriksson, &amp; Vanni, 2016)","plainCitation":"(Salmela, Henriksson, &amp; Vanni, 2016)","noteIndex":0},"citationItems":[{"id":1037,"uris":["http://zotero.org/groups/318634/items/9ERAFPC8"],"uri":["http://zotero.org/groups/318634/items/9ERAFPC8"],"itemData":{"id":1037,"type":"article-journal","title":"Radial Frequency Analysis of Contour Shapes in the Visual Cortex","container-title":"PLoS Computational Biology","volume":"12","issue":"2","source":"PubMed Central","abstract":"Cumulative psychophysical evidence suggests that the shape of closed contours is analysed by means of their radial frequency components (RFC). However, neurophysiological evidence for RFC-based representations is still missing. We investigated the representation of radial frequency in the human visual cortex with functional magnetic resonance imaging. We parametrically varied the radial frequency, amplitude and local curvature of contour shapes. The stimuli evoked clear responses across visual areas in the univariate analysis, but the response magnitude did not depend on radial frequency or local curvature. Searchlight-based, multivariate representational similarity analysis revealed RFC specific response patterns in areas V2d, V3d, V3AB, and IPS0. Interestingly, RFC-specific representations were not found in hV4 or LO, traditionally associated with visual shape analysis. The modulation amplitude of the shapes did not affect the responses in any visual area. Local curvature, SF-spectrum and contrast energy related representations were found across visual areas but without similar specificity for visual area that was found for RFC. The results suggest that the radial frequency of a closed contour is one of the cortical shape analysis dimensions, represented in the early and mid-level visual areas., Current views suggest that neural representations of the visual environment are built from combinations of basis functions. For low-level visual feature analysis these basis functions are relatively well understood. It is not yet known, however, how primary visual features are combined into higher-level representations of visual objects. Psychophysical evidence suggests that visual shapes are perceived on the basis of the radial frequency components of the shape contour. We investigated whether human visual cortex contains representations of radial frequency components. Our results show that the neural mechanisms that utilize radial frequency are located in the early and intermediate visual areas, and provide further support for the idea of radial frequency based representations in shape perception. This suggests that radial frequency representations might be one link between low-level visual feature analysis and high-level object shape representations.","URL":"https://www.ncbi.nlm.nih.gov/pmc/articles/PMC4750910/","DOI":"10.1371/journal.pcbi.1004719","ISSN":"1553-734X","note":"PMID: 26866917\nPMCID: PMC4750910","journalAbbreviation":"PLoS Comput Biol","author":[{"family":"Salmela","given":"Viljami R."},{"family":"Henriksson","given":"Linda"},{"family":"Vanni","given":"Simo"}],"issued":{"date-parts":[["2016",2,11]]},"accessed":{"date-parts":[["2019",6,19]]}}}],"schema":"https://github.com/citation-style-language/schema/raw/master/csl-citation.json"} </w:instrText>
                            </w:r>
                            <w:r w:rsidRPr="00D4636E">
                              <w:rPr>
                                <w:rFonts w:ascii="Arial" w:hAnsi="Arial" w:cs="Arial"/>
                              </w:rPr>
                              <w:fldChar w:fldCharType="separate"/>
                            </w:r>
                            <w:r w:rsidRPr="00D4636E">
                              <w:rPr>
                                <w:rFonts w:ascii="Arial" w:hAnsi="Arial" w:cs="Arial"/>
                                <w:noProof/>
                              </w:rPr>
                              <w:t>(</w:t>
                            </w:r>
                            <w:r>
                              <w:rPr>
                                <w:rFonts w:ascii="Arial" w:hAnsi="Arial" w:cs="Arial"/>
                                <w:noProof/>
                              </w:rPr>
                              <w:t xml:space="preserve">Figure from </w:t>
                            </w:r>
                            <w:r w:rsidRPr="00D4636E">
                              <w:rPr>
                                <w:rFonts w:ascii="Arial" w:hAnsi="Arial" w:cs="Arial"/>
                                <w:noProof/>
                              </w:rPr>
                              <w:t>Salmela, Henriksson, &amp; Vanni, 2016)</w:t>
                            </w:r>
                            <w:r w:rsidRPr="00D4636E">
                              <w:rPr>
                                <w:rFonts w:ascii="Arial" w:hAnsi="Arial" w:cs="Arial"/>
                              </w:rPr>
                              <w:fldChar w:fldCharType="end"/>
                            </w:r>
                            <w:r w:rsidRPr="00D4636E">
                              <w:rPr>
                                <w:rFonts w:ascii="Arial" w:hAnsi="Arial" w:cs="Arial"/>
                              </w:rPr>
                              <w:t>.</w:t>
                            </w:r>
                            <w:bookmarkEnd w:id="202"/>
                            <w:bookmarkEnd w:id="203"/>
                            <w:r w:rsidRPr="00D4636E">
                              <w:rPr>
                                <w:rFonts w:ascii="Arial" w:hAnsi="Arial" w:cs="Arial"/>
                              </w:rPr>
                              <w:t xml:space="preserve"> </w:t>
                            </w:r>
                          </w:p>
                          <w:p w14:paraId="07027E81" w14:textId="77777777" w:rsidR="00C93BE0" w:rsidRDefault="00C93BE0" w:rsidP="009F3085"/>
                          <w:p w14:paraId="05BBDDC7" w14:textId="77777777" w:rsidR="00C93BE0" w:rsidRDefault="00C93BE0" w:rsidP="009F3085"/>
                          <w:p w14:paraId="1337D6A4" w14:textId="77777777" w:rsidR="00C93BE0" w:rsidRDefault="00C93BE0" w:rsidP="009F3085"/>
                          <w:p w14:paraId="6031FFA8" w14:textId="77777777" w:rsidR="00C93BE0" w:rsidRDefault="00C93BE0" w:rsidP="009F3085"/>
                          <w:p w14:paraId="7929C511" w14:textId="77777777" w:rsidR="00C93BE0" w:rsidRDefault="00C93BE0" w:rsidP="009F3085"/>
                          <w:p w14:paraId="527A12BD" w14:textId="77777777" w:rsidR="00C93BE0" w:rsidRDefault="00C93BE0" w:rsidP="009F3085"/>
                          <w:p w14:paraId="302DB65A" w14:textId="77777777" w:rsidR="00C93BE0" w:rsidRDefault="00C93BE0" w:rsidP="009F3085"/>
                          <w:p w14:paraId="64B95E6E" w14:textId="77777777" w:rsidR="00C93BE0" w:rsidRDefault="00C93BE0" w:rsidP="009F3085"/>
                          <w:p w14:paraId="36688398" w14:textId="77777777" w:rsidR="00C93BE0" w:rsidRDefault="00C93BE0" w:rsidP="009F3085"/>
                          <w:p w14:paraId="628D2BB1" w14:textId="77777777" w:rsidR="00C93BE0" w:rsidRDefault="00C93BE0" w:rsidP="009F3085"/>
                          <w:p w14:paraId="5CD21E75" w14:textId="77777777" w:rsidR="00C93BE0" w:rsidRDefault="00C93BE0" w:rsidP="009F3085"/>
                          <w:p w14:paraId="03E763B2" w14:textId="77777777" w:rsidR="00C93BE0" w:rsidRDefault="00C93BE0" w:rsidP="009F3085"/>
                          <w:p w14:paraId="5EE85A6F" w14:textId="77777777" w:rsidR="00C93BE0" w:rsidRDefault="00C93BE0" w:rsidP="009F3085"/>
                          <w:p w14:paraId="12E24C10" w14:textId="77777777" w:rsidR="00C93BE0" w:rsidRDefault="00C93BE0" w:rsidP="009F3085"/>
                          <w:p w14:paraId="0E8CBF55" w14:textId="77777777" w:rsidR="00C93BE0" w:rsidRDefault="00C93BE0" w:rsidP="009F30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5D18E" id="Text Box 85" o:spid="_x0000_s1032" type="#_x0000_t202" style="position:absolute;left:0;text-align:left;margin-left:.05pt;margin-top:63.95pt;width:417.35pt;height:633.8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" filled="f" stroked="f" strokeweight=".5pt">
                <v:textbox>
                  <w:txbxContent>
                    <w:p w14:paraId="6819305B" w14:textId="77777777" w:rsidR="00C93BE0" w:rsidRDefault="00C93BE0" w:rsidP="006F425C">
                      <w:pPr>
                        <w:keepNext/>
                        <w:jc w:val="center"/>
                      </w:pPr>
                      <w:r>
                        <w:rPr>
                          <w:noProof/>
                          <w:lang w:eastAsia="en-GB"/>
                        </w:rPr>
                        <w:drawing>
                          <wp:inline distT="0" distB="0" distL="0" distR="0" wp14:anchorId="4894D83A" wp14:editId="13DAC915">
                            <wp:extent cx="4996367" cy="6359237"/>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igure2.1_radial_frequency_patterns.png"/>
                                    <pic:cNvPicPr/>
                                  </pic:nvPicPr>
                                  <pic:blipFill>
                                    <a:blip r:embed="rId19">
                                      <a:extLst>
                                        <a:ext uri="{28A0092B-C50C-407E-A947-70E740481C1C}">
                                          <a14:useLocalDpi xmlns:a14="http://schemas.microsoft.com/office/drawing/2010/main" val="0"/>
                                        </a:ext>
                                      </a:extLst>
                                    </a:blip>
                                    <a:stretch>
                                      <a:fillRect/>
                                    </a:stretch>
                                  </pic:blipFill>
                                  <pic:spPr>
                                    <a:xfrm>
                                      <a:off x="0" y="0"/>
                                      <a:ext cx="5023930" cy="6394319"/>
                                    </a:xfrm>
                                    <a:prstGeom prst="rect">
                                      <a:avLst/>
                                    </a:prstGeom>
                                  </pic:spPr>
                                </pic:pic>
                              </a:graphicData>
                            </a:graphic>
                          </wp:inline>
                        </w:drawing>
                      </w:r>
                    </w:p>
                    <w:p w14:paraId="2960F0CC" w14:textId="7027901B" w:rsidR="00C93BE0" w:rsidRPr="00D4636E" w:rsidRDefault="00C93BE0" w:rsidP="009F3085">
                      <w:pPr>
                        <w:spacing w:line="360" w:lineRule="auto"/>
                        <w:jc w:val="both"/>
                        <w:rPr>
                          <w:rFonts w:ascii="Arial" w:hAnsi="Arial" w:cs="Arial"/>
                        </w:rPr>
                      </w:pPr>
                      <w:bookmarkStart w:id="213" w:name="_Toc12363337"/>
                      <w:bookmarkStart w:id="214" w:name="_Toc16242694"/>
                      <w:r w:rsidRPr="00D4636E">
                        <w:rPr>
                          <w:rFonts w:ascii="Arial" w:hAnsi="Arial" w:cs="Arial"/>
                          <w:b/>
                        </w:rPr>
                        <w:t xml:space="preserve">Figure </w:t>
                      </w:r>
                      <w:r>
                        <w:rPr>
                          <w:rFonts w:ascii="Arial" w:hAnsi="Arial" w:cs="Arial"/>
                          <w:b/>
                        </w:rPr>
                        <w:fldChar w:fldCharType="begin"/>
                      </w:r>
                      <w:r>
                        <w:rPr>
                          <w:rFonts w:ascii="Arial" w:hAnsi="Arial" w:cs="Arial"/>
                          <w:b/>
                        </w:rPr>
                        <w:instrText xml:space="preserve"> STYLEREF 1 \s </w:instrText>
                      </w:r>
                      <w:r>
                        <w:rPr>
                          <w:rFonts w:ascii="Arial" w:hAnsi="Arial" w:cs="Arial"/>
                          <w:b/>
                        </w:rPr>
                        <w:fldChar w:fldCharType="separate"/>
                      </w:r>
                      <w:r>
                        <w:rPr>
                          <w:rFonts w:ascii="Arial" w:hAnsi="Arial" w:cs="Arial"/>
                          <w:b/>
                          <w:noProof/>
                        </w:rPr>
                        <w:t>2</w:t>
                      </w:r>
                      <w:r>
                        <w:rPr>
                          <w:rFonts w:ascii="Arial" w:hAnsi="Arial" w:cs="Arial"/>
                          <w:b/>
                        </w:rPr>
                        <w:fldChar w:fldCharType="end"/>
                      </w:r>
                      <w:r>
                        <w:rPr>
                          <w:rFonts w:ascii="Arial" w:hAnsi="Arial" w:cs="Arial"/>
                          <w:b/>
                        </w:rPr>
                        <w:t>.</w:t>
                      </w:r>
                      <w:r>
                        <w:rPr>
                          <w:rFonts w:ascii="Arial" w:hAnsi="Arial" w:cs="Arial"/>
                          <w:b/>
                        </w:rPr>
                        <w:fldChar w:fldCharType="begin"/>
                      </w:r>
                      <w:r>
                        <w:rPr>
                          <w:rFonts w:ascii="Arial" w:hAnsi="Arial" w:cs="Arial"/>
                          <w:b/>
                        </w:rPr>
                        <w:instrText xml:space="preserve"> SEQ Figure \* ARABIC \s 1 </w:instrText>
                      </w:r>
                      <w:r>
                        <w:rPr>
                          <w:rFonts w:ascii="Arial" w:hAnsi="Arial" w:cs="Arial"/>
                          <w:b/>
                        </w:rPr>
                        <w:fldChar w:fldCharType="separate"/>
                      </w:r>
                      <w:r>
                        <w:rPr>
                          <w:rFonts w:ascii="Arial" w:hAnsi="Arial" w:cs="Arial"/>
                          <w:b/>
                          <w:noProof/>
                        </w:rPr>
                        <w:t>1</w:t>
                      </w:r>
                      <w:r>
                        <w:rPr>
                          <w:rFonts w:ascii="Arial" w:hAnsi="Arial" w:cs="Arial"/>
                          <w:b/>
                        </w:rPr>
                        <w:fldChar w:fldCharType="end"/>
                      </w:r>
                      <w:r w:rsidRPr="00D4636E">
                        <w:rPr>
                          <w:rFonts w:ascii="Arial" w:hAnsi="Arial" w:cs="Arial"/>
                        </w:rPr>
                        <w:t xml:space="preserve"> Radial frequency patterns with different radial frequencies, amplitudes and orientations (polar phase). Radial amplitude refers to modulation relative to the radius of a base circle. Within this thesis, we use three-lobed radial frequency pattern and modulate the amplitude (shape), orientation and contrast of the stimulus </w:t>
                      </w:r>
                      <w:r w:rsidRPr="00D4636E">
                        <w:rPr>
                          <w:rFonts w:ascii="Arial" w:hAnsi="Arial" w:cs="Arial"/>
                        </w:rPr>
                        <w:fldChar w:fldCharType="begin"/>
                      </w:r>
                      <w:r w:rsidRPr="00D4636E">
                        <w:rPr>
                          <w:rFonts w:ascii="Arial" w:hAnsi="Arial" w:cs="Arial"/>
                        </w:rPr>
                        <w:instrText xml:space="preserve"> ADDIN ZOTERO_ITEM CSL_CITATION {"citationID":"k1nw35jv","properties":{"formattedCitation":"(Salmela, Henriksson, &amp; Vanni, 2016)","plainCitation":"(Salmela, Henriksson, &amp; Vanni, 2016)","noteIndex":0},"citationItems":[{"id":1037,"uris":["http://zotero.org/groups/318634/items/9ERAFPC8"],"uri":["http://zotero.org/groups/318634/items/9ERAFPC8"],"itemData":{"id":1037,"type":"article-journal","title":"Radial Frequency Analysis of Contour Shapes in the Visual Cortex","container-title":"PLoS Computational Biology","volume":"12","issue":"2","source":"PubMed Central","abstract":"Cumulative psychophysical evidence suggests that the shape of closed contours is analysed by means of their radial frequency components (RFC). However, neurophysiological evidence for RFC-based representations is still missing. We investigated the representation of radial frequency in the human visual cortex with functional magnetic resonance imaging. We parametrically varied the radial frequency, amplitude and local curvature of contour shapes. The stimuli evoked clear responses across visual areas in the univariate analysis, but the response magnitude did not depend on radial frequency or local curvature. Searchlight-based, multivariate representational similarity analysis revealed RFC specific response patterns in areas V2d, V3d, V3AB, and IPS0. Interestingly, RFC-specific representations were not found in hV4 or LO, traditionally associated with visual shape analysis. The modulation amplitude of the shapes did not affect the responses in any visual area. Local curvature, SF-spectrum and contrast energy related representations were found across visual areas but without similar specificity for visual area that was found for RFC. The results suggest that the radial frequency of a closed contour is one of the cortical shape analysis dimensions, represented in the early and mid-level visual areas., Current views suggest that neural representations of the visual environment are built from combinations of basis functions. For low-level visual feature analysis these basis functions are relatively well understood. It is not yet known, however, how primary visual features are combined into higher-level representations of visual objects. Psychophysical evidence suggests that visual shapes are perceived on the basis of the radial frequency components of the shape contour. We investigated whether human visual cortex contains representations of radial frequency components. Our results show that the neural mechanisms that utilize radial frequency are located in the early and intermediate visual areas, and provide further support for the idea of radial frequency based representations in shape perception. This suggests that radial frequency representations might be one link between low-level visual feature analysis and high-level object shape representations.","URL":"https://www.ncbi.nlm.nih.gov/pmc/articles/PMC4750910/","DOI":"10.1371/journal.pcbi.1004719","ISSN":"1553-734X","note":"PMID: 26866917\nPMCID: PMC4750910","journalAbbreviation":"PLoS Comput Biol","author":[{"family":"Salmela","given":"Viljami R."},{"family":"Henriksson","given":"Linda"},{"family":"Vanni","given":"Simo"}],"issued":{"date-parts":[["2016",2,11]]},"accessed":{"date-parts":[["2019",6,19]]}}}],"schema":"https://github.com/citation-style-language/schema/raw/master/csl-citation.json"} </w:instrText>
                      </w:r>
                      <w:r w:rsidRPr="00D4636E">
                        <w:rPr>
                          <w:rFonts w:ascii="Arial" w:hAnsi="Arial" w:cs="Arial"/>
                        </w:rPr>
                        <w:fldChar w:fldCharType="separate"/>
                      </w:r>
                      <w:r w:rsidRPr="00D4636E">
                        <w:rPr>
                          <w:rFonts w:ascii="Arial" w:hAnsi="Arial" w:cs="Arial"/>
                          <w:noProof/>
                        </w:rPr>
                        <w:t>(</w:t>
                      </w:r>
                      <w:r>
                        <w:rPr>
                          <w:rFonts w:ascii="Arial" w:hAnsi="Arial" w:cs="Arial"/>
                          <w:noProof/>
                        </w:rPr>
                        <w:t xml:space="preserve">Figure from </w:t>
                      </w:r>
                      <w:r w:rsidRPr="00D4636E">
                        <w:rPr>
                          <w:rFonts w:ascii="Arial" w:hAnsi="Arial" w:cs="Arial"/>
                          <w:noProof/>
                        </w:rPr>
                        <w:t>Salmela, Henriksson, &amp; Vanni, 2016)</w:t>
                      </w:r>
                      <w:r w:rsidRPr="00D4636E">
                        <w:rPr>
                          <w:rFonts w:ascii="Arial" w:hAnsi="Arial" w:cs="Arial"/>
                        </w:rPr>
                        <w:fldChar w:fldCharType="end"/>
                      </w:r>
                      <w:r w:rsidRPr="00D4636E">
                        <w:rPr>
                          <w:rFonts w:ascii="Arial" w:hAnsi="Arial" w:cs="Arial"/>
                        </w:rPr>
                        <w:t>.</w:t>
                      </w:r>
                      <w:bookmarkEnd w:id="213"/>
                      <w:bookmarkEnd w:id="214"/>
                      <w:r w:rsidRPr="00D4636E">
                        <w:rPr>
                          <w:rFonts w:ascii="Arial" w:hAnsi="Arial" w:cs="Arial"/>
                        </w:rPr>
                        <w:t xml:space="preserve"> </w:t>
                      </w:r>
                    </w:p>
                    <w:p w14:paraId="07027E81" w14:textId="77777777" w:rsidR="00C93BE0" w:rsidRDefault="00C93BE0" w:rsidP="009F3085"/>
                    <w:p w14:paraId="05BBDDC7" w14:textId="77777777" w:rsidR="00C93BE0" w:rsidRDefault="00C93BE0" w:rsidP="009F3085"/>
                    <w:p w14:paraId="1337D6A4" w14:textId="77777777" w:rsidR="00C93BE0" w:rsidRDefault="00C93BE0" w:rsidP="009F3085"/>
                    <w:p w14:paraId="6031FFA8" w14:textId="77777777" w:rsidR="00C93BE0" w:rsidRDefault="00C93BE0" w:rsidP="009F3085"/>
                    <w:p w14:paraId="7929C511" w14:textId="77777777" w:rsidR="00C93BE0" w:rsidRDefault="00C93BE0" w:rsidP="009F3085"/>
                    <w:p w14:paraId="527A12BD" w14:textId="77777777" w:rsidR="00C93BE0" w:rsidRDefault="00C93BE0" w:rsidP="009F3085"/>
                    <w:p w14:paraId="302DB65A" w14:textId="77777777" w:rsidR="00C93BE0" w:rsidRDefault="00C93BE0" w:rsidP="009F3085"/>
                    <w:p w14:paraId="64B95E6E" w14:textId="77777777" w:rsidR="00C93BE0" w:rsidRDefault="00C93BE0" w:rsidP="009F3085"/>
                    <w:p w14:paraId="36688398" w14:textId="77777777" w:rsidR="00C93BE0" w:rsidRDefault="00C93BE0" w:rsidP="009F3085"/>
                    <w:p w14:paraId="628D2BB1" w14:textId="77777777" w:rsidR="00C93BE0" w:rsidRDefault="00C93BE0" w:rsidP="009F3085"/>
                    <w:p w14:paraId="5CD21E75" w14:textId="77777777" w:rsidR="00C93BE0" w:rsidRDefault="00C93BE0" w:rsidP="009F3085"/>
                    <w:p w14:paraId="03E763B2" w14:textId="77777777" w:rsidR="00C93BE0" w:rsidRDefault="00C93BE0" w:rsidP="009F3085"/>
                    <w:p w14:paraId="5EE85A6F" w14:textId="77777777" w:rsidR="00C93BE0" w:rsidRDefault="00C93BE0" w:rsidP="009F3085"/>
                    <w:p w14:paraId="12E24C10" w14:textId="77777777" w:rsidR="00C93BE0" w:rsidRDefault="00C93BE0" w:rsidP="009F3085"/>
                    <w:p w14:paraId="0E8CBF55" w14:textId="77777777" w:rsidR="00C93BE0" w:rsidRDefault="00C93BE0" w:rsidP="009F3085"/>
                  </w:txbxContent>
                </v:textbox>
                <w10:wrap type="tight"/>
              </v:shape>
            </w:pict>
          </mc:Fallback>
        </mc:AlternateContent>
      </w:r>
      <w:r w:rsidR="000C73FA" w:rsidRPr="00225AB0">
        <w:rPr>
          <w:rFonts w:ascii="Arial" w:hAnsi="Arial" w:cs="Arial"/>
          <w:color w:val="000000" w:themeColor="text1"/>
        </w:rPr>
        <w:t xml:space="preserve">in degrees of visual angle. </w:t>
      </w:r>
    </w:p>
    <w:p w14:paraId="41ACAC91" w14:textId="35338F06" w:rsidR="000C73FA" w:rsidRDefault="000C73FA" w:rsidP="000C73FA">
      <w:pPr>
        <w:spacing w:line="480" w:lineRule="auto"/>
        <w:rPr>
          <w:rFonts w:ascii="Arial" w:hAnsi="Arial" w:cs="Arial"/>
        </w:rPr>
      </w:pPr>
      <w:r w:rsidRPr="00225AB0">
        <w:rPr>
          <w:rFonts w:ascii="Arial" w:hAnsi="Arial" w:cs="Arial"/>
        </w:rPr>
        <w:lastRenderedPageBreak/>
        <w:t xml:space="preserve">The RF patterns </w:t>
      </w:r>
      <w:r w:rsidR="00D44AC6">
        <w:rPr>
          <w:rFonts w:ascii="Arial" w:hAnsi="Arial" w:cs="Arial"/>
        </w:rPr>
        <w:t>in</w:t>
      </w:r>
      <w:r w:rsidRPr="00225AB0">
        <w:rPr>
          <w:rFonts w:ascii="Arial" w:hAnsi="Arial" w:cs="Arial"/>
        </w:rPr>
        <w:t xml:space="preserve"> this thesis were all presented against a mid-grey luminance background. The contour of a RF pattern contains a cross-sectional luminance profile defined by the fourth derivative of a Gaussian (D4)</w:t>
      </w:r>
      <w:r w:rsidR="003730E4">
        <w:rPr>
          <w:rFonts w:ascii="Arial" w:hAnsi="Arial" w:cs="Arial"/>
        </w:rPr>
        <w:t xml:space="preserve"> (see Figure 2.2)</w:t>
      </w:r>
      <w:r w:rsidRPr="00225AB0">
        <w:rPr>
          <w:rFonts w:ascii="Arial" w:hAnsi="Arial" w:cs="Arial"/>
        </w:rPr>
        <w:t xml:space="preserve">. This produces a Gabor-like appearance, which previous research has demonstrated is effective in eliciting activation of simple cells </w:t>
      </w:r>
      <w:r w:rsidR="00D44AC6">
        <w:rPr>
          <w:rFonts w:ascii="Arial" w:hAnsi="Arial" w:cs="Arial"/>
        </w:rPr>
        <w:t>in</w:t>
      </w:r>
      <w:r w:rsidRPr="00225AB0">
        <w:rPr>
          <w:rFonts w:ascii="Arial" w:hAnsi="Arial" w:cs="Arial"/>
        </w:rPr>
        <w:t xml:space="preserve"> V1, which respond to edges and gratings </w:t>
      </w:r>
      <w:r w:rsidRPr="00225AB0">
        <w:rPr>
          <w:rFonts w:ascii="Arial" w:hAnsi="Arial" w:cs="Arial"/>
        </w:rPr>
        <w:fldChar w:fldCharType="begin"/>
      </w:r>
      <w:r w:rsidR="00321AB9">
        <w:rPr>
          <w:rFonts w:ascii="Arial" w:hAnsi="Arial" w:cs="Arial"/>
        </w:rPr>
        <w:instrText xml:space="preserve"> ADDIN ZOTERO_ITEM CSL_CITATION {"citationID":"j7tG3kjH","properties":{"formattedCitation":"(Hubel &amp; Wiesel, 1959)","plainCitation":"(Hubel &amp; Wiesel, 1959)","noteIndex":0},"citationItems":[{"id":149,"uris":["http://zotero.org/groups/318634/items/QRYVRL55"],"uri":["http://zotero.org/groups/318634/items/QRYVRL55"],"itemData":{"id":149,"type":"article-journal","title":"Receptive fields of single neurones in the cat's striate cortex","container-title":"The Journal of Physiology","page":"574-591","volume":"148","issue":"3","source":"PubMed Central","ISSN":"0022-3751","note":"PMID: 14403679\nPMCID: PMC1363130","journalAbbreviation":"J Physiol","author":[{"family":"Hubel","given":"D. H."},{"family":"Wiesel","given":"T. N."}],"issued":{"date-parts":[["1959",10]]}}}],"schema":"https://github.com/citation-style-language/schema/raw/master/csl-citation.json"} </w:instrText>
      </w:r>
      <w:r w:rsidRPr="00225AB0">
        <w:rPr>
          <w:rFonts w:ascii="Arial" w:hAnsi="Arial" w:cs="Arial"/>
        </w:rPr>
        <w:fldChar w:fldCharType="separate"/>
      </w:r>
      <w:r w:rsidRPr="00225AB0">
        <w:rPr>
          <w:rFonts w:ascii="Arial" w:hAnsi="Arial" w:cs="Arial"/>
          <w:noProof/>
        </w:rPr>
        <w:t>(Hubel &amp; Wiesel, 1959)</w:t>
      </w:r>
      <w:r w:rsidRPr="00225AB0">
        <w:rPr>
          <w:rFonts w:ascii="Arial" w:hAnsi="Arial" w:cs="Arial"/>
        </w:rPr>
        <w:fldChar w:fldCharType="end"/>
      </w:r>
      <w:r w:rsidRPr="00225AB0">
        <w:rPr>
          <w:rFonts w:ascii="Arial" w:hAnsi="Arial" w:cs="Arial"/>
        </w:rPr>
        <w:t xml:space="preserve">. Hence, RF patterns should elicit clear activation </w:t>
      </w:r>
      <w:r w:rsidR="00D44AC6">
        <w:rPr>
          <w:rFonts w:ascii="Arial" w:hAnsi="Arial" w:cs="Arial"/>
        </w:rPr>
        <w:t>in</w:t>
      </w:r>
      <w:r w:rsidRPr="00225AB0">
        <w:rPr>
          <w:rFonts w:ascii="Arial" w:hAnsi="Arial" w:cs="Arial"/>
        </w:rPr>
        <w:t xml:space="preserve"> early visual cortical areas. </w:t>
      </w:r>
    </w:p>
    <w:p w14:paraId="186506DA" w14:textId="31CD9EBE" w:rsidR="002E74BD" w:rsidRDefault="007B68C2" w:rsidP="000C73FA">
      <w:pPr>
        <w:spacing w:line="480" w:lineRule="auto"/>
        <w:rPr>
          <w:rFonts w:ascii="Arial" w:hAnsi="Arial" w:cs="Arial"/>
        </w:rPr>
      </w:pPr>
      <w:r>
        <w:rPr>
          <w:rFonts w:ascii="Arial" w:hAnsi="Arial" w:cs="Arial"/>
          <w:noProof/>
          <w:lang w:eastAsia="en-GB"/>
        </w:rPr>
        <mc:AlternateContent>
          <mc:Choice Requires="wps">
            <w:drawing>
              <wp:anchor distT="0" distB="0" distL="114300" distR="114300" simplePos="0" relativeHeight="251783168" behindDoc="1" locked="0" layoutInCell="1" allowOverlap="1" wp14:anchorId="53ABE17C" wp14:editId="125F204C">
                <wp:simplePos x="0" y="0"/>
                <wp:positionH relativeFrom="column">
                  <wp:posOffset>-110490</wp:posOffset>
                </wp:positionH>
                <wp:positionV relativeFrom="paragraph">
                  <wp:posOffset>143182</wp:posOffset>
                </wp:positionV>
                <wp:extent cx="5300345" cy="4380865"/>
                <wp:effectExtent l="0" t="0" r="0" b="0"/>
                <wp:wrapSquare wrapText="bothSides"/>
                <wp:docPr id="89" name="Text Box 89"/>
                <wp:cNvGraphicFramePr/>
                <a:graphic xmlns:a="http://schemas.openxmlformats.org/drawingml/2006/main">
                  <a:graphicData uri="http://schemas.microsoft.com/office/word/2010/wordprocessingShape">
                    <wps:wsp>
                      <wps:cNvSpPr txBox="1"/>
                      <wps:spPr>
                        <a:xfrm>
                          <a:off x="0" y="0"/>
                          <a:ext cx="5300345" cy="4380865"/>
                        </a:xfrm>
                        <a:prstGeom prst="rect">
                          <a:avLst/>
                        </a:prstGeom>
                        <a:noFill/>
                        <a:ln w="6350">
                          <a:noFill/>
                        </a:ln>
                      </wps:spPr>
                      <wps:txbx>
                        <w:txbxContent>
                          <w:p w14:paraId="52AC9A7E" w14:textId="77777777" w:rsidR="00C93BE0" w:rsidRDefault="00C93BE0" w:rsidP="009F3085">
                            <w:pPr>
                              <w:keepNext/>
                              <w:jc w:val="both"/>
                            </w:pPr>
                            <w:r>
                              <w:rPr>
                                <w:noProof/>
                                <w:lang w:eastAsia="en-GB"/>
                              </w:rPr>
                              <w:drawing>
                                <wp:inline distT="0" distB="0" distL="0" distR="0" wp14:anchorId="3B588D28" wp14:editId="3570EEA7">
                                  <wp:extent cx="5306290" cy="3717290"/>
                                  <wp:effectExtent l="0" t="0" r="254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igure2.2-fourth_derivative.png"/>
                                          <pic:cNvPicPr/>
                                        </pic:nvPicPr>
                                        <pic:blipFill>
                                          <a:blip r:embed="rId20">
                                            <a:extLst>
                                              <a:ext uri="{28A0092B-C50C-407E-A947-70E740481C1C}">
                                                <a14:useLocalDpi xmlns:a14="http://schemas.microsoft.com/office/drawing/2010/main" val="0"/>
                                              </a:ext>
                                            </a:extLst>
                                          </a:blip>
                                          <a:stretch>
                                            <a:fillRect/>
                                          </a:stretch>
                                        </pic:blipFill>
                                        <pic:spPr>
                                          <a:xfrm>
                                            <a:off x="0" y="0"/>
                                            <a:ext cx="5319648" cy="3726648"/>
                                          </a:xfrm>
                                          <a:prstGeom prst="rect">
                                            <a:avLst/>
                                          </a:prstGeom>
                                        </pic:spPr>
                                      </pic:pic>
                                    </a:graphicData>
                                  </a:graphic>
                                </wp:inline>
                              </w:drawing>
                            </w:r>
                          </w:p>
                          <w:p w14:paraId="42AFA4B2" w14:textId="13F6AFE0" w:rsidR="00C93BE0" w:rsidRPr="003730E4" w:rsidRDefault="00C93BE0" w:rsidP="009F3085">
                            <w:pPr>
                              <w:pStyle w:val="Caption"/>
                              <w:spacing w:line="360" w:lineRule="auto"/>
                              <w:jc w:val="both"/>
                              <w:rPr>
                                <w:rFonts w:ascii="Arial" w:hAnsi="Arial" w:cs="Arial"/>
                                <w:i w:val="0"/>
                                <w:color w:val="000000" w:themeColor="text1"/>
                                <w:sz w:val="24"/>
                                <w:szCs w:val="24"/>
                              </w:rPr>
                            </w:pPr>
                            <w:bookmarkStart w:id="204" w:name="_Toc12363338"/>
                            <w:bookmarkStart w:id="205" w:name="_Toc16242695"/>
                            <w:r w:rsidRPr="003730E4">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3730E4">
                              <w:rPr>
                                <w:rFonts w:ascii="Arial" w:hAnsi="Arial" w:cs="Arial"/>
                                <w:i w:val="0"/>
                                <w:color w:val="000000" w:themeColor="text1"/>
                                <w:sz w:val="24"/>
                                <w:szCs w:val="24"/>
                              </w:rPr>
                              <w:t xml:space="preserve"> Fourth Derivative of a Gaussian (D4) used to render radial frequency patterns.</w:t>
                            </w:r>
                            <w:bookmarkEnd w:id="204"/>
                            <w:bookmarkEnd w:id="205"/>
                            <w:r w:rsidRPr="003730E4">
                              <w:rPr>
                                <w:rFonts w:ascii="Arial" w:hAnsi="Arial" w:cs="Arial"/>
                                <w:i w:val="0"/>
                                <w:color w:val="000000" w:themeColor="text1"/>
                                <w:sz w:val="24"/>
                                <w:szCs w:val="24"/>
                              </w:rPr>
                              <w:t xml:space="preserve"> </w:t>
                            </w:r>
                          </w:p>
                          <w:p w14:paraId="674E2118"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BE17C" id="Text Box 89" o:spid="_x0000_s1033" type="#_x0000_t202" style="position:absolute;margin-left:-8.7pt;margin-top:11.25pt;width:417.35pt;height:344.9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" filled="f" stroked="f" strokeweight=".5pt">
                <v:textbox>
                  <w:txbxContent>
                    <w:p w14:paraId="52AC9A7E" w14:textId="77777777" w:rsidR="00C93BE0" w:rsidRDefault="00C93BE0" w:rsidP="009F3085">
                      <w:pPr>
                        <w:keepNext/>
                        <w:jc w:val="both"/>
                      </w:pPr>
                      <w:r>
                        <w:rPr>
                          <w:noProof/>
                          <w:lang w:eastAsia="en-GB"/>
                        </w:rPr>
                        <w:drawing>
                          <wp:inline distT="0" distB="0" distL="0" distR="0" wp14:anchorId="3B588D28" wp14:editId="3570EEA7">
                            <wp:extent cx="5306290" cy="3717290"/>
                            <wp:effectExtent l="0" t="0" r="254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igure2.2-fourth_derivative.png"/>
                                    <pic:cNvPicPr/>
                                  </pic:nvPicPr>
                                  <pic:blipFill>
                                    <a:blip r:embed="rId21">
                                      <a:extLst>
                                        <a:ext uri="{28A0092B-C50C-407E-A947-70E740481C1C}">
                                          <a14:useLocalDpi xmlns:a14="http://schemas.microsoft.com/office/drawing/2010/main" val="0"/>
                                        </a:ext>
                                      </a:extLst>
                                    </a:blip>
                                    <a:stretch>
                                      <a:fillRect/>
                                    </a:stretch>
                                  </pic:blipFill>
                                  <pic:spPr>
                                    <a:xfrm>
                                      <a:off x="0" y="0"/>
                                      <a:ext cx="5319648" cy="3726648"/>
                                    </a:xfrm>
                                    <a:prstGeom prst="rect">
                                      <a:avLst/>
                                    </a:prstGeom>
                                  </pic:spPr>
                                </pic:pic>
                              </a:graphicData>
                            </a:graphic>
                          </wp:inline>
                        </w:drawing>
                      </w:r>
                    </w:p>
                    <w:p w14:paraId="42AFA4B2" w14:textId="13F6AFE0" w:rsidR="00C93BE0" w:rsidRPr="003730E4" w:rsidRDefault="00C93BE0" w:rsidP="009F3085">
                      <w:pPr>
                        <w:pStyle w:val="Caption"/>
                        <w:spacing w:line="360" w:lineRule="auto"/>
                        <w:jc w:val="both"/>
                        <w:rPr>
                          <w:rFonts w:ascii="Arial" w:hAnsi="Arial" w:cs="Arial"/>
                          <w:i w:val="0"/>
                          <w:color w:val="000000" w:themeColor="text1"/>
                          <w:sz w:val="24"/>
                          <w:szCs w:val="24"/>
                        </w:rPr>
                      </w:pPr>
                      <w:bookmarkStart w:id="217" w:name="_Toc12363338"/>
                      <w:bookmarkStart w:id="218" w:name="_Toc16242695"/>
                      <w:r w:rsidRPr="003730E4">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3730E4">
                        <w:rPr>
                          <w:rFonts w:ascii="Arial" w:hAnsi="Arial" w:cs="Arial"/>
                          <w:i w:val="0"/>
                          <w:color w:val="000000" w:themeColor="text1"/>
                          <w:sz w:val="24"/>
                          <w:szCs w:val="24"/>
                        </w:rPr>
                        <w:t xml:space="preserve"> Fourth Derivative of a Gaussian (D4) used to render radial frequency patterns.</w:t>
                      </w:r>
                      <w:bookmarkEnd w:id="217"/>
                      <w:bookmarkEnd w:id="218"/>
                      <w:r w:rsidRPr="003730E4">
                        <w:rPr>
                          <w:rFonts w:ascii="Arial" w:hAnsi="Arial" w:cs="Arial"/>
                          <w:i w:val="0"/>
                          <w:color w:val="000000" w:themeColor="text1"/>
                          <w:sz w:val="24"/>
                          <w:szCs w:val="24"/>
                        </w:rPr>
                        <w:t xml:space="preserve"> </w:t>
                      </w:r>
                    </w:p>
                    <w:p w14:paraId="674E2118" w14:textId="77777777" w:rsidR="00C93BE0" w:rsidRDefault="00C93BE0" w:rsidP="009F3085">
                      <w:pPr>
                        <w:jc w:val="center"/>
                      </w:pPr>
                    </w:p>
                  </w:txbxContent>
                </v:textbox>
                <w10:wrap type="square"/>
              </v:shape>
            </w:pict>
          </mc:Fallback>
        </mc:AlternateContent>
      </w:r>
    </w:p>
    <w:p w14:paraId="76C49A4E" w14:textId="7ED18D0C" w:rsidR="000C73FA" w:rsidRPr="00225AB0" w:rsidRDefault="000C73FA" w:rsidP="000C73FA">
      <w:pPr>
        <w:spacing w:line="480" w:lineRule="auto"/>
        <w:rPr>
          <w:rFonts w:ascii="Arial" w:hAnsi="Arial" w:cs="Arial"/>
        </w:rPr>
      </w:pPr>
      <w:r w:rsidRPr="00225AB0">
        <w:rPr>
          <w:rFonts w:ascii="Arial" w:hAnsi="Arial" w:cs="Arial"/>
        </w:rPr>
        <w:t xml:space="preserve">We chose to use RF </w:t>
      </w:r>
      <w:r w:rsidR="00827DE2">
        <w:rPr>
          <w:rFonts w:ascii="Arial" w:hAnsi="Arial" w:cs="Arial"/>
        </w:rPr>
        <w:t xml:space="preserve">pattern </w:t>
      </w:r>
      <w:r w:rsidRPr="00225AB0">
        <w:rPr>
          <w:rFonts w:ascii="Arial" w:hAnsi="Arial" w:cs="Arial"/>
        </w:rPr>
        <w:t xml:space="preserve">stimuli </w:t>
      </w:r>
      <w:r w:rsidR="00D44AC6">
        <w:rPr>
          <w:rFonts w:ascii="Arial" w:hAnsi="Arial" w:cs="Arial"/>
        </w:rPr>
        <w:t>in</w:t>
      </w:r>
      <w:r w:rsidRPr="00225AB0">
        <w:rPr>
          <w:rFonts w:ascii="Arial" w:hAnsi="Arial" w:cs="Arial"/>
        </w:rPr>
        <w:t xml:space="preserve"> </w:t>
      </w:r>
      <w:r w:rsidRPr="00225AB0">
        <w:rPr>
          <w:rFonts w:ascii="Arial" w:hAnsi="Arial" w:cs="Arial"/>
          <w:i/>
        </w:rPr>
        <w:t xml:space="preserve">Chapters 3,4 </w:t>
      </w:r>
      <w:r w:rsidRPr="00225AB0">
        <w:rPr>
          <w:rFonts w:ascii="Arial" w:hAnsi="Arial" w:cs="Arial"/>
        </w:rPr>
        <w:t xml:space="preserve">and </w:t>
      </w:r>
      <w:r w:rsidRPr="00225AB0">
        <w:rPr>
          <w:rFonts w:ascii="Arial" w:hAnsi="Arial" w:cs="Arial"/>
          <w:i/>
        </w:rPr>
        <w:t xml:space="preserve">5 </w:t>
      </w:r>
      <w:r w:rsidRPr="00225AB0">
        <w:rPr>
          <w:rFonts w:ascii="Arial" w:hAnsi="Arial" w:cs="Arial"/>
        </w:rPr>
        <w:t xml:space="preserve">over more traditional Gabor stimuli for </w:t>
      </w:r>
      <w:r w:rsidR="006672D3">
        <w:rPr>
          <w:rFonts w:ascii="Arial" w:hAnsi="Arial" w:cs="Arial"/>
        </w:rPr>
        <w:t>several</w:t>
      </w:r>
      <w:r w:rsidRPr="00225AB0">
        <w:rPr>
          <w:rFonts w:ascii="Arial" w:hAnsi="Arial" w:cs="Arial"/>
        </w:rPr>
        <w:t xml:space="preserve"> reasons. First, they allow for simple parametrical manipulation of a number of isolated stimulus characteristics (such as orientation and contrast). Additionally, RF patterns allow for </w:t>
      </w:r>
      <w:r w:rsidRPr="00225AB0">
        <w:rPr>
          <w:rFonts w:ascii="Arial" w:hAnsi="Arial" w:cs="Arial"/>
        </w:rPr>
        <w:lastRenderedPageBreak/>
        <w:t xml:space="preserve">manipulation of stimulus curvature (shape), which is known to elicit activation in a number of regions of the visual cortex (see section 1.2.2.3, or see </w:t>
      </w:r>
      <w:r w:rsidRPr="00225AB0">
        <w:rPr>
          <w:rFonts w:ascii="Arial" w:hAnsi="Arial" w:cs="Arial"/>
        </w:rPr>
        <w:fldChar w:fldCharType="begin"/>
      </w:r>
      <w:r w:rsidR="005B4361">
        <w:rPr>
          <w:rFonts w:ascii="Arial" w:hAnsi="Arial" w:cs="Arial"/>
        </w:rPr>
        <w:instrText xml:space="preserve"> ADDIN ZOTERO_ITEM CSL_CITATION {"citationID":"zzqPsKEC","properties":{"formattedCitation":"(Pasupathy, 2006)","plainCitation":"(Pasupathy, 2006)","dontUpdate":true,"noteIndex":0},"citationItems":[{"id":148,"uris":["http://zotero.org/groups/318634/items/U9ZHBYA2"],"uri":["http://zotero.org/groups/318634/items/U9ZHBYA2"],"itemData":{"id":148,"type":"article-journal","title":"Neural basis of shape representation in the primate brain","container-title":"Progress in Brain Research","page":"293-313","volume":"154","source":"PubMed","abstract":"Visual shape recognition--the ability to recognize a wide variety of shapes regardless of their size, position, view, clutter and ambient lighting--is a remarkable ability essential for complex behavior. In the primate brain, this depends on information processing in a multistage pathway running from primary visual cortex (V1), where cells encode local orientation and spatial frequency information, to the inferotemporal cortex (IT), where cells respond selectively to complex shapes. A fundamental question yet to be answered is how the local orientation signals (in V1) are transformed into selectivity for complex shapes (in IT). To gain insights into the underlying mechanisms we investigated the neural basis of shape representation in area V4, an intermediate stage in this processing hierarchy. Theoretical considerations and psychophysical evidence suggest that contour features, i.e. angles and curves along an object contour, may serve as the basis of representation at intermediate stages of shape processing. To test this hypothesis we studied the response properties of single units in area V4 of primates. We first demonstrated that V4 neurons show strong systematic tuning for the orientation and acuteness of angles and curves when presented in isolation within the cells' receptive field. Next, we found that responses to complex shapes were dictated by the curvature at a specific boundary location within the shape. Finally, using basis function decoding, we demonstrated that an ensemble of V4 neurons could successfully encode complete shapes as aggregates of boundary fragments. These findings identify curvature as a basis of shape representation in area V4 and provide insights into the neurophysiological basis for the salience of convex curves in shape perception.","DOI":"10.1016/S0079-6123(06)54016-6","ISSN":"0079-6123","note":"PMID: 17010719","journalAbbreviation":"Prog. Brain Res.","language":"eng","author":[{"family":"Pasupathy","given":"Anitha"}],"issued":{"date-parts":[["2006"]]}}}],"schema":"https://github.com/citation-style-language/schema/raw/master/csl-citation.json"} </w:instrText>
      </w:r>
      <w:r w:rsidRPr="00225AB0">
        <w:rPr>
          <w:rFonts w:ascii="Arial" w:hAnsi="Arial" w:cs="Arial"/>
        </w:rPr>
        <w:fldChar w:fldCharType="separate"/>
      </w:r>
      <w:r w:rsidRPr="00225AB0">
        <w:rPr>
          <w:rFonts w:ascii="Arial" w:hAnsi="Arial" w:cs="Arial"/>
          <w:noProof/>
        </w:rPr>
        <w:t>Pasupathy, 2006 for a review)</w:t>
      </w:r>
      <w:r w:rsidRPr="00225AB0">
        <w:rPr>
          <w:rFonts w:ascii="Arial" w:hAnsi="Arial" w:cs="Arial"/>
        </w:rPr>
        <w:fldChar w:fldCharType="end"/>
      </w:r>
      <w:r w:rsidRPr="00225AB0">
        <w:rPr>
          <w:rFonts w:ascii="Arial" w:hAnsi="Arial" w:cs="Arial"/>
        </w:rPr>
        <w:t xml:space="preserve">. Evidence also suggests visual region LO-2 is causally involved in processing of RF patterns (used </w:t>
      </w:r>
      <w:r w:rsidR="00D44AC6">
        <w:rPr>
          <w:rFonts w:ascii="Arial" w:hAnsi="Arial" w:cs="Arial"/>
        </w:rPr>
        <w:t>in</w:t>
      </w:r>
      <w:r w:rsidRPr="00225AB0">
        <w:rPr>
          <w:rFonts w:ascii="Arial" w:hAnsi="Arial" w:cs="Arial"/>
        </w:rPr>
        <w:t xml:space="preserve"> this thesis), making them a highly-relevant stimulus for the investigation of shape into relatively higher regions of the visual cortex </w:t>
      </w:r>
      <w:r w:rsidRPr="00225AB0">
        <w:rPr>
          <w:rFonts w:ascii="Arial" w:hAnsi="Arial" w:cs="Arial"/>
        </w:rPr>
        <w:fldChar w:fldCharType="begin"/>
      </w:r>
      <w:r w:rsidR="00321AB9">
        <w:rPr>
          <w:rFonts w:ascii="Arial" w:hAnsi="Arial" w:cs="Arial"/>
        </w:rPr>
        <w:instrText xml:space="preserve"> ADDIN ZOTERO_ITEM CSL_CITATION {"citationID":"Ib9K68uW","properties":{"formattedCitation":"(Silson et al., 2013b)","plainCitation":"(Silson et al., 2013b)","dontUpdate":true,"noteIndex":0},"citationItems":[{"id":"9GXKD9A2/TWidyf8Z","uris":["http://zotero.org/users/2260738/items/PNI5LMYU"],"uri":["http://zotero.org/users/2260738/items/PNI5LMYU"],"itemData":{"id":99,"type":"article-journal","title":"Specialized and independent processing of orientation and shape in visual field maps LO1 and LO2","container-title":"Nature Neuroscience","page":"267","volume":"16","issue":"3","source":"Google Scholar","author":[{"family":"Silson","given":"Edward H."},{"family":"McKeefry","given":"Declan J."},{"family":"Rodgers","given":"Jessica"},{"family":"Gouws","given":"Andre D."},{"family":"Hymers","given":"Mark"},{"family":"Morland","given":"Antony B."}],"issued":{"date-parts":[["2013"]]}}}],"schema":"https://github.com/citation-style-language/schema/raw/master/csl-citation.json"}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(Silson et al., 2013)</w:t>
      </w:r>
      <w:r w:rsidRPr="00225AB0">
        <w:rPr>
          <w:rFonts w:ascii="Arial" w:hAnsi="Arial" w:cs="Arial"/>
        </w:rPr>
        <w:fldChar w:fldCharType="end"/>
      </w:r>
      <w:r w:rsidRPr="00225AB0">
        <w:rPr>
          <w:rFonts w:ascii="Arial" w:hAnsi="Arial" w:cs="Arial"/>
        </w:rPr>
        <w:t xml:space="preserve">. </w:t>
      </w:r>
    </w:p>
    <w:p w14:paraId="6F609C9E" w14:textId="77777777" w:rsidR="000C73FA" w:rsidRPr="00225AB0" w:rsidRDefault="000C73FA" w:rsidP="000C73FA">
      <w:pPr>
        <w:spacing w:line="480" w:lineRule="auto"/>
        <w:rPr>
          <w:rFonts w:ascii="Arial" w:hAnsi="Arial" w:cs="Arial"/>
        </w:rPr>
      </w:pPr>
    </w:p>
    <w:p w14:paraId="68654405" w14:textId="481D082F" w:rsidR="000C73FA" w:rsidRDefault="000C73FA" w:rsidP="000C73FA">
      <w:pPr>
        <w:spacing w:line="480" w:lineRule="auto"/>
        <w:rPr>
          <w:rFonts w:ascii="Arial" w:hAnsi="Arial" w:cs="Arial"/>
        </w:rPr>
      </w:pPr>
      <w:r w:rsidRPr="00225AB0">
        <w:rPr>
          <w:rFonts w:ascii="Arial" w:hAnsi="Arial" w:cs="Arial"/>
        </w:rPr>
        <w:t xml:space="preserve">As noted in </w:t>
      </w:r>
      <w:r w:rsidRPr="00225AB0">
        <w:rPr>
          <w:rFonts w:ascii="Arial" w:hAnsi="Arial" w:cs="Arial"/>
        </w:rPr>
        <w:fldChar w:fldCharType="begin"/>
      </w:r>
      <w:r w:rsidR="005B4361">
        <w:rPr>
          <w:rFonts w:ascii="Arial" w:hAnsi="Arial" w:cs="Arial"/>
        </w:rPr>
        <w:instrText xml:space="preserve"> ADDIN ZOTERO_ITEM CSL_CITATION {"citationID":"hJ06DjOP","properties":{"formattedCitation":"(Vernon, 2016)","plainCitation":"(Vernon, 2016)","dontUpdate":true,"noteIndex":0},"citationItems":[{"id":147,"uris":["http://zotero.org/groups/318634/items/AIKDX52G"],"uri":["http://zotero.org/groups/318634/items/AIKDX52G"],"itemData":{"id":147,"type":"thesis","title":"Shape Processing across Lateral Occipital Cortex","publisher":"University of York","genre":"phd","source":"etheses.whiterose.ac.uk","abstract":"There are two predominant means of identifying visual areas in the human brain; retinotopy (exploiting maps of the visual field) and localisers (exploiting functional selectivity). This thesis aimed to bridge those two approaches, assessing the roles of LO-1 and LO-2; two retinotopically-defined regions that show overlap with the functionally-defined (shape selective) Lateral Occipital Complex (LOC). More generally, we asked what is the nature of the shape representation across Lateral Occipital cortex?\n\nWe first probed the functional roles of LO-1 and LO-2, finding that LO-2 is the more shape-sensitive region of the pair and will respond to second order shape stimuli, whereas LO-1 may process more local cues (perhaps orientation information).\n\nOur later work then assessed neural shape representations across visual cortex, identifying two discrete representations; ‘Shape-profile’ (essentially retinotopic responses) and ‘Shape-complexity’ (responses based upon the complexity of a shape’s contour). The latter dimension captured variance in LOC, and surprisingly LO-2. This indicates that even explicit visual field maps can respond to non</w:instrText>
      </w:r>
      <w:r w:rsidR="005B4361">
        <w:rPr>
          <w:rFonts w:ascii="Cambria Math" w:hAnsi="Cambria Math" w:cs="Cambria Math"/>
        </w:rPr>
        <w:instrText>‑</w:instrText>
      </w:r>
      <w:r w:rsidR="005B4361">
        <w:rPr>
          <w:rFonts w:ascii="Arial" w:hAnsi="Arial" w:cs="Arial"/>
        </w:rPr>
        <w:instrText xml:space="preserve">retinotopic attributes such as curvature complexity. Intriguingly, a transition between dimensions occurred around LO-1 and LO-2. \n\nFinally, we explicitly tested whether the ‘Shape-complexity’ representation may be curvature based. Our results implied that radial shape protrusions are highly salient features for Lateral Occipital cortex, but it is not necessarily the points of maximal curvature that are being responded to. Instead, we hypothesise that it is the convergent lines comorbid with curvature that neurons may be attuned to, as such lines likely represent the most salient or characteristic features in a given shape.\n\nIn sum, we argue for an evolving shape representation across visual cortex, with some degree of shape sensitivity first emerging around LO-1 and LO-2. These maps may then be acting as preliminary processing stages for more selective shape tunings in LOC.","URL":"http://etheses.whiterose.ac.uk/16777/","author":[{"family":"Vernon","given":"Richard J. W."}],"issued":{"date-parts":[["2016",11]]},"accessed":{"date-parts":[["2019",5,31]]}}}],"schema":"https://github.com/citation-style-language/schema/raw/master/csl-citation.json"} </w:instrText>
      </w:r>
      <w:r w:rsidRPr="00225AB0">
        <w:rPr>
          <w:rFonts w:ascii="Arial" w:hAnsi="Arial" w:cs="Arial"/>
        </w:rPr>
        <w:fldChar w:fldCharType="separate"/>
      </w:r>
      <w:r w:rsidRPr="00225AB0">
        <w:rPr>
          <w:rFonts w:ascii="Arial" w:hAnsi="Arial" w:cs="Arial"/>
          <w:noProof/>
        </w:rPr>
        <w:t>Vernon, (2016)</w:t>
      </w:r>
      <w:r w:rsidRPr="00225AB0">
        <w:rPr>
          <w:rFonts w:ascii="Arial" w:hAnsi="Arial" w:cs="Arial"/>
        </w:rPr>
        <w:fldChar w:fldCharType="end"/>
      </w:r>
      <w:r w:rsidRPr="00225AB0">
        <w:rPr>
          <w:rFonts w:ascii="Arial" w:hAnsi="Arial" w:cs="Arial"/>
        </w:rPr>
        <w:t xml:space="preserve"> the rendering method used when plotting RF patterns with large deviations from concentricity produces rapid </w:t>
      </w:r>
      <w:r w:rsidR="00827DE2">
        <w:rPr>
          <w:rFonts w:ascii="Arial" w:hAnsi="Arial" w:cs="Arial"/>
        </w:rPr>
        <w:t>changes</w:t>
      </w:r>
      <w:r w:rsidRPr="00225AB0">
        <w:rPr>
          <w:rFonts w:ascii="Arial" w:hAnsi="Arial" w:cs="Arial"/>
        </w:rPr>
        <w:t xml:space="preserve"> in radial distance, </w:t>
      </w:r>
      <w:r w:rsidR="00827DE2">
        <w:rPr>
          <w:rFonts w:ascii="Arial" w:hAnsi="Arial" w:cs="Arial"/>
        </w:rPr>
        <w:t>resulting in</w:t>
      </w:r>
      <w:r w:rsidRPr="00225AB0">
        <w:rPr>
          <w:rFonts w:ascii="Arial" w:hAnsi="Arial" w:cs="Arial"/>
        </w:rPr>
        <w:t xml:space="preserve"> distorted shading of the RF pattern contour. To resolve this issue, we used a distance transform computed by </w:t>
      </w:r>
      <w:r w:rsidRPr="00225AB0">
        <w:rPr>
          <w:rFonts w:ascii="Arial" w:hAnsi="Arial" w:cs="Arial"/>
        </w:rPr>
        <w:fldChar w:fldCharType="begin"/>
      </w:r>
      <w:r w:rsidR="005B4361">
        <w:rPr>
          <w:rFonts w:ascii="Arial" w:hAnsi="Arial" w:cs="Arial"/>
        </w:rPr>
        <w:instrText xml:space="preserve"> ADDIN ZOTERO_ITEM CSL_CITATION {"citationID":"XL4GdDMH","properties":{"formattedCitation":"(Vernon, 2016)","plainCitation":"(Vernon, 2016)","dontUpdate":true,"noteIndex":0},"citationItems":[{"id":147,"uris":["http://zotero.org/groups/318634/items/AIKDX52G"],"uri":["http://zotero.org/groups/318634/items/AIKDX52G"],"itemData":{"id":147,"type":"thesis","title":"Shape Processing across Lateral Occipital Cortex","publisher":"University of York","genre":"phd","source":"etheses.whiterose.ac.uk","abstract":"There are two predominant means of identifying visual areas in the human brain; retinotopy (exploiting maps of the visual field) and localisers (exploiting functional selectivity). This thesis aimed to bridge those two approaches, assessing the roles of LO-1 and LO-2; two retinotopically-defined regions that show overlap with the functionally-defined (shape selective) Lateral Occipital Complex (LOC). More generally, we asked what is the nature of the shape representation across Lateral Occipital cortex?\n\nWe first probed the functional roles of LO-1 and LO-2, finding that LO-2 is the more shape-sensitive region of the pair and will respond to second order shape stimuli, whereas LO-1 may process more local cues (perhaps orientation information).\n\nOur later work then assessed neural shape representations across visual cortex, identifying two discrete representations; ‘Shape-profile’ (essentially retinotopic responses) and ‘Shape-complexity’ (responses based upon the complexity of a shape’s contour). The latter dimension captured variance in LOC, and surprisingly LO-2. This indicates that even explicit visual field maps can respond to non</w:instrText>
      </w:r>
      <w:r w:rsidR="005B4361">
        <w:rPr>
          <w:rFonts w:ascii="Cambria Math" w:hAnsi="Cambria Math" w:cs="Cambria Math"/>
        </w:rPr>
        <w:instrText>‑</w:instrText>
      </w:r>
      <w:r w:rsidR="005B4361">
        <w:rPr>
          <w:rFonts w:ascii="Arial" w:hAnsi="Arial" w:cs="Arial"/>
        </w:rPr>
        <w:instrText xml:space="preserve">retinotopic attributes such as curvature complexity. Intriguingly, a transition between dimensions occurred around LO-1 and LO-2. \n\nFinally, we explicitly tested whether the ‘Shape-complexity’ representation may be curvature based. Our results implied that radial shape protrusions are highly salient features for Lateral Occipital cortex, but it is not necessarily the points of maximal curvature that are being responded to. Instead, we hypothesise that it is the convergent lines comorbid with curvature that neurons may be attuned to, as such lines likely represent the most salient or characteristic features in a given shape.\n\nIn sum, we argue for an evolving shape representation across visual cortex, with some degree of shape sensitivity first emerging around LO-1 and LO-2. These maps may then be acting as preliminary processing stages for more selective shape tunings in LOC.","URL":"http://etheses.whiterose.ac.uk/16777/","author":[{"family":"Vernon","given":"Richard J. W."}],"issued":{"date-parts":[["2016",11]]},"accessed":{"date-parts":[["2019",5,31]]}}}],"schema":"https://github.com/citation-style-language/schema/raw/master/csl-citation.json"} </w:instrText>
      </w:r>
      <w:r w:rsidRPr="00225AB0">
        <w:rPr>
          <w:rFonts w:ascii="Arial" w:hAnsi="Arial" w:cs="Arial"/>
        </w:rPr>
        <w:fldChar w:fldCharType="separate"/>
      </w:r>
      <w:r w:rsidRPr="00225AB0">
        <w:rPr>
          <w:rFonts w:ascii="Arial" w:hAnsi="Arial" w:cs="Arial"/>
          <w:noProof/>
        </w:rPr>
        <w:t>Vernon, (2016)</w:t>
      </w:r>
      <w:r w:rsidRPr="00225AB0">
        <w:rPr>
          <w:rFonts w:ascii="Arial" w:hAnsi="Arial" w:cs="Arial"/>
        </w:rPr>
        <w:fldChar w:fldCharType="end"/>
      </w:r>
      <w:r w:rsidR="00F84CE1">
        <w:rPr>
          <w:rFonts w:ascii="Arial" w:hAnsi="Arial" w:cs="Arial"/>
        </w:rPr>
        <w:t xml:space="preserve"> (see Figure 2.3)</w:t>
      </w:r>
      <w:r w:rsidRPr="00225AB0">
        <w:rPr>
          <w:rFonts w:ascii="Arial" w:hAnsi="Arial" w:cs="Arial"/>
        </w:rPr>
        <w:t xml:space="preserve">. Here, for any given pixel, the shortest distance to the contour is calculated along any direction, as oppose to a </w:t>
      </w:r>
      <w:r w:rsidR="005E4376">
        <w:rPr>
          <w:rFonts w:ascii="Arial" w:hAnsi="Arial" w:cs="Arial"/>
        </w:rPr>
        <w:t>single</w:t>
      </w:r>
      <w:r w:rsidRPr="00225AB0">
        <w:rPr>
          <w:rFonts w:ascii="Arial" w:hAnsi="Arial" w:cs="Arial"/>
        </w:rPr>
        <w:t xml:space="preserve"> direction and then is shaped by the same D4 function. This ensures the rendering of the stimulus contour remains constant across any range of frequency and amplitude. </w:t>
      </w:r>
    </w:p>
    <w:p w14:paraId="0FEF5FF1" w14:textId="77777777" w:rsidR="00045BF0" w:rsidRDefault="00045BF0" w:rsidP="000C73FA">
      <w:pPr>
        <w:spacing w:line="480" w:lineRule="auto"/>
        <w:rPr>
          <w:rFonts w:ascii="Arial" w:hAnsi="Arial" w:cs="Arial"/>
        </w:rPr>
      </w:pPr>
    </w:p>
    <w:p w14:paraId="6D405825" w14:textId="77777777" w:rsidR="00045BF0" w:rsidRDefault="00045BF0" w:rsidP="000C73FA">
      <w:pPr>
        <w:spacing w:line="480" w:lineRule="auto"/>
        <w:rPr>
          <w:rFonts w:ascii="Arial" w:hAnsi="Arial" w:cs="Arial"/>
        </w:rPr>
      </w:pPr>
    </w:p>
    <w:p w14:paraId="58827B1A" w14:textId="77777777" w:rsidR="00045BF0" w:rsidRPr="00225AB0" w:rsidRDefault="00045BF0" w:rsidP="000C73FA">
      <w:pPr>
        <w:spacing w:line="480" w:lineRule="auto"/>
        <w:rPr>
          <w:rFonts w:ascii="Arial" w:hAnsi="Arial" w:cs="Arial"/>
        </w:rPr>
      </w:pPr>
    </w:p>
    <w:p w14:paraId="20B9716F" w14:textId="6F812F4C" w:rsidR="000C73FA" w:rsidRPr="00225AB0" w:rsidRDefault="009F3085" w:rsidP="000C73FA">
      <w:pPr>
        <w:spacing w:line="480" w:lineRule="auto"/>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785216" behindDoc="0" locked="0" layoutInCell="1" allowOverlap="1" wp14:anchorId="4A0067D3" wp14:editId="3611F520">
                <wp:simplePos x="0" y="0"/>
                <wp:positionH relativeFrom="column">
                  <wp:posOffset>-113319</wp:posOffset>
                </wp:positionH>
                <wp:positionV relativeFrom="paragraph">
                  <wp:posOffset>173</wp:posOffset>
                </wp:positionV>
                <wp:extent cx="5314950" cy="4500245"/>
                <wp:effectExtent l="0" t="0" r="0" b="0"/>
                <wp:wrapSquare wrapText="bothSides"/>
                <wp:docPr id="93" name="Text Box 93"/>
                <wp:cNvGraphicFramePr/>
                <a:graphic xmlns:a="http://schemas.openxmlformats.org/drawingml/2006/main">
                  <a:graphicData uri="http://schemas.microsoft.com/office/word/2010/wordprocessingShape">
                    <wps:wsp>
                      <wps:cNvSpPr txBox="1"/>
                      <wps:spPr>
                        <a:xfrm>
                          <a:off x="0" y="0"/>
                          <a:ext cx="5314950" cy="4500245"/>
                        </a:xfrm>
                        <a:prstGeom prst="rect">
                          <a:avLst/>
                        </a:prstGeom>
                        <a:noFill/>
                        <a:ln w="6350">
                          <a:noFill/>
                        </a:ln>
                      </wps:spPr>
                      <wps:txbx>
                        <w:txbxContent>
                          <w:p w14:paraId="417EC973" w14:textId="77777777" w:rsidR="00C93BE0" w:rsidRDefault="00C93BE0" w:rsidP="009F3085">
                            <w:pPr>
                              <w:keepNext/>
                              <w:jc w:val="center"/>
                            </w:pPr>
                            <w:r>
                              <w:rPr>
                                <w:noProof/>
                                <w:lang w:eastAsia="en-GB"/>
                              </w:rPr>
                              <w:drawing>
                                <wp:inline distT="0" distB="0" distL="0" distR="0" wp14:anchorId="7D59E556" wp14:editId="7CC0120B">
                                  <wp:extent cx="5129213" cy="2541292"/>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ure2.3-D4_rendering.png"/>
                                          <pic:cNvPicPr/>
                                        </pic:nvPicPr>
                                        <pic:blipFill>
                                          <a:blip r:embed="rId22">
                                            <a:extLst>
                                              <a:ext uri="{28A0092B-C50C-407E-A947-70E740481C1C}">
                                                <a14:useLocalDpi xmlns:a14="http://schemas.microsoft.com/office/drawing/2010/main" val="0"/>
                                              </a:ext>
                                            </a:extLst>
                                          </a:blip>
                                          <a:stretch>
                                            <a:fillRect/>
                                          </a:stretch>
                                        </pic:blipFill>
                                        <pic:spPr>
                                          <a:xfrm>
                                            <a:off x="0" y="0"/>
                                            <a:ext cx="5159673" cy="2556383"/>
                                          </a:xfrm>
                                          <a:prstGeom prst="rect">
                                            <a:avLst/>
                                          </a:prstGeom>
                                        </pic:spPr>
                                      </pic:pic>
                                    </a:graphicData>
                                  </a:graphic>
                                </wp:inline>
                              </w:drawing>
                            </w:r>
                          </w:p>
                          <w:p w14:paraId="3803240F" w14:textId="13BD7C23" w:rsidR="00C93BE0" w:rsidRPr="006D65A9" w:rsidRDefault="00C93BE0" w:rsidP="009F3085">
                            <w:pPr>
                              <w:pStyle w:val="Caption"/>
                              <w:spacing w:line="360" w:lineRule="auto"/>
                              <w:jc w:val="both"/>
                              <w:rPr>
                                <w:rFonts w:ascii="Arial" w:hAnsi="Arial" w:cs="Arial"/>
                                <w:i w:val="0"/>
                                <w:color w:val="000000" w:themeColor="text1"/>
                                <w:sz w:val="24"/>
                                <w:szCs w:val="24"/>
                              </w:rPr>
                            </w:pPr>
                            <w:bookmarkStart w:id="206" w:name="_Toc12363339"/>
                            <w:bookmarkStart w:id="207" w:name="_Toc16242696"/>
                            <w:r w:rsidRPr="006D65A9">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6D65A9">
                              <w:rPr>
                                <w:rFonts w:ascii="Arial" w:hAnsi="Arial" w:cs="Arial"/>
                                <w:i w:val="0"/>
                                <w:color w:val="000000" w:themeColor="text1"/>
                                <w:sz w:val="24"/>
                                <w:szCs w:val="24"/>
                              </w:rPr>
                              <w:t xml:space="preserve"> D4 Rendering Method from Vernon et al., (2016). The left </w:t>
                            </w:r>
                            <w:r>
                              <w:rPr>
                                <w:rFonts w:ascii="Arial" w:hAnsi="Arial" w:cs="Arial"/>
                                <w:i w:val="0"/>
                                <w:color w:val="000000" w:themeColor="text1"/>
                                <w:sz w:val="24"/>
                                <w:szCs w:val="24"/>
                              </w:rPr>
                              <w:t>image</w:t>
                            </w:r>
                            <w:r w:rsidRPr="006D65A9">
                              <w:rPr>
                                <w:rFonts w:ascii="Arial" w:hAnsi="Arial" w:cs="Arial"/>
                                <w:i w:val="0"/>
                                <w:color w:val="000000" w:themeColor="text1"/>
                                <w:sz w:val="24"/>
                                <w:szCs w:val="24"/>
                              </w:rPr>
                              <w:t xml:space="preserve"> demonstrates a radial frequency pattern rendered using the fourth derivative of a Gaussian in polar coordinates. Deviations from circularity cause rapid changes in radial distance, leading to distortions in shading along the perimeter of the shape. The right stimulus demonstrates the same radial frequency pattern rendered based upon a distance transform, producing a more uniform boundary (</w:t>
                            </w:r>
                            <w:r>
                              <w:rPr>
                                <w:rFonts w:ascii="Arial" w:hAnsi="Arial" w:cs="Arial"/>
                                <w:i w:val="0"/>
                                <w:color w:val="000000" w:themeColor="text1"/>
                                <w:sz w:val="24"/>
                                <w:szCs w:val="24"/>
                              </w:rPr>
                              <w:t xml:space="preserve">Figure from </w:t>
                            </w:r>
                            <w:r w:rsidRPr="006D65A9">
                              <w:rPr>
                                <w:rFonts w:ascii="Arial" w:hAnsi="Arial" w:cs="Arial"/>
                                <w:i w:val="0"/>
                                <w:color w:val="000000" w:themeColor="text1"/>
                                <w:sz w:val="24"/>
                                <w:szCs w:val="24"/>
                              </w:rPr>
                              <w:t>Vernon et al., 2016).</w:t>
                            </w:r>
                            <w:bookmarkEnd w:id="206"/>
                            <w:bookmarkEnd w:id="207"/>
                          </w:p>
                          <w:p w14:paraId="6B8B20C6" w14:textId="77777777" w:rsidR="00C93BE0" w:rsidRPr="00F01A54" w:rsidRDefault="00C93BE0" w:rsidP="009F3085"/>
                          <w:p w14:paraId="53753727" w14:textId="77777777" w:rsidR="00C93BE0" w:rsidRDefault="00C93BE0" w:rsidP="009F3085">
                            <w:pPr>
                              <w:jc w:val="center"/>
                            </w:pPr>
                          </w:p>
                          <w:p w14:paraId="52D1AA4F" w14:textId="77777777" w:rsidR="00C93BE0" w:rsidRDefault="00C93BE0" w:rsidP="009F3085"/>
                          <w:p w14:paraId="507F7C0E" w14:textId="77777777" w:rsidR="00C93BE0" w:rsidRPr="00F01A54" w:rsidRDefault="00C93BE0" w:rsidP="009F3085"/>
                          <w:p w14:paraId="45C6F961"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067D3" id="Text Box 93" o:spid="_x0000_s1034" type="#_x0000_t202" style="position:absolute;margin-left:-8.9pt;margin-top:0;width:418.5pt;height:354.3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" filled="f" stroked="f" strokeweight=".5pt">
                <v:textbox>
                  <w:txbxContent>
                    <w:p w14:paraId="417EC973" w14:textId="77777777" w:rsidR="00C93BE0" w:rsidRDefault="00C93BE0" w:rsidP="009F3085">
                      <w:pPr>
                        <w:keepNext/>
                        <w:jc w:val="center"/>
                      </w:pPr>
                      <w:r>
                        <w:rPr>
                          <w:noProof/>
                          <w:lang w:eastAsia="en-GB"/>
                        </w:rPr>
                        <w:drawing>
                          <wp:inline distT="0" distB="0" distL="0" distR="0" wp14:anchorId="7D59E556" wp14:editId="7CC0120B">
                            <wp:extent cx="5129213" cy="2541292"/>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ure2.3-D4_rendering.png"/>
                                    <pic:cNvPicPr/>
                                  </pic:nvPicPr>
                                  <pic:blipFill>
                                    <a:blip r:embed="rId23">
                                      <a:extLst>
                                        <a:ext uri="{28A0092B-C50C-407E-A947-70E740481C1C}">
                                          <a14:useLocalDpi xmlns:a14="http://schemas.microsoft.com/office/drawing/2010/main" val="0"/>
                                        </a:ext>
                                      </a:extLst>
                                    </a:blip>
                                    <a:stretch>
                                      <a:fillRect/>
                                    </a:stretch>
                                  </pic:blipFill>
                                  <pic:spPr>
                                    <a:xfrm>
                                      <a:off x="0" y="0"/>
                                      <a:ext cx="5159673" cy="2556383"/>
                                    </a:xfrm>
                                    <a:prstGeom prst="rect">
                                      <a:avLst/>
                                    </a:prstGeom>
                                  </pic:spPr>
                                </pic:pic>
                              </a:graphicData>
                            </a:graphic>
                          </wp:inline>
                        </w:drawing>
                      </w:r>
                    </w:p>
                    <w:p w14:paraId="3803240F" w14:textId="13BD7C23" w:rsidR="00C93BE0" w:rsidRPr="006D65A9" w:rsidRDefault="00C93BE0" w:rsidP="009F3085">
                      <w:pPr>
                        <w:pStyle w:val="Caption"/>
                        <w:spacing w:line="360" w:lineRule="auto"/>
                        <w:jc w:val="both"/>
                        <w:rPr>
                          <w:rFonts w:ascii="Arial" w:hAnsi="Arial" w:cs="Arial"/>
                          <w:i w:val="0"/>
                          <w:color w:val="000000" w:themeColor="text1"/>
                          <w:sz w:val="24"/>
                          <w:szCs w:val="24"/>
                        </w:rPr>
                      </w:pPr>
                      <w:bookmarkStart w:id="221" w:name="_Toc12363339"/>
                      <w:bookmarkStart w:id="222" w:name="_Toc16242696"/>
                      <w:r w:rsidRPr="006D65A9">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6D65A9">
                        <w:rPr>
                          <w:rFonts w:ascii="Arial" w:hAnsi="Arial" w:cs="Arial"/>
                          <w:i w:val="0"/>
                          <w:color w:val="000000" w:themeColor="text1"/>
                          <w:sz w:val="24"/>
                          <w:szCs w:val="24"/>
                        </w:rPr>
                        <w:t xml:space="preserve"> D4 Rendering Method from Vernon et al., (2016). The left </w:t>
                      </w:r>
                      <w:r>
                        <w:rPr>
                          <w:rFonts w:ascii="Arial" w:hAnsi="Arial" w:cs="Arial"/>
                          <w:i w:val="0"/>
                          <w:color w:val="000000" w:themeColor="text1"/>
                          <w:sz w:val="24"/>
                          <w:szCs w:val="24"/>
                        </w:rPr>
                        <w:t>image</w:t>
                      </w:r>
                      <w:r w:rsidRPr="006D65A9">
                        <w:rPr>
                          <w:rFonts w:ascii="Arial" w:hAnsi="Arial" w:cs="Arial"/>
                          <w:i w:val="0"/>
                          <w:color w:val="000000" w:themeColor="text1"/>
                          <w:sz w:val="24"/>
                          <w:szCs w:val="24"/>
                        </w:rPr>
                        <w:t xml:space="preserve"> demonstrates a radial frequency pattern rendered using the fourth derivative of a Gaussian in polar coordinates. Deviations from circularity cause rapid changes in radial distance, leading to distortions in shading along the perimeter of the shape. The right stimulus demonstrates the same radial frequency pattern rendered based upon a distance transform, producing a more uniform boundary (</w:t>
                      </w:r>
                      <w:r>
                        <w:rPr>
                          <w:rFonts w:ascii="Arial" w:hAnsi="Arial" w:cs="Arial"/>
                          <w:i w:val="0"/>
                          <w:color w:val="000000" w:themeColor="text1"/>
                          <w:sz w:val="24"/>
                          <w:szCs w:val="24"/>
                        </w:rPr>
                        <w:t xml:space="preserve">Figure from </w:t>
                      </w:r>
                      <w:r w:rsidRPr="006D65A9">
                        <w:rPr>
                          <w:rFonts w:ascii="Arial" w:hAnsi="Arial" w:cs="Arial"/>
                          <w:i w:val="0"/>
                          <w:color w:val="000000" w:themeColor="text1"/>
                          <w:sz w:val="24"/>
                          <w:szCs w:val="24"/>
                        </w:rPr>
                        <w:t>Vernon et al., 2016).</w:t>
                      </w:r>
                      <w:bookmarkEnd w:id="221"/>
                      <w:bookmarkEnd w:id="222"/>
                    </w:p>
                    <w:p w14:paraId="6B8B20C6" w14:textId="77777777" w:rsidR="00C93BE0" w:rsidRPr="00F01A54" w:rsidRDefault="00C93BE0" w:rsidP="009F3085"/>
                    <w:p w14:paraId="53753727" w14:textId="77777777" w:rsidR="00C93BE0" w:rsidRDefault="00C93BE0" w:rsidP="009F3085">
                      <w:pPr>
                        <w:jc w:val="center"/>
                      </w:pPr>
                    </w:p>
                    <w:p w14:paraId="52D1AA4F" w14:textId="77777777" w:rsidR="00C93BE0" w:rsidRDefault="00C93BE0" w:rsidP="009F3085"/>
                    <w:p w14:paraId="507F7C0E" w14:textId="77777777" w:rsidR="00C93BE0" w:rsidRPr="00F01A54" w:rsidRDefault="00C93BE0" w:rsidP="009F3085"/>
                    <w:p w14:paraId="45C6F961" w14:textId="77777777" w:rsidR="00C93BE0" w:rsidRDefault="00C93BE0" w:rsidP="009F3085">
                      <w:pPr>
                        <w:jc w:val="center"/>
                      </w:pPr>
                    </w:p>
                  </w:txbxContent>
                </v:textbox>
                <w10:wrap type="square"/>
              </v:shape>
            </w:pict>
          </mc:Fallback>
        </mc:AlternateContent>
      </w:r>
    </w:p>
    <w:p w14:paraId="054172C3" w14:textId="77777777" w:rsidR="000C73FA" w:rsidRDefault="000C73FA" w:rsidP="001811CC">
      <w:pPr>
        <w:pStyle w:val="Heading2"/>
        <w:numPr>
          <w:ilvl w:val="1"/>
          <w:numId w:val="3"/>
        </w:numPr>
        <w:rPr>
          <w:rFonts w:ascii="Arial" w:hAnsi="Arial" w:cs="Arial"/>
          <w:b/>
          <w:color w:val="000000" w:themeColor="text1"/>
          <w:sz w:val="28"/>
          <w:szCs w:val="28"/>
        </w:rPr>
      </w:pPr>
      <w:bookmarkStart w:id="208" w:name="_Toc11147968"/>
      <w:bookmarkStart w:id="209" w:name="_Toc11153915"/>
      <w:bookmarkStart w:id="210" w:name="_Toc11753621"/>
      <w:bookmarkStart w:id="211" w:name="_Toc11926807"/>
      <w:bookmarkStart w:id="212" w:name="_Toc11930040"/>
      <w:bookmarkStart w:id="213" w:name="_Toc16075356"/>
      <w:bookmarkStart w:id="214" w:name="_Toc16236979"/>
      <w:r w:rsidRPr="005A0ED3">
        <w:rPr>
          <w:rFonts w:ascii="Arial" w:hAnsi="Arial" w:cs="Arial"/>
          <w:b/>
          <w:color w:val="000000" w:themeColor="text1"/>
          <w:sz w:val="28"/>
          <w:szCs w:val="28"/>
        </w:rPr>
        <w:t>Isoluminance testing</w:t>
      </w:r>
      <w:bookmarkEnd w:id="208"/>
      <w:bookmarkEnd w:id="209"/>
      <w:bookmarkEnd w:id="210"/>
      <w:bookmarkEnd w:id="211"/>
      <w:bookmarkEnd w:id="212"/>
      <w:bookmarkEnd w:id="213"/>
      <w:bookmarkEnd w:id="214"/>
    </w:p>
    <w:p w14:paraId="3ADC6899" w14:textId="77777777" w:rsidR="005A0ED3" w:rsidRPr="005A0ED3" w:rsidRDefault="005A0ED3" w:rsidP="005A0ED3"/>
    <w:p w14:paraId="34A5938B" w14:textId="6BCF74D9" w:rsidR="000C73FA" w:rsidRPr="00225AB0" w:rsidRDefault="000C73FA" w:rsidP="000C73FA">
      <w:pPr>
        <w:spacing w:line="480" w:lineRule="auto"/>
        <w:rPr>
          <w:rFonts w:ascii="Arial" w:hAnsi="Arial" w:cs="Arial"/>
        </w:rPr>
      </w:pPr>
      <w:r w:rsidRPr="00225AB0">
        <w:rPr>
          <w:rFonts w:ascii="Arial" w:hAnsi="Arial" w:cs="Arial"/>
        </w:rPr>
        <w:t xml:space="preserve">Isoluminance refers to chromatic stimuli in which the contributing colours (e.g. red-green) have been carefully equated in luminance so that they stimulate only colour- and not luminance-sensitive mechanisms </w:t>
      </w:r>
      <w:r w:rsidRPr="00225AB0">
        <w:rPr>
          <w:rFonts w:ascii="Arial" w:hAnsi="Arial" w:cs="Arial"/>
        </w:rPr>
        <w:fldChar w:fldCharType="begin"/>
      </w:r>
      <w:r w:rsidR="005B4361">
        <w:rPr>
          <w:rFonts w:ascii="Arial" w:hAnsi="Arial" w:cs="Arial"/>
        </w:rPr>
        <w:instrText xml:space="preserve"> ADDIN ZOTERO_ITEM CSL_CITATION {"citationID":"wx1vCWZt","properties":{"formattedCitation":"(Anstis &amp; Cavanagh, 1983; Lu, Lesmes, &amp; Sperling, 1999)","plainCitation":"(Anstis &amp; Cavanagh, 1983; Lu, Lesmes, &amp; Sperling, 1999)","noteIndex":0},"citationItems":[{"id":145,"uris":["http://zotero.org/groups/318634/items/6445XCKN"],"uri":["http://zotero.org/groups/318634/items/6445XCKN"],"itemData":{"id":145,"type":"book","title":"A minimum motion technique for judging equiluminance","publisher":"York University","author":[{"family":"Anstis","given":"Stuart"},{"family":"Cavanagh","given":"Patrick"}],"issued":{"date-parts":[["1983"]]}}},{"id":146,"uris":["http://zotero.org/groups/318634/items/9DNB2HEY"],"uri":["http://zotero.org/groups/318634/items/9DNB2HEY"],"itemData":{"id":146,"type":"article-journal","title":"The mechanism of isoluminant chromatic motion perception","container-title":"Proceedings of the National Academy of Sciences of the United States of America","page":"8289-8294","volume":"96","issue":"14","source":"PubMed Central","abstract":"An isoluminant chromatic display is a color display in which the component colors have been so carefully equated in luminance that they stimulate only color-sensitive perceptual mechanisms and not luminance-sensitive mechanisms. The nature of the mechanism by which isoluminant chromatic motion is perceived is an important issue because color and motion processing historically have been associated with different neural pathways. Here we show that isoluminant chromatic motion (i) fails a pedestal test, (ii) has a temporal tuning function that declines to half-amplitude at 3–6 Hz, and (iii) is perceived equally well when the entire motion sequence is presented monocularly (entire motion sequence to one eye) versus interocularly (the frames of motion sequence alternate between eyes so that neither eye individually could perceive motion). These three characteristics indicate that chromatic motion is detected by the third-order motion system. Based on this theory, it was possible to take a moving isoluminant red–green grating and, by simply increasing the chromatic contrast of the green component, to generate the full gamut of motion percepts, from compelling smooth motion to motion standstill. The perception of motion standstill when the third-order mechanism is nullified indicates that there is no other motion computation available for purely chromatic motion. It follows that isoluminant chromatic motion is not computed by specialized chromatic motion mechanisms within a color pathway but by the third-order motion system at a brain level where binocular inputs of form, color, depth, and texture are simultaneously available and where selective attention can exert a major influence.","ISSN":"0027-8424","note":"PMID: 10393987\nPMCID: PMC22227","journalAbbreviation":"Proc Natl Acad Sci U S A","author":[{"family":"Lu","given":"Zhong-Lin"},{"family":"Lesmes","given":"Luis A."},{"family":"Sperling","given":"George"}],"issued":{"date-parts":[["1999",7,6]]}}}],"schema":"https://github.com/citation-style-language/schema/raw/master/csl-citation.json"} </w:instrText>
      </w:r>
      <w:r w:rsidRPr="00225AB0">
        <w:rPr>
          <w:rFonts w:ascii="Arial" w:hAnsi="Arial" w:cs="Arial"/>
        </w:rPr>
        <w:fldChar w:fldCharType="separate"/>
      </w:r>
      <w:r w:rsidRPr="00225AB0">
        <w:rPr>
          <w:rFonts w:ascii="Arial" w:hAnsi="Arial" w:cs="Arial"/>
          <w:noProof/>
        </w:rPr>
        <w:t>(Anstis &amp; Cavanagh, 1983; Lu, Lesmes, &amp; Sperling, 1999)</w:t>
      </w:r>
      <w:r w:rsidRPr="00225AB0">
        <w:rPr>
          <w:rFonts w:ascii="Arial" w:hAnsi="Arial" w:cs="Arial"/>
        </w:rPr>
        <w:fldChar w:fldCharType="end"/>
      </w:r>
      <w:r w:rsidRPr="00225AB0">
        <w:rPr>
          <w:rFonts w:ascii="Arial" w:hAnsi="Arial" w:cs="Arial"/>
        </w:rPr>
        <w:t xml:space="preserve">. </w:t>
      </w:r>
      <w:r w:rsidR="006672D3">
        <w:rPr>
          <w:rFonts w:ascii="Arial" w:hAnsi="Arial" w:cs="Arial"/>
        </w:rPr>
        <w:t>Humans</w:t>
      </w:r>
      <w:r w:rsidR="006672D3" w:rsidRPr="00225AB0">
        <w:rPr>
          <w:rFonts w:ascii="Arial" w:hAnsi="Arial" w:cs="Arial"/>
        </w:rPr>
        <w:t xml:space="preserve"> </w:t>
      </w:r>
      <w:r w:rsidR="006672D3">
        <w:rPr>
          <w:rFonts w:ascii="Arial" w:hAnsi="Arial" w:cs="Arial"/>
        </w:rPr>
        <w:t>vary in the</w:t>
      </w:r>
      <w:r w:rsidRPr="00225AB0">
        <w:rPr>
          <w:rFonts w:ascii="Arial" w:hAnsi="Arial" w:cs="Arial"/>
        </w:rPr>
        <w:t xml:space="preserve"> amounts of retinal pigmentation, the ratio </w:t>
      </w:r>
      <w:r w:rsidR="00784C60">
        <w:rPr>
          <w:rFonts w:ascii="Arial" w:hAnsi="Arial" w:cs="Arial"/>
        </w:rPr>
        <w:t xml:space="preserve">and sensitivities </w:t>
      </w:r>
      <w:r w:rsidRPr="00225AB0">
        <w:rPr>
          <w:rFonts w:ascii="Arial" w:hAnsi="Arial" w:cs="Arial"/>
        </w:rPr>
        <w:t xml:space="preserve">of cone photoreceptor types </w:t>
      </w:r>
      <w:r w:rsidR="00D44AC6">
        <w:rPr>
          <w:rFonts w:ascii="Arial" w:hAnsi="Arial" w:cs="Arial"/>
        </w:rPr>
        <w:t>in</w:t>
      </w:r>
      <w:r w:rsidRPr="00225AB0">
        <w:rPr>
          <w:rFonts w:ascii="Arial" w:hAnsi="Arial" w:cs="Arial"/>
        </w:rPr>
        <w:t xml:space="preserve"> the retina and random variation in neuronal responses </w:t>
      </w:r>
      <w:r w:rsidRPr="00225AB0">
        <w:rPr>
          <w:rFonts w:ascii="Arial" w:hAnsi="Arial" w:cs="Arial"/>
        </w:rPr>
        <w:fldChar w:fldCharType="begin"/>
      </w:r>
      <w:r w:rsidR="005B4361">
        <w:rPr>
          <w:rFonts w:ascii="Arial" w:hAnsi="Arial" w:cs="Arial"/>
        </w:rPr>
        <w:instrText xml:space="preserve"> ADDIN ZOTERO_ITEM CSL_CITATION {"citationID":"6Rdd193H","properties":{"formattedCitation":"(Roorda &amp; Williams, 1999; Sumner, 2006)","plainCitation":"(Roorda &amp; Williams, 1999; Sumner, 2006)","noteIndex":0},"citationItems":[{"id":9,"uris":["http://zotero.org/groups/318634/items/FNCH3AI9"],"uri":["http://zotero.org/groups/318634/items/FNCH3AI9"],"itemData":{"id":9,"type":"article-journal","title":"The arrangement of the three cone classes in the living human eye","container-title":"Nature","page":"520-522","volume":"397","issue":"6719","source":"PubMed","abstract":"Human colour vision depends on three classes of receptor, the short- (S), medium- (M), and long- (L) wavelength-sensitive cones. These cone classes are interleaved in a single mosaic so that, at each point in the retina, only a single class of cone samples the retinal image. As a consequence, observers with normal trichromatic colour vision are necessarily colour blind on a local spatial scale. The limits this places on vision depend on the relative numbers and arrangement of cones. Although the topography of human S cones is known, the human L- and M-cone submosaics have resisted analysis. Adaptive optics, a technique used to overcome blur in ground-based telescopes, can also overcome blur in the eye, allowing the sharpest images ever taken of the living retina. Here we combine adaptive optics and retinal densitometry to obtain what are, to our knowledge, the first images of the arrangement of S, M and L cones in the living human eye. The proportion of L to M cones is strikingly different in two male subjects, each of whom has normal colour vision. The mosaics of both subjects have large patches in which either M or L cones are missing. This arrangement reduces the eye's ability to recover colour variations of high spatial frequency in the environment but may improve the recovery of luminance variations of high spatial frequency.","DOI":"10.1038/17383","ISSN":"0028-0836","note":"PMID: 10028967","journalAbbreviation":"Nature","language":"eng","author":[{"family":"Roorda","given":"A."},{"family":"Williams","given":"D. R."}],"issued":{"date-parts":[["1999",2,11]]}}},{"id":104,"uris":["http://zotero.org/groups/318634/items/4UIBDUMB"],"uri":["http://zotero.org/groups/318634/items/4UIBDUMB"],"itemData":{"id":104,"type":"article-journal","title":"Seeing colour","container-title":"Advances in Clinical Neuroscience and Rehabilitation","page":"12-13","volume":"6","issue":"3","author":[{"family":"Sumner","given":"Petroc"}],"issued":{"date-parts":[["2006"]]}}}],"schema":"https://github.com/citation-style-language/schema/raw/master/csl-citation.json"} </w:instrText>
      </w:r>
      <w:r w:rsidRPr="00225AB0">
        <w:rPr>
          <w:rFonts w:ascii="Arial" w:hAnsi="Arial" w:cs="Arial"/>
        </w:rPr>
        <w:fldChar w:fldCharType="separate"/>
      </w:r>
      <w:r w:rsidR="00784C60">
        <w:rPr>
          <w:rFonts w:ascii="Arial" w:hAnsi="Arial" w:cs="Arial"/>
          <w:noProof/>
        </w:rPr>
        <w:t>(Roorda &amp; Williams, 1999; Sumner, 2006)</w:t>
      </w:r>
      <w:r w:rsidRPr="00225AB0">
        <w:rPr>
          <w:rFonts w:ascii="Arial" w:hAnsi="Arial" w:cs="Arial"/>
        </w:rPr>
        <w:fldChar w:fldCharType="end"/>
      </w:r>
      <w:r w:rsidRPr="00225AB0">
        <w:rPr>
          <w:rFonts w:ascii="Arial" w:hAnsi="Arial" w:cs="Arial"/>
        </w:rPr>
        <w:t xml:space="preserve">. It is therefore important to </w:t>
      </w:r>
      <w:r w:rsidR="006672D3">
        <w:rPr>
          <w:rFonts w:ascii="Arial" w:hAnsi="Arial" w:cs="Arial"/>
        </w:rPr>
        <w:t>calibrate chromatic stimuli perceptually to remove ‘stray</w:t>
      </w:r>
      <w:r w:rsidR="00AC2195">
        <w:rPr>
          <w:rFonts w:ascii="Arial" w:hAnsi="Arial" w:cs="Arial"/>
        </w:rPr>
        <w:t xml:space="preserve">’ </w:t>
      </w:r>
      <w:r w:rsidR="00AC2195" w:rsidRPr="00225AB0">
        <w:rPr>
          <w:rFonts w:ascii="Arial" w:hAnsi="Arial" w:cs="Arial"/>
        </w:rPr>
        <w:t>luminance</w:t>
      </w:r>
      <w:r w:rsidRPr="00225AB0">
        <w:rPr>
          <w:rFonts w:ascii="Arial" w:hAnsi="Arial" w:cs="Arial"/>
        </w:rPr>
        <w:t xml:space="preserve"> signal</w:t>
      </w:r>
      <w:r w:rsidR="006672D3">
        <w:rPr>
          <w:rFonts w:ascii="Arial" w:hAnsi="Arial" w:cs="Arial"/>
        </w:rPr>
        <w:t>s</w:t>
      </w:r>
      <w:r w:rsidRPr="00225AB0">
        <w:rPr>
          <w:rFonts w:ascii="Arial" w:hAnsi="Arial" w:cs="Arial"/>
        </w:rPr>
        <w:t xml:space="preserve"> (L+M). To achieve this, </w:t>
      </w:r>
      <w:r w:rsidR="00D44AC6">
        <w:rPr>
          <w:rFonts w:ascii="Arial" w:hAnsi="Arial" w:cs="Arial"/>
        </w:rPr>
        <w:t>in</w:t>
      </w:r>
      <w:r w:rsidRPr="00225AB0">
        <w:rPr>
          <w:rFonts w:ascii="Arial" w:hAnsi="Arial" w:cs="Arial"/>
        </w:rPr>
        <w:t xml:space="preserve"> </w:t>
      </w:r>
      <w:r w:rsidRPr="00225AB0">
        <w:rPr>
          <w:rFonts w:ascii="Arial" w:hAnsi="Arial" w:cs="Arial"/>
          <w:i/>
        </w:rPr>
        <w:t>Chapter 5</w:t>
      </w:r>
      <w:r w:rsidRPr="00225AB0">
        <w:rPr>
          <w:rFonts w:ascii="Arial" w:hAnsi="Arial" w:cs="Arial"/>
        </w:rPr>
        <w:t>, our participants completed isoluminance (minimum motion testing).</w:t>
      </w:r>
    </w:p>
    <w:p w14:paraId="3569A4A8" w14:textId="4238EEB1" w:rsidR="000C73FA" w:rsidRDefault="000C73FA" w:rsidP="000C73FA">
      <w:pPr>
        <w:spacing w:line="480" w:lineRule="auto"/>
        <w:rPr>
          <w:rFonts w:ascii="Arial" w:hAnsi="Arial" w:cs="Arial"/>
        </w:rPr>
      </w:pPr>
      <w:r w:rsidRPr="00170639">
        <w:rPr>
          <w:rFonts w:ascii="Arial" w:hAnsi="Arial" w:cs="Arial"/>
        </w:rPr>
        <w:lastRenderedPageBreak/>
        <w:t>Evidence</w:t>
      </w:r>
      <w:r w:rsidRPr="00B050E8">
        <w:rPr>
          <w:rFonts w:ascii="Arial" w:hAnsi="Arial" w:cs="Arial"/>
        </w:rPr>
        <w:t xml:space="preserve"> suggests</w:t>
      </w:r>
      <w:r w:rsidRPr="00225AB0">
        <w:rPr>
          <w:rFonts w:ascii="Arial" w:hAnsi="Arial" w:cs="Arial"/>
        </w:rPr>
        <w:t xml:space="preserve"> that colour and motion signals are processed in separate neural pathways </w:t>
      </w:r>
      <w:r w:rsidRPr="00225AB0">
        <w:rPr>
          <w:rFonts w:ascii="Arial" w:hAnsi="Arial" w:cs="Arial"/>
        </w:rPr>
        <w:fldChar w:fldCharType="begin"/>
      </w:r>
      <w:r w:rsidR="005B4361">
        <w:rPr>
          <w:rFonts w:ascii="Arial" w:hAnsi="Arial" w:cs="Arial"/>
        </w:rPr>
        <w:instrText xml:space="preserve"> ADDIN ZOTERO_ITEM CSL_CITATION {"citationID":"slATmYW9","properties":{"formattedCitation":"(Zihl, von Cramon, Mai, &amp; Schmid, 1991)","plainCitation":"(Zihl, von Cramon, Mai, &amp; Schmid, 1991)","noteIndex":0},"citationItems":[{"id":137,"uris":["http://zotero.org/groups/318634/items/I6TMGMFD"],"uri":["http://zotero.org/groups/318634/items/I6TMGMFD"],"itemData":{"id":137,"type":"article-journal","title":"Disturbance of movement vision after bilateral posterior brain damage. Further evidence and follow up observations","container-title":"Brain: A Journal of Neurology","page":"2235-2252","volume":"114 ( Pt 5)","source":"PubMed","abstract":"In 1983 we reported in this Journal a patient who suffered a disturbance of movement vision in a relatively pure form. This uncommon cerebral visual deficit resulted as a consequence of bilateral brain damage affecting the lateral temporo-occipital cortex and the underlying white matter. In this paper we present further evidence for the selectivity of the movement vision deficit. Furthermore, follow-up examination did not reveal any significant change which indicates that the disorder appears irreversible. Magnetic Resonance Imaging (MRI) shows bilateral lesions involving the upper (cranial) part of the occipital gyri and the adjacent portion of the middle temporal gyri, with the main focus of damage in the upper (cranial) banks of the anterior occipital sulcus. In addition, cortico-cortical fibre pathways interconnecting occipital, temporal and parietal 'visual' areas are also affected bilaterally. The selectivity of the movement vision deficit and the irreversibility of the disorder strongly support the idea that movement vision is a separate function which is subserved by a visual pathway specialized for the processing of visual motion.","DOI":"10.1093/brain/114.5.2235","ISSN":"0006-8950","note":"PMID: 1933243","journalAbbreviation":"Brain","language":"eng","author":[{"family":"Zihl","given":"J."},{"family":"Cramon","given":"D.","non-dropping-particle":"von"},{"family":"Mai","given":"N."},{"family":"Schmid","given":"C."}],"issued":{"date-parts":[["1991",10]]}}}],"schema":"https://github.com/citation-style-language/schema/raw/master/csl-citation.json"} </w:instrText>
      </w:r>
      <w:r w:rsidRPr="00225AB0">
        <w:rPr>
          <w:rFonts w:ascii="Arial" w:hAnsi="Arial" w:cs="Arial"/>
        </w:rPr>
        <w:fldChar w:fldCharType="separate"/>
      </w:r>
      <w:r w:rsidRPr="00225AB0">
        <w:rPr>
          <w:rFonts w:ascii="Arial" w:hAnsi="Arial" w:cs="Arial"/>
          <w:noProof/>
        </w:rPr>
        <w:t>(Zihl, von Cramon, Mai, &amp; Schmid, 1991)</w:t>
      </w:r>
      <w:r w:rsidRPr="00225AB0">
        <w:rPr>
          <w:rFonts w:ascii="Arial" w:hAnsi="Arial" w:cs="Arial"/>
        </w:rPr>
        <w:fldChar w:fldCharType="end"/>
      </w:r>
      <w:r w:rsidRPr="00225AB0">
        <w:rPr>
          <w:rFonts w:ascii="Arial" w:hAnsi="Arial" w:cs="Arial"/>
        </w:rPr>
        <w:t>. This suggests that motion cannot be perceived in perfectly isoluminan</w:t>
      </w:r>
      <w:r w:rsidR="00827DE2">
        <w:rPr>
          <w:rFonts w:ascii="Arial" w:hAnsi="Arial" w:cs="Arial"/>
        </w:rPr>
        <w:t>t</w:t>
      </w:r>
      <w:r w:rsidRPr="00225AB0">
        <w:rPr>
          <w:rFonts w:ascii="Arial" w:hAnsi="Arial" w:cs="Arial"/>
        </w:rPr>
        <w:t xml:space="preserve"> chromatic stimuli. </w:t>
      </w:r>
      <w:r w:rsidR="006672D3">
        <w:rPr>
          <w:rFonts w:ascii="Arial" w:hAnsi="Arial" w:cs="Arial"/>
        </w:rPr>
        <w:t>In</w:t>
      </w:r>
      <w:r w:rsidRPr="00225AB0">
        <w:rPr>
          <w:rFonts w:ascii="Arial" w:hAnsi="Arial" w:cs="Arial"/>
        </w:rPr>
        <w:t xml:space="preserve"> isoluminance </w:t>
      </w:r>
      <w:r w:rsidR="006672D3">
        <w:rPr>
          <w:rFonts w:ascii="Arial" w:hAnsi="Arial" w:cs="Arial"/>
        </w:rPr>
        <w:t>experiment</w:t>
      </w:r>
      <w:r w:rsidR="00F151B6">
        <w:rPr>
          <w:rFonts w:ascii="Arial" w:hAnsi="Arial" w:cs="Arial"/>
        </w:rPr>
        <w:t>s</w:t>
      </w:r>
      <w:r w:rsidRPr="00225AB0">
        <w:rPr>
          <w:rFonts w:ascii="Arial" w:hAnsi="Arial" w:cs="Arial"/>
        </w:rPr>
        <w:t xml:space="preserve">, participants equate the amount of luminance in a particular chromatic channel (e.g. they equate the luminance of the red and green aspects of a L-M stimulus), until no motion is detected. </w:t>
      </w:r>
      <w:r w:rsidR="00B768E2">
        <w:rPr>
          <w:rFonts w:ascii="Arial" w:hAnsi="Arial" w:cs="Arial"/>
        </w:rPr>
        <w:t>We implement this by allowing p</w:t>
      </w:r>
      <w:r w:rsidR="00B768E2" w:rsidRPr="00225AB0">
        <w:rPr>
          <w:rFonts w:ascii="Arial" w:hAnsi="Arial" w:cs="Arial"/>
        </w:rPr>
        <w:t xml:space="preserve">articipants </w:t>
      </w:r>
      <w:r w:rsidR="00B768E2">
        <w:rPr>
          <w:rFonts w:ascii="Arial" w:hAnsi="Arial" w:cs="Arial"/>
        </w:rPr>
        <w:t xml:space="preserve">to </w:t>
      </w:r>
      <w:r w:rsidRPr="00225AB0">
        <w:rPr>
          <w:rFonts w:ascii="Arial" w:hAnsi="Arial" w:cs="Arial"/>
        </w:rPr>
        <w:t xml:space="preserve">alter the angle </w:t>
      </w:r>
      <w:r w:rsidR="00B768E2">
        <w:rPr>
          <w:rFonts w:ascii="Arial" w:hAnsi="Arial" w:cs="Arial"/>
        </w:rPr>
        <w:t>‘</w:t>
      </w:r>
      <w:r w:rsidRPr="00225AB0">
        <w:rPr>
          <w:rFonts w:ascii="Arial" w:hAnsi="Arial" w:cs="Arial"/>
        </w:rPr>
        <w:t>θ</w:t>
      </w:r>
      <w:r w:rsidR="00B768E2">
        <w:rPr>
          <w:rFonts w:ascii="Arial" w:hAnsi="Arial" w:cs="Arial"/>
        </w:rPr>
        <w:t>’</w:t>
      </w:r>
      <w:r w:rsidR="00293113">
        <w:rPr>
          <w:rFonts w:ascii="Arial" w:hAnsi="Arial" w:cs="Arial"/>
        </w:rPr>
        <w:t xml:space="preserve"> </w:t>
      </w:r>
      <w:r w:rsidR="00B768E2">
        <w:rPr>
          <w:rFonts w:ascii="Arial" w:hAnsi="Arial" w:cs="Arial"/>
        </w:rPr>
        <w:t xml:space="preserve">of the stimulus vector in MacLeod Boynton </w:t>
      </w:r>
      <w:r w:rsidR="00F151B6">
        <w:rPr>
          <w:rFonts w:ascii="Arial" w:hAnsi="Arial" w:cs="Arial"/>
        </w:rPr>
        <w:t>space -</w:t>
      </w:r>
      <w:r w:rsidR="00B768E2">
        <w:rPr>
          <w:rFonts w:ascii="Arial" w:hAnsi="Arial" w:cs="Arial"/>
        </w:rPr>
        <w:t xml:space="preserve"> effectively changing the ratio of L to M cone excitation </w:t>
      </w:r>
      <w:r w:rsidR="00293113">
        <w:rPr>
          <w:rFonts w:ascii="Arial" w:hAnsi="Arial" w:cs="Arial"/>
        </w:rPr>
        <w:t xml:space="preserve">(see Figure 2.4). </w:t>
      </w:r>
    </w:p>
    <w:p w14:paraId="30DEA3DD" w14:textId="0127E989" w:rsidR="00CC7DCB" w:rsidRDefault="00CC7DCB" w:rsidP="000C73FA">
      <w:pPr>
        <w:spacing w:line="480" w:lineRule="auto"/>
        <w:rPr>
          <w:rFonts w:ascii="Arial" w:hAnsi="Arial" w:cs="Arial"/>
        </w:rPr>
      </w:pPr>
    </w:p>
    <w:p w14:paraId="68411F2A" w14:textId="1D29E055" w:rsidR="00293113" w:rsidRPr="00225AB0" w:rsidRDefault="006F425C" w:rsidP="000C73FA">
      <w:pPr>
        <w:spacing w:line="480" w:lineRule="auto"/>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787264" behindDoc="0" locked="0" layoutInCell="1" allowOverlap="1" wp14:anchorId="31F21A01" wp14:editId="69EC8414">
                <wp:simplePos x="0" y="0"/>
                <wp:positionH relativeFrom="column">
                  <wp:posOffset>-125095</wp:posOffset>
                </wp:positionH>
                <wp:positionV relativeFrom="paragraph">
                  <wp:posOffset>0</wp:posOffset>
                </wp:positionV>
                <wp:extent cx="5357495" cy="6073775"/>
                <wp:effectExtent l="0" t="0" r="0" b="0"/>
                <wp:wrapSquare wrapText="bothSides"/>
                <wp:docPr id="97" name="Text Box 97"/>
                <wp:cNvGraphicFramePr/>
                <a:graphic xmlns:a="http://schemas.openxmlformats.org/drawingml/2006/main">
                  <a:graphicData uri="http://schemas.microsoft.com/office/word/2010/wordprocessingShape">
                    <wps:wsp>
                      <wps:cNvSpPr txBox="1"/>
                      <wps:spPr>
                        <a:xfrm>
                          <a:off x="0" y="0"/>
                          <a:ext cx="5357495" cy="6073775"/>
                        </a:xfrm>
                        <a:prstGeom prst="rect">
                          <a:avLst/>
                        </a:prstGeom>
                        <a:noFill/>
                        <a:ln w="6350">
                          <a:noFill/>
                        </a:ln>
                      </wps:spPr>
                      <wps:txbx>
                        <w:txbxContent>
                          <w:p w14:paraId="2B231E3B" w14:textId="77777777" w:rsidR="00C93BE0" w:rsidRDefault="00C93BE0" w:rsidP="009F3085">
                            <w:pPr>
                              <w:keepNext/>
                              <w:jc w:val="center"/>
                            </w:pPr>
                            <w:r>
                              <w:rPr>
                                <w:noProof/>
                                <w:lang w:eastAsia="en-GB"/>
                              </w:rPr>
                              <w:drawing>
                                <wp:inline distT="0" distB="0" distL="0" distR="0" wp14:anchorId="20C7259C" wp14:editId="12FA9AE1">
                                  <wp:extent cx="5557836" cy="3929063"/>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igure2.4-isoluminance_theory.png"/>
                                          <pic:cNvPicPr/>
                                        </pic:nvPicPr>
                                        <pic:blipFill>
                                          <a:blip r:embed="rId24">
                                            <a:extLst>
                                              <a:ext uri="{28A0092B-C50C-407E-A947-70E740481C1C}">
                                                <a14:useLocalDpi xmlns:a14="http://schemas.microsoft.com/office/drawing/2010/main" val="0"/>
                                              </a:ext>
                                            </a:extLst>
                                          </a:blip>
                                          <a:stretch>
                                            <a:fillRect/>
                                          </a:stretch>
                                        </pic:blipFill>
                                        <pic:spPr>
                                          <a:xfrm>
                                            <a:off x="0" y="0"/>
                                            <a:ext cx="5577554" cy="3943002"/>
                                          </a:xfrm>
                                          <a:prstGeom prst="rect">
                                            <a:avLst/>
                                          </a:prstGeom>
                                        </pic:spPr>
                                      </pic:pic>
                                    </a:graphicData>
                                  </a:graphic>
                                </wp:inline>
                              </w:drawing>
                            </w:r>
                          </w:p>
                          <w:p w14:paraId="7D4B8D87" w14:textId="0B16CC27" w:rsidR="00C93BE0" w:rsidRPr="00BF6377" w:rsidRDefault="00C93BE0" w:rsidP="009F3085">
                            <w:pPr>
                              <w:spacing w:line="360" w:lineRule="auto"/>
                              <w:jc w:val="both"/>
                              <w:rPr>
                                <w:rFonts w:ascii="Arial" w:hAnsi="Arial" w:cs="Arial"/>
                              </w:rPr>
                            </w:pPr>
                            <w:bookmarkStart w:id="215" w:name="_Toc12363340"/>
                            <w:bookmarkStart w:id="216" w:name="_Toc16242697"/>
                            <w:r w:rsidRPr="00BF6377">
                              <w:rPr>
                                <w:rFonts w:ascii="Arial" w:hAnsi="Arial" w:cs="Arial"/>
                                <w:b/>
                              </w:rPr>
                              <w:t xml:space="preserve">Figure </w:t>
                            </w:r>
                            <w:r>
                              <w:rPr>
                                <w:rFonts w:ascii="Arial" w:hAnsi="Arial" w:cs="Arial"/>
                                <w:b/>
                              </w:rPr>
                              <w:fldChar w:fldCharType="begin"/>
                            </w:r>
                            <w:r>
                              <w:rPr>
                                <w:rFonts w:ascii="Arial" w:hAnsi="Arial" w:cs="Arial"/>
                                <w:b/>
                              </w:rPr>
                              <w:instrText xml:space="preserve"> STYLEREF 1 \s </w:instrText>
                            </w:r>
                            <w:r>
                              <w:rPr>
                                <w:rFonts w:ascii="Arial" w:hAnsi="Arial" w:cs="Arial"/>
                                <w:b/>
                              </w:rPr>
                              <w:fldChar w:fldCharType="separate"/>
                            </w:r>
                            <w:r>
                              <w:rPr>
                                <w:rFonts w:ascii="Arial" w:hAnsi="Arial" w:cs="Arial"/>
                                <w:b/>
                                <w:noProof/>
                              </w:rPr>
                              <w:t>2</w:t>
                            </w:r>
                            <w:r>
                              <w:rPr>
                                <w:rFonts w:ascii="Arial" w:hAnsi="Arial" w:cs="Arial"/>
                                <w:b/>
                              </w:rPr>
                              <w:fldChar w:fldCharType="end"/>
                            </w:r>
                            <w:r>
                              <w:rPr>
                                <w:rFonts w:ascii="Arial" w:hAnsi="Arial" w:cs="Arial"/>
                                <w:b/>
                              </w:rPr>
                              <w:t>.</w:t>
                            </w:r>
                            <w:r>
                              <w:rPr>
                                <w:rFonts w:ascii="Arial" w:hAnsi="Arial" w:cs="Arial"/>
                                <w:b/>
                              </w:rPr>
                              <w:fldChar w:fldCharType="begin"/>
                            </w:r>
                            <w:r>
                              <w:rPr>
                                <w:rFonts w:ascii="Arial" w:hAnsi="Arial" w:cs="Arial"/>
                                <w:b/>
                              </w:rPr>
                              <w:instrText xml:space="preserve"> SEQ Figure \* ARABIC \s 1 </w:instrText>
                            </w:r>
                            <w:r>
                              <w:rPr>
                                <w:rFonts w:ascii="Arial" w:hAnsi="Arial" w:cs="Arial"/>
                                <w:b/>
                              </w:rPr>
                              <w:fldChar w:fldCharType="separate"/>
                            </w:r>
                            <w:r>
                              <w:rPr>
                                <w:rFonts w:ascii="Arial" w:hAnsi="Arial" w:cs="Arial"/>
                                <w:b/>
                                <w:noProof/>
                              </w:rPr>
                              <w:t>4</w:t>
                            </w:r>
                            <w:r>
                              <w:rPr>
                                <w:rFonts w:ascii="Arial" w:hAnsi="Arial" w:cs="Arial"/>
                                <w:b/>
                              </w:rPr>
                              <w:fldChar w:fldCharType="end"/>
                            </w:r>
                            <w:r w:rsidRPr="00BF6377">
                              <w:rPr>
                                <w:rFonts w:ascii="Arial" w:hAnsi="Arial" w:cs="Arial"/>
                              </w:rPr>
                              <w:t xml:space="preserve"> </w:t>
                            </w:r>
                            <w:r w:rsidRPr="00827DE2">
                              <w:rPr>
                                <w:rFonts w:ascii="Arial" w:hAnsi="Arial" w:cs="Arial"/>
                                <w:color w:val="000000" w:themeColor="text1"/>
                              </w:rPr>
                              <w:t xml:space="preserve">Three-dimensional colour space used to define the point of isoluminance. Alteration of the elevation parameter (θ) changes the amount of luminance present within a chromatic signal. Isoluminance testing asks participants to alter the angle of θ until a flickering/moving stimulus is no longer visible- the point at which luminance information within the two aspects of a chromatic stimulus is equated). Isoluminance testing is performed for red-green and blue-yellow (tritan) defined stimuli </w:t>
                            </w:r>
                            <w:r w:rsidRPr="00827DE2">
                              <w:rPr>
                                <w:rFonts w:ascii="Arial" w:hAnsi="Arial" w:cs="Arial"/>
                                <w:color w:val="000000" w:themeColor="text1"/>
                              </w:rPr>
                              <w:fldChar w:fldCharType="begin"/>
                            </w:r>
                            <w:r w:rsidRPr="00827DE2">
                              <w:rPr>
                                <w:rFonts w:ascii="Arial" w:hAnsi="Arial" w:cs="Arial"/>
                                <w:color w:val="000000" w:themeColor="text1"/>
                              </w:rPr>
                              <w:instrText xml:space="preserve"> ADDIN ZOTERO_ITEM CSL_CITATION {"citationID":"NzH8pBoi","properties":{"formattedCitation":"(Palmer, Mobley, &amp; Teller, 1993)","plainCitation":"(Palmer, Mobley, &amp; Teller, 1993)","noteIndex":0},"citationItems":[{"id":1039,"uris":["http://zotero.org/groups/318634/items/5VBUPHHK"],"uri":["http://zotero.org/groups/318634/items/5VBUPHHK"],"itemData":{"id":1039,"type":"article-journal","title":"Motion at isoluminance: discrimination/detection ratios and the summation of luminance and chromatic signals","container-title":"Journal of the Optical Society of America. A, Optics and Image Science","page":"1353-1362","volume":"10","issue":"6","source":"PubMed","abstract":"Under some conditions, direction-of-motion thresholds are elevated with respect to detection thresholds for isoluminant chromatic stimuli. In the present study we investigated the effect of small luminance mismatches on ratios of direction-of-motion thresholds to detection thresholds (M/D ratios). The stimuli were 2 deg x 2 deg patches of a moving 1-cycle/deg, 2.75-deg/s sinusoidal grating, modulated spatially in luminance, chromaticity, or both. M/D ratios were close to 1 except when luminance modulation was &lt; 1%, defined with respect to the individual subject's isoluminance point; in this range M/D ratios varied from 1.5 to 4.4. Sets of thresholds for both detection and motion tasks conformed approximately to ellipses. Thus, although motion processing shows a differential loss of sensitivity at isoluminance, similar summation rules appear to apply to the combination of luminance and chromatic signals for both tasks.","ISSN":"0740-3232","note":"PMID: 8320593","title-short":"Motion at isoluminance","journalAbbreviation":"J Opt Soc Am A","language":"eng","author":[{"family":"Palmer","given":"J."},{"family":"Mobley","given":"L. A."},{"family":"Teller","given":"D. Y."}],"issued":{"date-parts":[["1993",6]]}}}],"schema":"https://github.com/citation-style-language/schema/raw/master/csl-citation.json"} </w:instrText>
                            </w:r>
                            <w:r w:rsidRPr="00827DE2">
                              <w:rPr>
                                <w:rFonts w:ascii="Arial" w:hAnsi="Arial" w:cs="Arial"/>
                                <w:color w:val="000000" w:themeColor="text1"/>
                              </w:rPr>
                              <w:fldChar w:fldCharType="separate"/>
                            </w:r>
                            <w:r w:rsidRPr="00827DE2">
                              <w:rPr>
                                <w:rFonts w:ascii="Arial" w:hAnsi="Arial" w:cs="Arial"/>
                                <w:noProof/>
                                <w:color w:val="000000" w:themeColor="text1"/>
                              </w:rPr>
                              <w:t>(</w:t>
                            </w:r>
                            <w:r>
                              <w:rPr>
                                <w:rFonts w:ascii="Arial" w:hAnsi="Arial" w:cs="Arial"/>
                                <w:noProof/>
                                <w:color w:val="000000" w:themeColor="text1"/>
                              </w:rPr>
                              <w:t xml:space="preserve">Figure from </w:t>
                            </w:r>
                            <w:r w:rsidRPr="00827DE2">
                              <w:rPr>
                                <w:rFonts w:ascii="Arial" w:hAnsi="Arial" w:cs="Arial"/>
                                <w:noProof/>
                                <w:color w:val="000000" w:themeColor="text1"/>
                              </w:rPr>
                              <w:t>Palmer, Mobley, &amp; Teller, 1993)</w:t>
                            </w:r>
                            <w:r w:rsidRPr="00827DE2">
                              <w:rPr>
                                <w:rFonts w:ascii="Arial" w:hAnsi="Arial" w:cs="Arial"/>
                                <w:color w:val="000000" w:themeColor="text1"/>
                              </w:rPr>
                              <w:fldChar w:fldCharType="end"/>
                            </w:r>
                            <w:r w:rsidRPr="00827DE2">
                              <w:rPr>
                                <w:rFonts w:ascii="Arial" w:hAnsi="Arial" w:cs="Arial"/>
                                <w:color w:val="000000" w:themeColor="text1"/>
                              </w:rPr>
                              <w:t>.</w:t>
                            </w:r>
                            <w:bookmarkEnd w:id="215"/>
                            <w:bookmarkEnd w:id="216"/>
                            <w:r w:rsidRPr="00827DE2">
                              <w:rPr>
                                <w:rFonts w:ascii="Arial" w:hAnsi="Arial" w:cs="Arial"/>
                                <w:color w:val="000000" w:themeColor="text1"/>
                              </w:rPr>
                              <w:t xml:space="preserve"> </w:t>
                            </w:r>
                          </w:p>
                          <w:p w14:paraId="56817AEA" w14:textId="77777777" w:rsidR="00C93BE0" w:rsidRPr="00BF6377" w:rsidRDefault="00C93BE0" w:rsidP="009F3085">
                            <w:pPr>
                              <w:pStyle w:val="Caption"/>
                              <w:jc w:val="center"/>
                              <w:rPr>
                                <w:i w:val="0"/>
                              </w:rPr>
                            </w:pPr>
                          </w:p>
                          <w:p w14:paraId="40553B0D"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21A01" id="Text Box 97" o:spid="_x0000_s1035" type="#_x0000_t202" style="position:absolute;margin-left:-9.85pt;margin-top:0;width:421.85pt;height:478.2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" filled="f" stroked="f" strokeweight=".5pt">
                <v:textbox>
                  <w:txbxContent>
                    <w:p w14:paraId="2B231E3B" w14:textId="77777777" w:rsidR="00C93BE0" w:rsidRDefault="00C93BE0" w:rsidP="009F3085">
                      <w:pPr>
                        <w:keepNext/>
                        <w:jc w:val="center"/>
                      </w:pPr>
                      <w:r>
                        <w:rPr>
                          <w:noProof/>
                          <w:lang w:eastAsia="en-GB"/>
                        </w:rPr>
                        <w:drawing>
                          <wp:inline distT="0" distB="0" distL="0" distR="0" wp14:anchorId="20C7259C" wp14:editId="12FA9AE1">
                            <wp:extent cx="5557836" cy="3929063"/>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igure2.4-isoluminance_theory.png"/>
                                    <pic:cNvPicPr/>
                                  </pic:nvPicPr>
                                  <pic:blipFill>
                                    <a:blip r:embed="rId25">
                                      <a:extLst>
                                        <a:ext uri="{28A0092B-C50C-407E-A947-70E740481C1C}">
                                          <a14:useLocalDpi xmlns:a14="http://schemas.microsoft.com/office/drawing/2010/main" val="0"/>
                                        </a:ext>
                                      </a:extLst>
                                    </a:blip>
                                    <a:stretch>
                                      <a:fillRect/>
                                    </a:stretch>
                                  </pic:blipFill>
                                  <pic:spPr>
                                    <a:xfrm>
                                      <a:off x="0" y="0"/>
                                      <a:ext cx="5577554" cy="3943002"/>
                                    </a:xfrm>
                                    <a:prstGeom prst="rect">
                                      <a:avLst/>
                                    </a:prstGeom>
                                  </pic:spPr>
                                </pic:pic>
                              </a:graphicData>
                            </a:graphic>
                          </wp:inline>
                        </w:drawing>
                      </w:r>
                    </w:p>
                    <w:p w14:paraId="7D4B8D87" w14:textId="0B16CC27" w:rsidR="00C93BE0" w:rsidRPr="00BF6377" w:rsidRDefault="00C93BE0" w:rsidP="009F3085">
                      <w:pPr>
                        <w:spacing w:line="360" w:lineRule="auto"/>
                        <w:jc w:val="both"/>
                        <w:rPr>
                          <w:rFonts w:ascii="Arial" w:hAnsi="Arial" w:cs="Arial"/>
                        </w:rPr>
                      </w:pPr>
                      <w:bookmarkStart w:id="232" w:name="_Toc12363340"/>
                      <w:bookmarkStart w:id="233" w:name="_Toc16242697"/>
                      <w:r w:rsidRPr="00BF6377">
                        <w:rPr>
                          <w:rFonts w:ascii="Arial" w:hAnsi="Arial" w:cs="Arial"/>
                          <w:b/>
                        </w:rPr>
                        <w:t xml:space="preserve">Figure </w:t>
                      </w:r>
                      <w:r>
                        <w:rPr>
                          <w:rFonts w:ascii="Arial" w:hAnsi="Arial" w:cs="Arial"/>
                          <w:b/>
                        </w:rPr>
                        <w:fldChar w:fldCharType="begin"/>
                      </w:r>
                      <w:r>
                        <w:rPr>
                          <w:rFonts w:ascii="Arial" w:hAnsi="Arial" w:cs="Arial"/>
                          <w:b/>
                        </w:rPr>
                        <w:instrText xml:space="preserve"> STYLEREF 1 \s </w:instrText>
                      </w:r>
                      <w:r>
                        <w:rPr>
                          <w:rFonts w:ascii="Arial" w:hAnsi="Arial" w:cs="Arial"/>
                          <w:b/>
                        </w:rPr>
                        <w:fldChar w:fldCharType="separate"/>
                      </w:r>
                      <w:r>
                        <w:rPr>
                          <w:rFonts w:ascii="Arial" w:hAnsi="Arial" w:cs="Arial"/>
                          <w:b/>
                          <w:noProof/>
                        </w:rPr>
                        <w:t>2</w:t>
                      </w:r>
                      <w:r>
                        <w:rPr>
                          <w:rFonts w:ascii="Arial" w:hAnsi="Arial" w:cs="Arial"/>
                          <w:b/>
                        </w:rPr>
                        <w:fldChar w:fldCharType="end"/>
                      </w:r>
                      <w:r>
                        <w:rPr>
                          <w:rFonts w:ascii="Arial" w:hAnsi="Arial" w:cs="Arial"/>
                          <w:b/>
                        </w:rPr>
                        <w:t>.</w:t>
                      </w:r>
                      <w:r>
                        <w:rPr>
                          <w:rFonts w:ascii="Arial" w:hAnsi="Arial" w:cs="Arial"/>
                          <w:b/>
                        </w:rPr>
                        <w:fldChar w:fldCharType="begin"/>
                      </w:r>
                      <w:r>
                        <w:rPr>
                          <w:rFonts w:ascii="Arial" w:hAnsi="Arial" w:cs="Arial"/>
                          <w:b/>
                        </w:rPr>
                        <w:instrText xml:space="preserve"> SEQ Figure \* ARABIC \s 1 </w:instrText>
                      </w:r>
                      <w:r>
                        <w:rPr>
                          <w:rFonts w:ascii="Arial" w:hAnsi="Arial" w:cs="Arial"/>
                          <w:b/>
                        </w:rPr>
                        <w:fldChar w:fldCharType="separate"/>
                      </w:r>
                      <w:r>
                        <w:rPr>
                          <w:rFonts w:ascii="Arial" w:hAnsi="Arial" w:cs="Arial"/>
                          <w:b/>
                          <w:noProof/>
                        </w:rPr>
                        <w:t>4</w:t>
                      </w:r>
                      <w:r>
                        <w:rPr>
                          <w:rFonts w:ascii="Arial" w:hAnsi="Arial" w:cs="Arial"/>
                          <w:b/>
                        </w:rPr>
                        <w:fldChar w:fldCharType="end"/>
                      </w:r>
                      <w:r w:rsidRPr="00BF6377">
                        <w:rPr>
                          <w:rFonts w:ascii="Arial" w:hAnsi="Arial" w:cs="Arial"/>
                        </w:rPr>
                        <w:t xml:space="preserve"> </w:t>
                      </w:r>
                      <w:r w:rsidRPr="00827DE2">
                        <w:rPr>
                          <w:rFonts w:ascii="Arial" w:hAnsi="Arial" w:cs="Arial"/>
                          <w:color w:val="000000" w:themeColor="text1"/>
                        </w:rPr>
                        <w:t xml:space="preserve">Three-dimensional colour space used to define the point of isoluminance. Alteration of the elevation parameter (θ) changes the amount of luminance present within a chromatic signal. Isoluminance testing asks participants to alter the angle of θ until a flickering/moving stimulus is no longer visible- the point at which luminance information within the two aspects of a chromatic stimulus is equated). Isoluminance testing is performed for red-green and blue-yellow (tritan) defined stimuli </w:t>
                      </w:r>
                      <w:r w:rsidRPr="00827DE2">
                        <w:rPr>
                          <w:rFonts w:ascii="Arial" w:hAnsi="Arial" w:cs="Arial"/>
                          <w:color w:val="000000" w:themeColor="text1"/>
                        </w:rPr>
                        <w:fldChar w:fldCharType="begin"/>
                      </w:r>
                      <w:r w:rsidRPr="00827DE2">
                        <w:rPr>
                          <w:rFonts w:ascii="Arial" w:hAnsi="Arial" w:cs="Arial"/>
                          <w:color w:val="000000" w:themeColor="text1"/>
                        </w:rPr>
                        <w:instrText xml:space="preserve"> ADDIN ZOTERO_ITEM CSL_CITATION {"citationID":"NzH8pBoi","properties":{"formattedCitation":"(Palmer, Mobley, &amp; Teller, 1993)","plainCitation":"(Palmer, Mobley, &amp; Teller, 1993)","noteIndex":0},"citationItems":[{"id":1039,"uris":["http://zotero.org/groups/318634/items/5VBUPHHK"],"uri":["http://zotero.org/groups/318634/items/5VBUPHHK"],"itemData":{"id":1039,"type":"article-journal","title":"Motion at isoluminance: discrimination/detection ratios and the summation of luminance and chromatic signals","container-title":"Journal of the Optical Society of America. A, Optics and Image Science","page":"1353-1362","volume":"10","issue":"6","source":"PubMed","abstract":"Under some conditions, direction-of-motion thresholds are elevated with respect to detection thresholds for isoluminant chromatic stimuli. In the present study we investigated the effect of small luminance mismatches on ratios of direction-of-motion thresholds to detection thresholds (M/D ratios). The stimuli were 2 deg x 2 deg patches of a moving 1-cycle/deg, 2.75-deg/s sinusoidal grating, modulated spatially in luminance, chromaticity, or both. M/D ratios were close to 1 except when luminance modulation was &lt; 1%, defined with respect to the individual subject's isoluminance point; in this range M/D ratios varied from 1.5 to 4.4. Sets of thresholds for both detection and motion tasks conformed approximately to ellipses. Thus, although motion processing shows a differential loss of sensitivity at isoluminance, similar summation rules appear to apply to the combination of luminance and chromatic signals for both tasks.","ISSN":"0740-3232","note":"PMID: 8320593","title-short":"Motion at isoluminance","journalAbbreviation":"J Opt Soc Am A","language":"eng","author":[{"family":"Palmer","given":"J."},{"family":"Mobley","given":"L. A."},{"family":"Teller","given":"D. Y."}],"issued":{"date-parts":[["1993",6]]}}}],"schema":"https://github.com/citation-style-language/schema/raw/master/csl-citation.json"} </w:instrText>
                      </w:r>
                      <w:r w:rsidRPr="00827DE2">
                        <w:rPr>
                          <w:rFonts w:ascii="Arial" w:hAnsi="Arial" w:cs="Arial"/>
                          <w:color w:val="000000" w:themeColor="text1"/>
                        </w:rPr>
                        <w:fldChar w:fldCharType="separate"/>
                      </w:r>
                      <w:r w:rsidRPr="00827DE2">
                        <w:rPr>
                          <w:rFonts w:ascii="Arial" w:hAnsi="Arial" w:cs="Arial"/>
                          <w:noProof/>
                          <w:color w:val="000000" w:themeColor="text1"/>
                        </w:rPr>
                        <w:t>(</w:t>
                      </w:r>
                      <w:r>
                        <w:rPr>
                          <w:rFonts w:ascii="Arial" w:hAnsi="Arial" w:cs="Arial"/>
                          <w:noProof/>
                          <w:color w:val="000000" w:themeColor="text1"/>
                        </w:rPr>
                        <w:t xml:space="preserve">Figure from </w:t>
                      </w:r>
                      <w:r w:rsidRPr="00827DE2">
                        <w:rPr>
                          <w:rFonts w:ascii="Arial" w:hAnsi="Arial" w:cs="Arial"/>
                          <w:noProof/>
                          <w:color w:val="000000" w:themeColor="text1"/>
                        </w:rPr>
                        <w:t>Palmer, Mobley, &amp; Teller, 1993)</w:t>
                      </w:r>
                      <w:r w:rsidRPr="00827DE2">
                        <w:rPr>
                          <w:rFonts w:ascii="Arial" w:hAnsi="Arial" w:cs="Arial"/>
                          <w:color w:val="000000" w:themeColor="text1"/>
                        </w:rPr>
                        <w:fldChar w:fldCharType="end"/>
                      </w:r>
                      <w:r w:rsidRPr="00827DE2">
                        <w:rPr>
                          <w:rFonts w:ascii="Arial" w:hAnsi="Arial" w:cs="Arial"/>
                          <w:color w:val="000000" w:themeColor="text1"/>
                        </w:rPr>
                        <w:t>.</w:t>
                      </w:r>
                      <w:bookmarkEnd w:id="232"/>
                      <w:bookmarkEnd w:id="233"/>
                      <w:r w:rsidRPr="00827DE2">
                        <w:rPr>
                          <w:rFonts w:ascii="Arial" w:hAnsi="Arial" w:cs="Arial"/>
                          <w:color w:val="000000" w:themeColor="text1"/>
                        </w:rPr>
                        <w:t xml:space="preserve"> </w:t>
                      </w:r>
                    </w:p>
                    <w:p w14:paraId="56817AEA" w14:textId="77777777" w:rsidR="00C93BE0" w:rsidRPr="00BF6377" w:rsidRDefault="00C93BE0" w:rsidP="009F3085">
                      <w:pPr>
                        <w:pStyle w:val="Caption"/>
                        <w:jc w:val="center"/>
                        <w:rPr>
                          <w:i w:val="0"/>
                        </w:rPr>
                      </w:pPr>
                    </w:p>
                    <w:p w14:paraId="40553B0D" w14:textId="77777777" w:rsidR="00C93BE0" w:rsidRDefault="00C93BE0" w:rsidP="009F3085">
                      <w:pPr>
                        <w:jc w:val="center"/>
                      </w:pPr>
                    </w:p>
                  </w:txbxContent>
                </v:textbox>
                <w10:wrap type="square"/>
              </v:shape>
            </w:pict>
          </mc:Fallback>
        </mc:AlternateContent>
      </w:r>
    </w:p>
    <w:p w14:paraId="25556BD8" w14:textId="10C2A24B" w:rsidR="000C73FA" w:rsidRPr="00225AB0" w:rsidRDefault="000C73FA" w:rsidP="000C73FA">
      <w:pPr>
        <w:spacing w:line="480" w:lineRule="auto"/>
        <w:rPr>
          <w:rFonts w:ascii="Arial" w:hAnsi="Arial" w:cs="Arial"/>
        </w:rPr>
      </w:pPr>
      <w:r w:rsidRPr="00225AB0">
        <w:rPr>
          <w:rFonts w:ascii="Arial" w:hAnsi="Arial" w:cs="Arial"/>
        </w:rPr>
        <w:t>During this testing, participants fixated centrally at 57cm viewing distance in a darkened room. All stimuli were presented on a mid-grey luminance background with a central white fixation cross. Stimulus colour was initially specified in LMS cone-excitation space, with matrices for the conversion from LMS to RGB values given as a product of the Stockman Sharpe 10</w:t>
      </w:r>
      <w:r w:rsidRPr="00225AB0">
        <w:rPr>
          <w:rFonts w:ascii="Arial" w:hAnsi="Arial" w:cs="Arial"/>
          <w:vertAlign w:val="superscript"/>
        </w:rPr>
        <w:t>o</w:t>
      </w:r>
      <w:r w:rsidRPr="00225AB0">
        <w:rPr>
          <w:rFonts w:ascii="Arial" w:hAnsi="Arial" w:cs="Arial"/>
        </w:rPr>
        <w:t xml:space="preserve"> fundamentals for the L-, M- and S-cones, and the spectral power distribution of the RGB phosphors </w:t>
      </w:r>
      <w:r w:rsidR="00D44AC6">
        <w:rPr>
          <w:rFonts w:ascii="Arial" w:hAnsi="Arial" w:cs="Arial"/>
        </w:rPr>
        <w:t>in</w:t>
      </w:r>
      <w:r w:rsidRPr="00225AB0">
        <w:rPr>
          <w:rFonts w:ascii="Arial" w:hAnsi="Arial" w:cs="Arial"/>
        </w:rPr>
        <w:t xml:space="preserve"> the stimulus screen. Participants viewed a central </w:t>
      </w:r>
      <w:r w:rsidRPr="00225AB0">
        <w:rPr>
          <w:rFonts w:ascii="Arial" w:hAnsi="Arial" w:cs="Arial"/>
        </w:rPr>
        <w:lastRenderedPageBreak/>
        <w:t>annulus through a gaussian window which contained a chromatically-defined (L-M or S-(L+M)) circle (3.8° diameter) with a sine wave contour (2.33 cycles/°)</w:t>
      </w:r>
      <w:r w:rsidR="00750F91">
        <w:rPr>
          <w:rFonts w:ascii="Arial" w:hAnsi="Arial" w:cs="Arial"/>
        </w:rPr>
        <w:t xml:space="preserve"> (see Figure 2.5)</w:t>
      </w:r>
      <w:r w:rsidRPr="00225AB0">
        <w:rPr>
          <w:rFonts w:ascii="Arial" w:hAnsi="Arial" w:cs="Arial"/>
        </w:rPr>
        <w:t xml:space="preserve">. The phase of the stimulus cycled through a range of 0- π/2 radians in 6° increments, which appeared to pulse backwards and forwards in space. </w:t>
      </w:r>
    </w:p>
    <w:p w14:paraId="59171249" w14:textId="77777777" w:rsidR="000C73FA" w:rsidRPr="00225AB0" w:rsidRDefault="000C73FA" w:rsidP="000C73FA">
      <w:pPr>
        <w:spacing w:line="480" w:lineRule="auto"/>
        <w:rPr>
          <w:rFonts w:ascii="Arial" w:hAnsi="Arial" w:cs="Arial"/>
        </w:rPr>
      </w:pPr>
    </w:p>
    <w:p w14:paraId="65256C09" w14:textId="15D8DBA9" w:rsidR="000C73FA" w:rsidRDefault="000C73FA" w:rsidP="000C73FA">
      <w:pPr>
        <w:spacing w:line="480" w:lineRule="auto"/>
        <w:rPr>
          <w:rFonts w:ascii="Arial" w:hAnsi="Arial" w:cs="Arial"/>
          <w:i/>
        </w:rPr>
      </w:pPr>
      <w:r w:rsidRPr="00225AB0">
        <w:rPr>
          <w:rFonts w:ascii="Arial" w:hAnsi="Arial" w:cs="Arial"/>
        </w:rPr>
        <w:t xml:space="preserve">Participants altered the amount of luminance contamination, </w:t>
      </w:r>
      <w:r w:rsidR="00827DE2" w:rsidRPr="00225AB0">
        <w:rPr>
          <w:rFonts w:ascii="Arial" w:hAnsi="Arial" w:cs="Arial"/>
        </w:rPr>
        <w:t>varying</w:t>
      </w:r>
      <w:r w:rsidRPr="00225AB0">
        <w:rPr>
          <w:rFonts w:ascii="Arial" w:hAnsi="Arial" w:cs="Arial"/>
        </w:rPr>
        <w:t xml:space="preserve"> the angle θ (in 0.005° increments) until no or very minimal motion of the stimulus was perceived. Audio feedback was provided to participants, indicating the minimum and maximum extents of luminance contamination </w:t>
      </w:r>
      <w:r w:rsidR="00D44AC6">
        <w:rPr>
          <w:rFonts w:ascii="Arial" w:hAnsi="Arial" w:cs="Arial"/>
        </w:rPr>
        <w:t>in</w:t>
      </w:r>
      <w:r w:rsidRPr="00225AB0">
        <w:rPr>
          <w:rFonts w:ascii="Arial" w:hAnsi="Arial" w:cs="Arial"/>
        </w:rPr>
        <w:t xml:space="preserve"> the stimulus. Participants completed three sets of adjustment for each chromatic condition (L+M and S-(L+M)). The average of these three values of θ for each stimulus colour was then used to specify stimulus chromaticity in the psychophysics and fMRI experiments included in</w:t>
      </w:r>
      <w:r w:rsidRPr="00225AB0">
        <w:rPr>
          <w:rFonts w:ascii="Arial" w:hAnsi="Arial" w:cs="Arial"/>
          <w:i/>
        </w:rPr>
        <w:t xml:space="preserve"> Chapter 5. </w:t>
      </w:r>
    </w:p>
    <w:p w14:paraId="67AE763A" w14:textId="77777777" w:rsidR="00750F91" w:rsidRDefault="00750F91" w:rsidP="000C73FA">
      <w:pPr>
        <w:spacing w:line="480" w:lineRule="auto"/>
        <w:rPr>
          <w:rFonts w:ascii="Arial" w:hAnsi="Arial" w:cs="Arial"/>
          <w:i/>
        </w:rPr>
      </w:pPr>
    </w:p>
    <w:p w14:paraId="2AFA6A8F" w14:textId="77777777" w:rsidR="00750F91" w:rsidRDefault="00750F91" w:rsidP="000C73FA">
      <w:pPr>
        <w:spacing w:line="480" w:lineRule="auto"/>
        <w:rPr>
          <w:rFonts w:ascii="Arial" w:hAnsi="Arial" w:cs="Arial"/>
          <w:i/>
        </w:rPr>
      </w:pPr>
    </w:p>
    <w:p w14:paraId="3C61F0BB" w14:textId="44F08D64" w:rsidR="000C73FA" w:rsidRPr="00225AB0" w:rsidRDefault="009F3085" w:rsidP="000C73FA">
      <w:pPr>
        <w:spacing w:line="480" w:lineRule="auto"/>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789312" behindDoc="0" locked="0" layoutInCell="1" allowOverlap="1" wp14:anchorId="5B6D11DD" wp14:editId="31F3B549">
                <wp:simplePos x="0" y="0"/>
                <wp:positionH relativeFrom="column">
                  <wp:posOffset>-94788</wp:posOffset>
                </wp:positionH>
                <wp:positionV relativeFrom="paragraph">
                  <wp:posOffset>58</wp:posOffset>
                </wp:positionV>
                <wp:extent cx="5300345" cy="5314950"/>
                <wp:effectExtent l="0" t="0" r="0" b="0"/>
                <wp:wrapSquare wrapText="bothSides"/>
                <wp:docPr id="103" name="Text Box 103"/>
                <wp:cNvGraphicFramePr/>
                <a:graphic xmlns:a="http://schemas.openxmlformats.org/drawingml/2006/main">
                  <a:graphicData uri="http://schemas.microsoft.com/office/word/2010/wordprocessingShape">
                    <wps:wsp>
                      <wps:cNvSpPr txBox="1"/>
                      <wps:spPr>
                        <a:xfrm>
                          <a:off x="0" y="0"/>
                          <a:ext cx="5300345" cy="5314950"/>
                        </a:xfrm>
                        <a:prstGeom prst="rect">
                          <a:avLst/>
                        </a:prstGeom>
                        <a:noFill/>
                        <a:ln w="6350">
                          <a:noFill/>
                        </a:ln>
                      </wps:spPr>
                      <wps:txbx>
                        <w:txbxContent>
                          <w:p w14:paraId="3C8FF77E" w14:textId="77777777" w:rsidR="00C93BE0" w:rsidRDefault="00C93BE0" w:rsidP="009F3085">
                            <w:pPr>
                              <w:keepNext/>
                              <w:jc w:val="center"/>
                            </w:pPr>
                            <w:r>
                              <w:rPr>
                                <w:noProof/>
                                <w:lang w:eastAsia="en-GB"/>
                              </w:rPr>
                              <w:drawing>
                                <wp:inline distT="0" distB="0" distL="0" distR="0" wp14:anchorId="1800EC25" wp14:editId="7670155D">
                                  <wp:extent cx="5109029" cy="35598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figure2.5-isoluminance_experiment.png"/>
                                          <pic:cNvPicPr/>
                                        </pic:nvPicPr>
                                        <pic:blipFill>
                                          <a:blip r:embed="rId26">
                                            <a:extLst>
                                              <a:ext uri="{28A0092B-C50C-407E-A947-70E740481C1C}">
                                                <a14:useLocalDpi xmlns:a14="http://schemas.microsoft.com/office/drawing/2010/main" val="0"/>
                                              </a:ext>
                                            </a:extLst>
                                          </a:blip>
                                          <a:stretch>
                                            <a:fillRect/>
                                          </a:stretch>
                                        </pic:blipFill>
                                        <pic:spPr>
                                          <a:xfrm>
                                            <a:off x="0" y="0"/>
                                            <a:ext cx="5125416" cy="3571258"/>
                                          </a:xfrm>
                                          <a:prstGeom prst="rect">
                                            <a:avLst/>
                                          </a:prstGeom>
                                        </pic:spPr>
                                      </pic:pic>
                                    </a:graphicData>
                                  </a:graphic>
                                </wp:inline>
                              </w:drawing>
                            </w:r>
                          </w:p>
                          <w:p w14:paraId="7A167CD4" w14:textId="42A1005C" w:rsidR="00C93BE0" w:rsidRPr="00AA52BE" w:rsidRDefault="00C93BE0" w:rsidP="009F3085">
                            <w:pPr>
                              <w:pStyle w:val="Caption"/>
                              <w:spacing w:line="360" w:lineRule="auto"/>
                              <w:jc w:val="both"/>
                              <w:rPr>
                                <w:rFonts w:ascii="Arial" w:hAnsi="Arial" w:cs="Arial"/>
                                <w:i w:val="0"/>
                                <w:color w:val="000000" w:themeColor="text1"/>
                                <w:sz w:val="24"/>
                                <w:szCs w:val="24"/>
                              </w:rPr>
                            </w:pPr>
                            <w:bookmarkStart w:id="217" w:name="_Toc12363341"/>
                            <w:bookmarkStart w:id="218" w:name="_Toc16242698"/>
                            <w:r w:rsidRPr="00AA52BE">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sidRPr="00AA52BE">
                              <w:rPr>
                                <w:rFonts w:ascii="Arial" w:hAnsi="Arial" w:cs="Arial"/>
                                <w:i w:val="0"/>
                                <w:color w:val="000000" w:themeColor="text1"/>
                                <w:sz w:val="24"/>
                                <w:szCs w:val="24"/>
                              </w:rPr>
                              <w:t xml:space="preserve"> Example red-green (L-M) and blue-yellow (S-(L+M)) isoluminance stimuli. Participants adjusted the amount of luminance contamination within the chromatic signal (θ) to equate the amount of luminance within the stimulus. Stimuli were defined by a 3.8° circle with a sine-wave contour (2.33 cycles/°). The stimulus pulsed back and forth in space with altering phase, across a range of 0- π/2 radians in 6° increments.</w:t>
                            </w:r>
                            <w:bookmarkEnd w:id="217"/>
                            <w:bookmarkEnd w:id="218"/>
                            <w:r w:rsidRPr="00AA52BE">
                              <w:rPr>
                                <w:rFonts w:ascii="Arial" w:hAnsi="Arial" w:cs="Arial"/>
                                <w:i w:val="0"/>
                                <w:color w:val="000000" w:themeColor="text1"/>
                                <w:sz w:val="24"/>
                                <w:szCs w:val="24"/>
                              </w:rPr>
                              <w:t xml:space="preserve"> </w:t>
                            </w:r>
                          </w:p>
                          <w:p w14:paraId="4BBFCBF9"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D11DD" id="Text Box 103" o:spid="_x0000_s1036" type="#_x0000_t202" style="position:absolute;margin-left:-7.45pt;margin-top:0;width:417.35pt;height:41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" filled="f" stroked="f" strokeweight=".5pt">
                <v:textbox>
                  <w:txbxContent>
                    <w:p w14:paraId="3C8FF77E" w14:textId="77777777" w:rsidR="00C93BE0" w:rsidRDefault="00C93BE0" w:rsidP="009F3085">
                      <w:pPr>
                        <w:keepNext/>
                        <w:jc w:val="center"/>
                      </w:pPr>
                      <w:r>
                        <w:rPr>
                          <w:noProof/>
                          <w:lang w:eastAsia="en-GB"/>
                        </w:rPr>
                        <w:drawing>
                          <wp:inline distT="0" distB="0" distL="0" distR="0" wp14:anchorId="1800EC25" wp14:editId="7670155D">
                            <wp:extent cx="5109029" cy="35598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figure2.5-isoluminance_experiment.png"/>
                                    <pic:cNvPicPr/>
                                  </pic:nvPicPr>
                                  <pic:blipFill>
                                    <a:blip r:embed="rId27">
                                      <a:extLst>
                                        <a:ext uri="{28A0092B-C50C-407E-A947-70E740481C1C}">
                                          <a14:useLocalDpi xmlns:a14="http://schemas.microsoft.com/office/drawing/2010/main" val="0"/>
                                        </a:ext>
                                      </a:extLst>
                                    </a:blip>
                                    <a:stretch>
                                      <a:fillRect/>
                                    </a:stretch>
                                  </pic:blipFill>
                                  <pic:spPr>
                                    <a:xfrm>
                                      <a:off x="0" y="0"/>
                                      <a:ext cx="5125416" cy="3571258"/>
                                    </a:xfrm>
                                    <a:prstGeom prst="rect">
                                      <a:avLst/>
                                    </a:prstGeom>
                                  </pic:spPr>
                                </pic:pic>
                              </a:graphicData>
                            </a:graphic>
                          </wp:inline>
                        </w:drawing>
                      </w:r>
                    </w:p>
                    <w:p w14:paraId="7A167CD4" w14:textId="42A1005C" w:rsidR="00C93BE0" w:rsidRPr="00AA52BE" w:rsidRDefault="00C93BE0" w:rsidP="009F3085">
                      <w:pPr>
                        <w:pStyle w:val="Caption"/>
                        <w:spacing w:line="360" w:lineRule="auto"/>
                        <w:jc w:val="both"/>
                        <w:rPr>
                          <w:rFonts w:ascii="Arial" w:hAnsi="Arial" w:cs="Arial"/>
                          <w:i w:val="0"/>
                          <w:color w:val="000000" w:themeColor="text1"/>
                          <w:sz w:val="24"/>
                          <w:szCs w:val="24"/>
                        </w:rPr>
                      </w:pPr>
                      <w:bookmarkStart w:id="236" w:name="_Toc12363341"/>
                      <w:bookmarkStart w:id="237" w:name="_Toc16242698"/>
                      <w:r w:rsidRPr="00AA52BE">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sidRPr="00AA52BE">
                        <w:rPr>
                          <w:rFonts w:ascii="Arial" w:hAnsi="Arial" w:cs="Arial"/>
                          <w:i w:val="0"/>
                          <w:color w:val="000000" w:themeColor="text1"/>
                          <w:sz w:val="24"/>
                          <w:szCs w:val="24"/>
                        </w:rPr>
                        <w:t xml:space="preserve"> Example red-green (L-M) and blue-yellow (S-(L+M)) isoluminance stimuli. Participants adjusted the amount of luminance contamination within the chromatic signal (θ) to equate the amount of luminance within the stimulus. Stimuli were defined by a 3.8° circle with a sine-wave contour (2.33 cycles/°). The stimulus pulsed back and forth in space with altering phase, across a range of 0- π/2 radians in 6° increments.</w:t>
                      </w:r>
                      <w:bookmarkEnd w:id="236"/>
                      <w:bookmarkEnd w:id="237"/>
                      <w:r w:rsidRPr="00AA52BE">
                        <w:rPr>
                          <w:rFonts w:ascii="Arial" w:hAnsi="Arial" w:cs="Arial"/>
                          <w:i w:val="0"/>
                          <w:color w:val="000000" w:themeColor="text1"/>
                          <w:sz w:val="24"/>
                          <w:szCs w:val="24"/>
                        </w:rPr>
                        <w:t xml:space="preserve"> </w:t>
                      </w:r>
                    </w:p>
                    <w:p w14:paraId="4BBFCBF9" w14:textId="77777777" w:rsidR="00C93BE0" w:rsidRDefault="00C93BE0" w:rsidP="009F3085">
                      <w:pPr>
                        <w:jc w:val="center"/>
                      </w:pPr>
                    </w:p>
                  </w:txbxContent>
                </v:textbox>
                <w10:wrap type="square"/>
              </v:shape>
            </w:pict>
          </mc:Fallback>
        </mc:AlternateContent>
      </w:r>
    </w:p>
    <w:p w14:paraId="145CFA59" w14:textId="77777777" w:rsidR="000C73FA" w:rsidRDefault="000C73FA" w:rsidP="001811CC">
      <w:pPr>
        <w:pStyle w:val="Heading2"/>
        <w:numPr>
          <w:ilvl w:val="1"/>
          <w:numId w:val="3"/>
        </w:numPr>
        <w:rPr>
          <w:rFonts w:ascii="Arial" w:hAnsi="Arial" w:cs="Arial"/>
          <w:b/>
          <w:color w:val="000000" w:themeColor="text1"/>
          <w:sz w:val="28"/>
          <w:szCs w:val="28"/>
        </w:rPr>
      </w:pPr>
      <w:bookmarkStart w:id="219" w:name="_Toc11147969"/>
      <w:bookmarkStart w:id="220" w:name="_Toc11153916"/>
      <w:bookmarkStart w:id="221" w:name="_Toc11753622"/>
      <w:bookmarkStart w:id="222" w:name="_Toc11926808"/>
      <w:bookmarkStart w:id="223" w:name="_Toc11930041"/>
      <w:bookmarkStart w:id="224" w:name="_Toc16075357"/>
      <w:bookmarkStart w:id="225" w:name="_Toc16236980"/>
      <w:r w:rsidRPr="005A0ED3">
        <w:rPr>
          <w:rFonts w:ascii="Arial" w:hAnsi="Arial" w:cs="Arial"/>
          <w:b/>
          <w:color w:val="000000" w:themeColor="text1"/>
          <w:sz w:val="28"/>
          <w:szCs w:val="28"/>
        </w:rPr>
        <w:t>Neuroimaging</w:t>
      </w:r>
      <w:bookmarkEnd w:id="219"/>
      <w:bookmarkEnd w:id="220"/>
      <w:bookmarkEnd w:id="221"/>
      <w:bookmarkEnd w:id="222"/>
      <w:bookmarkEnd w:id="223"/>
      <w:bookmarkEnd w:id="224"/>
      <w:bookmarkEnd w:id="225"/>
      <w:r w:rsidRPr="005A0ED3">
        <w:rPr>
          <w:rFonts w:ascii="Arial" w:hAnsi="Arial" w:cs="Arial"/>
          <w:b/>
          <w:color w:val="000000" w:themeColor="text1"/>
          <w:sz w:val="28"/>
          <w:szCs w:val="28"/>
        </w:rPr>
        <w:t xml:space="preserve"> </w:t>
      </w:r>
    </w:p>
    <w:p w14:paraId="4DFCD597" w14:textId="77777777" w:rsidR="00CB7683" w:rsidRPr="00CB7683" w:rsidRDefault="00CB7683" w:rsidP="00CB7683"/>
    <w:p w14:paraId="779AD09A" w14:textId="77777777" w:rsidR="000C73FA" w:rsidRDefault="000C73FA" w:rsidP="001811CC">
      <w:pPr>
        <w:pStyle w:val="Heading3"/>
        <w:numPr>
          <w:ilvl w:val="2"/>
          <w:numId w:val="3"/>
        </w:numPr>
        <w:rPr>
          <w:rFonts w:ascii="Arial" w:hAnsi="Arial" w:cs="Arial"/>
          <w:b/>
          <w:i/>
          <w:color w:val="000000" w:themeColor="text1"/>
          <w:sz w:val="28"/>
          <w:szCs w:val="28"/>
        </w:rPr>
      </w:pPr>
      <w:bookmarkStart w:id="226" w:name="_Toc11147970"/>
      <w:bookmarkStart w:id="227" w:name="_Toc11153917"/>
      <w:bookmarkStart w:id="228" w:name="_Toc11753623"/>
      <w:bookmarkStart w:id="229" w:name="_Toc11926809"/>
      <w:bookmarkStart w:id="230" w:name="_Toc11930042"/>
      <w:bookmarkStart w:id="231" w:name="_Toc16075358"/>
      <w:bookmarkStart w:id="232" w:name="_Toc16236981"/>
      <w:r w:rsidRPr="00CB7683">
        <w:rPr>
          <w:rFonts w:ascii="Arial" w:hAnsi="Arial" w:cs="Arial"/>
          <w:b/>
          <w:i/>
          <w:color w:val="000000" w:themeColor="text1"/>
          <w:sz w:val="28"/>
          <w:szCs w:val="28"/>
        </w:rPr>
        <w:t>The BOLD response</w:t>
      </w:r>
      <w:bookmarkEnd w:id="226"/>
      <w:bookmarkEnd w:id="227"/>
      <w:bookmarkEnd w:id="228"/>
      <w:bookmarkEnd w:id="229"/>
      <w:bookmarkEnd w:id="230"/>
      <w:bookmarkEnd w:id="231"/>
      <w:bookmarkEnd w:id="232"/>
    </w:p>
    <w:p w14:paraId="0941A07B" w14:textId="77777777" w:rsidR="00CB7683" w:rsidRPr="00CB7683" w:rsidRDefault="00CB7683" w:rsidP="00CB7683"/>
    <w:p w14:paraId="35B63DF7" w14:textId="41E6C86B" w:rsidR="000C73FA" w:rsidRPr="00225AB0" w:rsidRDefault="000C73FA" w:rsidP="000C73FA">
      <w:pPr>
        <w:spacing w:line="480" w:lineRule="auto"/>
        <w:rPr>
          <w:rFonts w:ascii="Arial" w:hAnsi="Arial" w:cs="Arial"/>
        </w:rPr>
      </w:pPr>
      <w:r w:rsidRPr="00225AB0">
        <w:rPr>
          <w:rFonts w:ascii="Arial" w:hAnsi="Arial" w:cs="Arial"/>
        </w:rPr>
        <w:t xml:space="preserve">Functional magnetic resonance imaging (fMRI) is a non-invasive measure of blood-oxygen changes </w:t>
      </w:r>
      <w:r w:rsidR="00D44AC6">
        <w:rPr>
          <w:rFonts w:ascii="Arial" w:hAnsi="Arial" w:cs="Arial"/>
        </w:rPr>
        <w:t>in</w:t>
      </w:r>
      <w:r w:rsidRPr="00225AB0">
        <w:rPr>
          <w:rFonts w:ascii="Arial" w:hAnsi="Arial" w:cs="Arial"/>
        </w:rPr>
        <w:t xml:space="preserve"> the brain. This BOLD signal is considered a proxy for neuronal activation (see </w:t>
      </w:r>
      <w:r w:rsidRPr="00225AB0">
        <w:rPr>
          <w:rFonts w:ascii="Arial" w:hAnsi="Arial" w:cs="Arial"/>
        </w:rPr>
        <w:fldChar w:fldCharType="begin"/>
      </w:r>
      <w:r w:rsidR="005B4361">
        <w:rPr>
          <w:rFonts w:ascii="Arial" w:hAnsi="Arial" w:cs="Arial"/>
        </w:rPr>
        <w:instrText xml:space="preserve"> ADDIN ZOTERO_ITEM CSL_CITATION {"citationID":"eoh1xR72","properties":{"formattedCitation":"(Logothetis &amp; Wandell, 2004)","plainCitation":"(Logothetis &amp; Wandell, 2004)","dontUpdate":true,"noteIndex":0},"citationItems":[{"id":144,"uris":["http://zotero.org/groups/318634/items/ZJNC6VXT"],"uri":["http://zotero.org/groups/318634/items/ZJNC6VXT"],"itemData":{"id":144,"type":"article-journal","title":"Interpreting the BOLD signal","container-title":"Annual Review of Physiology","page":"735-769","volume":"66","source":"PubMed","abstract":"The development of functional magnetic resonance imaging (fMRI) has brought together a broad community of scientists interested in measuring the neural basis of the human mind. Because fMRI signals are an indirect measure of neural activity, interpreting these signals to make deductions about the nervous system requires some understanding of the signaling mechanisms. We describe our current understanding of the causal relationships between neural activity and the blood-oxygen-level-dependent (BOLD) signal, and we review how these analyses have challenged some basic assumptions that have guided neuroscience. We conclude with a discussion of how to use the BOLD signal to make inferences about the neural signal.","DOI":"10.1146/annurev.physiol.66.082602.092845","ISSN":"0066-4278","note":"PMID: 14977420","journalAbbreviation":"Annu. Rev. Physiol.","language":"eng","author":[{"family":"Logothetis","given":"Nikos K."},{"family":"Wandell","given":"Brian A."}],"issued":{"date-parts":[["2004"]]}}}],"schema":"https://github.com/citation-style-language/schema/raw/master/csl-citation.json"} </w:instrText>
      </w:r>
      <w:r w:rsidRPr="00225AB0">
        <w:rPr>
          <w:rFonts w:ascii="Arial" w:hAnsi="Arial" w:cs="Arial"/>
        </w:rPr>
        <w:fldChar w:fldCharType="separate"/>
      </w:r>
      <w:r w:rsidRPr="00225AB0">
        <w:rPr>
          <w:rFonts w:ascii="Arial" w:hAnsi="Arial" w:cs="Arial"/>
          <w:noProof/>
        </w:rPr>
        <w:t>Logothetis &amp; Wandell, 2004</w:t>
      </w:r>
      <w:r w:rsidRPr="00225AB0">
        <w:rPr>
          <w:rFonts w:ascii="Arial" w:hAnsi="Arial" w:cs="Arial"/>
        </w:rPr>
        <w:fldChar w:fldCharType="end"/>
      </w:r>
      <w:r w:rsidRPr="00225AB0">
        <w:rPr>
          <w:rFonts w:ascii="Arial" w:hAnsi="Arial" w:cs="Arial"/>
        </w:rPr>
        <w:t xml:space="preserve"> for a review). When neurons fire signals, they use energy (in the form of ATP), which requires oxygen in order to be replenished (via a process of oxidative phosphorylation). Oxygen is transported around the body </w:t>
      </w:r>
      <w:r w:rsidR="00D44AC6">
        <w:rPr>
          <w:rFonts w:ascii="Arial" w:hAnsi="Arial" w:cs="Arial"/>
        </w:rPr>
        <w:t>in</w:t>
      </w:r>
      <w:r w:rsidRPr="00225AB0">
        <w:rPr>
          <w:rFonts w:ascii="Arial" w:hAnsi="Arial" w:cs="Arial"/>
        </w:rPr>
        <w:t xml:space="preserve"> a protein called haemoglobin. Oxyhaemoglobin is a haemoglobin protein possessing oxygen </w:t>
      </w:r>
      <w:r w:rsidRPr="00225AB0">
        <w:rPr>
          <w:rFonts w:ascii="Arial" w:hAnsi="Arial" w:cs="Arial"/>
        </w:rPr>
        <w:lastRenderedPageBreak/>
        <w:t xml:space="preserve">molecules, conversely deoxyhaemoglobin possesses no bound oxygen molecules. These two states of haemoglobin have different magnetic susceptibility. Deoxyhaemoglobin is a paramagnetic molecule (attracted to magnetic fields), whereas oxyhaemoglobin is diamagnetic and relatively repelled from magnetic fields. </w:t>
      </w:r>
    </w:p>
    <w:p w14:paraId="2B73F7CF" w14:textId="77777777" w:rsidR="000C73FA" w:rsidRPr="00225AB0" w:rsidRDefault="000C73FA" w:rsidP="000C73FA">
      <w:pPr>
        <w:spacing w:line="480" w:lineRule="auto"/>
        <w:rPr>
          <w:rFonts w:ascii="Arial" w:hAnsi="Arial" w:cs="Arial"/>
        </w:rPr>
      </w:pPr>
    </w:p>
    <w:p w14:paraId="1AF69A31" w14:textId="15806021" w:rsidR="000C73FA" w:rsidRDefault="000C73FA" w:rsidP="00F72546">
      <w:pPr>
        <w:spacing w:line="480" w:lineRule="auto"/>
        <w:rPr>
          <w:rFonts w:ascii="Arial" w:hAnsi="Arial" w:cs="Arial"/>
        </w:rPr>
      </w:pPr>
      <w:r w:rsidRPr="00225AB0">
        <w:rPr>
          <w:rFonts w:ascii="Arial" w:hAnsi="Arial" w:cs="Arial"/>
        </w:rPr>
        <w:t xml:space="preserve">These differences produce a difference in susceptibility to the </w:t>
      </w:r>
      <w:r w:rsidR="00827DE2">
        <w:rPr>
          <w:rFonts w:ascii="Arial" w:hAnsi="Arial" w:cs="Arial"/>
        </w:rPr>
        <w:t>radiofrequency (</w:t>
      </w:r>
      <w:r w:rsidRPr="00225AB0">
        <w:rPr>
          <w:rFonts w:ascii="Arial" w:hAnsi="Arial" w:cs="Arial"/>
        </w:rPr>
        <w:t>RF</w:t>
      </w:r>
      <w:r w:rsidR="00827DE2">
        <w:rPr>
          <w:rFonts w:ascii="Arial" w:hAnsi="Arial" w:cs="Arial"/>
        </w:rPr>
        <w:t>)</w:t>
      </w:r>
      <w:r w:rsidRPr="00225AB0">
        <w:rPr>
          <w:rFonts w:ascii="Arial" w:hAnsi="Arial" w:cs="Arial"/>
        </w:rPr>
        <w:t xml:space="preserve"> pulse dephasing protons; deoxyhaemoglobin molecules exhibit a greater susceptibility to dephasing of hydrogen nuclei, and an associated reduction in T</w:t>
      </w:r>
      <w:r w:rsidRPr="00225AB0">
        <w:rPr>
          <w:rFonts w:ascii="Arial" w:hAnsi="Arial" w:cs="Arial"/>
          <w:vertAlign w:val="subscript"/>
        </w:rPr>
        <w:t>2</w:t>
      </w:r>
      <w:r w:rsidRPr="00225AB0">
        <w:rPr>
          <w:rFonts w:ascii="Arial" w:hAnsi="Arial" w:cs="Arial"/>
        </w:rPr>
        <w:t xml:space="preserve">* relaxation time, resulting in a darker colour of voxels containing deoxyhaemoglobin in an MR image. As oxyhaemoglobin is diamagnetic, it does not produce the same dephasing of protons as </w:t>
      </w:r>
      <w:r w:rsidR="00D44AC6">
        <w:rPr>
          <w:rFonts w:ascii="Arial" w:hAnsi="Arial" w:cs="Arial"/>
        </w:rPr>
        <w:t>in</w:t>
      </w:r>
      <w:r w:rsidRPr="00225AB0">
        <w:rPr>
          <w:rFonts w:ascii="Arial" w:hAnsi="Arial" w:cs="Arial"/>
        </w:rPr>
        <w:t xml:space="preserve"> deoxyhaemoglobin and these differences in relative blood oxygenation appear as signal (colour) changes in the T</w:t>
      </w:r>
      <w:r w:rsidRPr="00225AB0">
        <w:rPr>
          <w:rFonts w:ascii="Arial" w:hAnsi="Arial" w:cs="Arial"/>
          <w:vertAlign w:val="subscript"/>
        </w:rPr>
        <w:t>2</w:t>
      </w:r>
      <w:r w:rsidRPr="00225AB0">
        <w:rPr>
          <w:rFonts w:ascii="Arial" w:hAnsi="Arial" w:cs="Arial"/>
        </w:rPr>
        <w:t xml:space="preserve">*-weighted functional magnetic resonance images. As the relative proportion of oxygenated versus </w:t>
      </w:r>
      <w:r w:rsidR="00A829CB">
        <w:rPr>
          <w:rFonts w:ascii="Arial" w:hAnsi="Arial" w:cs="Arial"/>
        </w:rPr>
        <w:t>de</w:t>
      </w:r>
      <w:r w:rsidRPr="00225AB0">
        <w:rPr>
          <w:rFonts w:ascii="Arial" w:hAnsi="Arial" w:cs="Arial"/>
        </w:rPr>
        <w:t xml:space="preserve">oxygenated haemoglobin </w:t>
      </w:r>
      <w:r w:rsidR="00A829CB">
        <w:rPr>
          <w:rFonts w:ascii="Arial" w:hAnsi="Arial" w:cs="Arial"/>
        </w:rPr>
        <w:t>increases</w:t>
      </w:r>
      <w:r w:rsidRPr="00225AB0">
        <w:rPr>
          <w:rFonts w:ascii="Arial" w:hAnsi="Arial" w:cs="Arial"/>
        </w:rPr>
        <w:t xml:space="preserve">, the blood-oxygenation level dependent (BOLD) signal increases. Hence fMRI images make the assumption increased neural firing </w:t>
      </w:r>
      <w:r w:rsidRPr="00B050E8">
        <w:rPr>
          <w:rFonts w:ascii="Arial" w:hAnsi="Arial" w:cs="Arial"/>
        </w:rPr>
        <w:t xml:space="preserve">demands </w:t>
      </w:r>
      <w:r w:rsidRPr="00170639">
        <w:rPr>
          <w:rFonts w:ascii="Arial" w:hAnsi="Arial" w:cs="Arial"/>
        </w:rPr>
        <w:t>increased</w:t>
      </w:r>
      <w:r w:rsidRPr="00B050E8">
        <w:rPr>
          <w:rFonts w:ascii="Arial" w:hAnsi="Arial" w:cs="Arial"/>
        </w:rPr>
        <w:t xml:space="preserve"> blood flow</w:t>
      </w:r>
      <w:r w:rsidRPr="00225AB0">
        <w:rPr>
          <w:rFonts w:ascii="Arial" w:hAnsi="Arial" w:cs="Arial"/>
        </w:rPr>
        <w:t xml:space="preserve">, which is taken to indicate metabolic activity </w:t>
      </w:r>
      <w:r w:rsidR="00D44AC6">
        <w:rPr>
          <w:rFonts w:ascii="Arial" w:hAnsi="Arial" w:cs="Arial"/>
        </w:rPr>
        <w:t>in</w:t>
      </w:r>
      <w:r w:rsidRPr="00225AB0">
        <w:rPr>
          <w:rFonts w:ascii="Arial" w:hAnsi="Arial" w:cs="Arial"/>
        </w:rPr>
        <w:t xml:space="preserve"> particular regions of the brain. </w:t>
      </w:r>
    </w:p>
    <w:p w14:paraId="0186030D" w14:textId="77777777" w:rsidR="00F72546" w:rsidRPr="00225AB0" w:rsidRDefault="00F72546" w:rsidP="00F72546">
      <w:pPr>
        <w:spacing w:line="480" w:lineRule="auto"/>
        <w:rPr>
          <w:rFonts w:ascii="Arial" w:hAnsi="Arial" w:cs="Arial"/>
        </w:rPr>
      </w:pPr>
    </w:p>
    <w:p w14:paraId="0D2FB483" w14:textId="77777777" w:rsidR="005A7B37" w:rsidRDefault="000C73FA" w:rsidP="001811CC">
      <w:pPr>
        <w:pStyle w:val="Heading3"/>
        <w:numPr>
          <w:ilvl w:val="2"/>
          <w:numId w:val="3"/>
        </w:numPr>
        <w:rPr>
          <w:rFonts w:ascii="Arial" w:hAnsi="Arial" w:cs="Arial"/>
          <w:b/>
          <w:i/>
          <w:color w:val="000000" w:themeColor="text1"/>
          <w:sz w:val="28"/>
          <w:szCs w:val="28"/>
        </w:rPr>
      </w:pPr>
      <w:bookmarkStart w:id="233" w:name="_Toc11147971"/>
      <w:bookmarkStart w:id="234" w:name="_Toc11153918"/>
      <w:bookmarkStart w:id="235" w:name="_Toc11753624"/>
      <w:bookmarkStart w:id="236" w:name="_Toc11926810"/>
      <w:bookmarkStart w:id="237" w:name="_Toc11930043"/>
      <w:bookmarkStart w:id="238" w:name="_Toc16075359"/>
      <w:bookmarkStart w:id="239" w:name="_Toc16236982"/>
      <w:r w:rsidRPr="00CB7683">
        <w:rPr>
          <w:rFonts w:ascii="Arial" w:hAnsi="Arial" w:cs="Arial"/>
          <w:b/>
          <w:i/>
          <w:color w:val="000000" w:themeColor="text1"/>
          <w:sz w:val="28"/>
          <w:szCs w:val="28"/>
        </w:rPr>
        <w:t>The haemodynamic response function (HRF)</w:t>
      </w:r>
      <w:bookmarkEnd w:id="233"/>
      <w:bookmarkEnd w:id="234"/>
      <w:bookmarkEnd w:id="235"/>
      <w:bookmarkEnd w:id="236"/>
      <w:bookmarkEnd w:id="237"/>
      <w:bookmarkEnd w:id="238"/>
      <w:bookmarkEnd w:id="239"/>
    </w:p>
    <w:p w14:paraId="7A2CAE33" w14:textId="77777777" w:rsidR="00CB7683" w:rsidRPr="00CB7683" w:rsidRDefault="00CB7683" w:rsidP="00CB7683"/>
    <w:p w14:paraId="1F23D11B" w14:textId="3D01476A" w:rsidR="000C73FA" w:rsidRDefault="000C73FA" w:rsidP="000C73FA">
      <w:pPr>
        <w:spacing w:line="480" w:lineRule="auto"/>
        <w:rPr>
          <w:rFonts w:ascii="Arial" w:hAnsi="Arial" w:cs="Arial"/>
        </w:rPr>
      </w:pPr>
      <w:bookmarkStart w:id="240" w:name="_Toc11147972"/>
      <w:r w:rsidRPr="00225AB0">
        <w:rPr>
          <w:rFonts w:ascii="Arial" w:hAnsi="Arial" w:cs="Arial"/>
        </w:rPr>
        <w:t xml:space="preserve">MRI does not measure neural activity directly, hence there exists a temporal lag between neuronal firing and resultant changes in relative proportions of oxygenated and deoxygenated blood. The </w:t>
      </w:r>
      <w:r w:rsidR="00740993" w:rsidRPr="00225AB0">
        <w:rPr>
          <w:rFonts w:ascii="Arial" w:hAnsi="Arial" w:cs="Arial"/>
        </w:rPr>
        <w:t>time course</w:t>
      </w:r>
      <w:r w:rsidRPr="00225AB0">
        <w:rPr>
          <w:rFonts w:ascii="Arial" w:hAnsi="Arial" w:cs="Arial"/>
        </w:rPr>
        <w:t xml:space="preserve"> of the BOLD signal is termed the haemodynamic response function (HRF). The BOLD signal initially begins to rise 1-2 seconds after neural activity begins, as oxygen is </w:t>
      </w:r>
      <w:r w:rsidRPr="00225AB0">
        <w:rPr>
          <w:rFonts w:ascii="Arial" w:hAnsi="Arial" w:cs="Arial"/>
        </w:rPr>
        <w:lastRenderedPageBreak/>
        <w:t xml:space="preserve">extracted from the blood to supply the oxidative phosphorylation process and the haemoglobin becomes paramagnetic. The HRF peaks at around 4-6 seconds, in response to compensatory blood flow, with the peak denoting the primary neural response. If neural activity continues the BOLD signal will plateau. Upon removal of stimulation, the BOLD response begins to fall, with an initial undershoot (falling slightly below baseline), before returning to baseline after around 16-18 seconds. The full process can take up 30 seconds </w:t>
      </w:r>
      <w:r w:rsidRPr="00225AB0">
        <w:rPr>
          <w:rFonts w:ascii="Arial" w:hAnsi="Arial" w:cs="Arial"/>
        </w:rPr>
        <w:fldChar w:fldCharType="begin"/>
      </w:r>
      <w:r w:rsidR="005B4361">
        <w:rPr>
          <w:rFonts w:ascii="Arial" w:hAnsi="Arial" w:cs="Arial"/>
        </w:rPr>
        <w:instrText xml:space="preserve"> ADDIN ZOTERO_ITEM CSL_CITATION {"citationID":"1XdyxlgF","properties":{"formattedCitation":"(N. K. Logothetis, Guggenberger, Peled, &amp; Pauls, 1999)","plainCitation":"(N. K. Logothetis, Guggenberger, Peled, &amp; Pauls, 1999)","dontUpdate":true,"noteIndex":0},"citationItems":[{"id":143,"uris":["http://zotero.org/groups/318634/items/Y7S6IWN4"],"uri":["http://zotero.org/groups/318634/items/Y7S6IWN4"],"itemData":{"id":143,"type":"article-journal","title":"Functional imaging of the monkey brain","container-title":"Nature Neuroscience","page":"555-562","volume":"2","issue":"6","source":"PubMed","abstract":"Functional magnetic resonance imaging (fMRI) has become an essential tool for studying human brain function. Here we describe the application of this technique to anesthetized monkeys. We present spatially resolved functional images of the monkey cortex based on blood oxygenation level dependent (BOLD) contrast. Checkerboard patterns or pictures of primates were used to study stimulus-induced activation of the visual cortex, in a 4.7-Tesla magnetic field, using optimized multi-slice, gradient-recalled, echo-planar imaging (EPI) sequences to image the entire brain. Under our anesthesia protocol, visual stimulation yielded robust, reproducible, focal activation of the lateral geniculate nucleus (LGN), the primary visual area (V1) and a number of extrastriate visual areas, including areas in the superior temporal sulcus. Similar responses were obtained in alert, behaving monkeys performing a discrimination task.","DOI":"10.1038/9210","ISSN":"1097-6256","note":"PMID: 10448221","journalAbbreviation":"Nat. Neurosci.","language":"eng","author":[{"family":"Logothetis","given":"N. K."},{"family":"Guggenberger","given":"H."},{"family":"Peled","given":"S."},{"family":"Pauls","given":"J."}],"issued":{"date-parts":[["1999",6]]}}}],"schema":"https://github.com/citation-style-language/schema/raw/master/csl-citation.json"} </w:instrText>
      </w:r>
      <w:r w:rsidRPr="00225AB0">
        <w:rPr>
          <w:rFonts w:ascii="Arial" w:hAnsi="Arial" w:cs="Arial"/>
        </w:rPr>
        <w:fldChar w:fldCharType="separate"/>
      </w:r>
      <w:r w:rsidRPr="00225AB0">
        <w:rPr>
          <w:rFonts w:ascii="Arial" w:hAnsi="Arial" w:cs="Arial"/>
          <w:noProof/>
        </w:rPr>
        <w:t>(Logothetis, Guggenberger, Peled, &amp; Pauls, 1999)</w:t>
      </w:r>
      <w:r w:rsidRPr="00225AB0">
        <w:rPr>
          <w:rFonts w:ascii="Arial" w:hAnsi="Arial" w:cs="Arial"/>
        </w:rPr>
        <w:fldChar w:fldCharType="end"/>
      </w:r>
      <w:r w:rsidR="001306AD">
        <w:rPr>
          <w:rFonts w:ascii="Arial" w:hAnsi="Arial" w:cs="Arial"/>
        </w:rPr>
        <w:t xml:space="preserve"> (see Figure 2.6)</w:t>
      </w:r>
      <w:r w:rsidRPr="00225AB0">
        <w:rPr>
          <w:rFonts w:ascii="Arial" w:hAnsi="Arial" w:cs="Arial"/>
        </w:rPr>
        <w:t>. The haemodynamic response function shape is best typified by a combination of two gamma functions, to provide a double-gamma shaped haemodynamic response function.</w:t>
      </w:r>
      <w:bookmarkEnd w:id="240"/>
      <w:r w:rsidRPr="00225AB0">
        <w:rPr>
          <w:rFonts w:ascii="Arial" w:hAnsi="Arial" w:cs="Arial"/>
        </w:rPr>
        <w:t xml:space="preserve"> </w:t>
      </w:r>
    </w:p>
    <w:p w14:paraId="3C19AA56" w14:textId="43AEB841" w:rsidR="003874FF" w:rsidRDefault="009F3085" w:rsidP="000C73FA">
      <w:pPr>
        <w:spacing w:line="480" w:lineRule="auto"/>
        <w:rPr>
          <w:rFonts w:ascii="Arial" w:hAnsi="Arial" w:cs="Arial"/>
        </w:rPr>
      </w:pPr>
      <w:r>
        <w:rPr>
          <w:rFonts w:ascii="Arial" w:hAnsi="Arial" w:cs="Arial"/>
          <w:noProof/>
          <w:lang w:eastAsia="en-GB"/>
        </w:rPr>
        <mc:AlternateContent>
          <mc:Choice Requires="wps">
            <w:drawing>
              <wp:anchor distT="0" distB="0" distL="114300" distR="114300" simplePos="0" relativeHeight="251791360" behindDoc="1" locked="0" layoutInCell="1" allowOverlap="1" wp14:anchorId="20DF7FA4" wp14:editId="2DF49D85">
                <wp:simplePos x="0" y="0"/>
                <wp:positionH relativeFrom="column">
                  <wp:posOffset>-133985</wp:posOffset>
                </wp:positionH>
                <wp:positionV relativeFrom="paragraph">
                  <wp:posOffset>347345</wp:posOffset>
                </wp:positionV>
                <wp:extent cx="5300345" cy="3983990"/>
                <wp:effectExtent l="0" t="0" r="0" b="0"/>
                <wp:wrapSquare wrapText="bothSides"/>
                <wp:docPr id="107" name="Text Box 107"/>
                <wp:cNvGraphicFramePr/>
                <a:graphic xmlns:a="http://schemas.openxmlformats.org/drawingml/2006/main">
                  <a:graphicData uri="http://schemas.microsoft.com/office/word/2010/wordprocessingShape">
                    <wps:wsp>
                      <wps:cNvSpPr txBox="1"/>
                      <wps:spPr>
                        <a:xfrm>
                          <a:off x="0" y="0"/>
                          <a:ext cx="5300345" cy="3983990"/>
                        </a:xfrm>
                        <a:prstGeom prst="rect">
                          <a:avLst/>
                        </a:prstGeom>
                        <a:noFill/>
                        <a:ln w="6350">
                          <a:noFill/>
                        </a:ln>
                      </wps:spPr>
                      <wps:txbx>
                        <w:txbxContent>
                          <w:p w14:paraId="78EFAF17" w14:textId="77777777" w:rsidR="00C93BE0" w:rsidRDefault="00C93BE0" w:rsidP="009F3085">
                            <w:pPr>
                              <w:keepNext/>
                              <w:jc w:val="center"/>
                            </w:pPr>
                            <w:r>
                              <w:rPr>
                                <w:noProof/>
                                <w:lang w:eastAsia="en-GB"/>
                              </w:rPr>
                              <w:drawing>
                                <wp:inline distT="0" distB="0" distL="0" distR="0" wp14:anchorId="77AE70CC" wp14:editId="7A2A4BE6">
                                  <wp:extent cx="5007428" cy="2295072"/>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figure2.6-hdr_function.jpg"/>
                                          <pic:cNvPicPr/>
                                        </pic:nvPicPr>
                                        <pic:blipFill>
                                          <a:blip r:embed="rId28">
                                            <a:extLst>
                                              <a:ext uri="{28A0092B-C50C-407E-A947-70E740481C1C}">
                                                <a14:useLocalDpi xmlns:a14="http://schemas.microsoft.com/office/drawing/2010/main" val="0"/>
                                              </a:ext>
                                            </a:extLst>
                                          </a:blip>
                                          <a:stretch>
                                            <a:fillRect/>
                                          </a:stretch>
                                        </pic:blipFill>
                                        <pic:spPr>
                                          <a:xfrm>
                                            <a:off x="0" y="0"/>
                                            <a:ext cx="5051556" cy="2315297"/>
                                          </a:xfrm>
                                          <a:prstGeom prst="rect">
                                            <a:avLst/>
                                          </a:prstGeom>
                                        </pic:spPr>
                                      </pic:pic>
                                    </a:graphicData>
                                  </a:graphic>
                                </wp:inline>
                              </w:drawing>
                            </w:r>
                          </w:p>
                          <w:p w14:paraId="1E1CFB38" w14:textId="77777777" w:rsidR="00C93BE0" w:rsidRDefault="00C93BE0" w:rsidP="009F3085">
                            <w:pPr>
                              <w:pStyle w:val="Caption"/>
                              <w:jc w:val="both"/>
                              <w:rPr>
                                <w:rFonts w:ascii="Arial" w:hAnsi="Arial" w:cs="Arial"/>
                                <w:b/>
                                <w:i w:val="0"/>
                                <w:color w:val="000000" w:themeColor="text1"/>
                                <w:sz w:val="24"/>
                                <w:szCs w:val="24"/>
                              </w:rPr>
                            </w:pPr>
                          </w:p>
                          <w:p w14:paraId="58DE628B" w14:textId="6812919B" w:rsidR="00C93BE0" w:rsidRPr="001306AD" w:rsidRDefault="00C93BE0" w:rsidP="009F3085">
                            <w:pPr>
                              <w:pStyle w:val="Caption"/>
                              <w:spacing w:line="360" w:lineRule="auto"/>
                              <w:jc w:val="both"/>
                              <w:rPr>
                                <w:rFonts w:ascii="Arial" w:hAnsi="Arial" w:cs="Arial"/>
                                <w:i w:val="0"/>
                                <w:color w:val="000000" w:themeColor="text1"/>
                                <w:sz w:val="24"/>
                                <w:szCs w:val="24"/>
                              </w:rPr>
                            </w:pPr>
                            <w:bookmarkStart w:id="241" w:name="_Toc12363342"/>
                            <w:bookmarkStart w:id="242" w:name="_Toc16242699"/>
                            <w:r w:rsidRPr="001306AD">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sidRPr="001306AD">
                              <w:rPr>
                                <w:rFonts w:ascii="Arial" w:hAnsi="Arial" w:cs="Arial"/>
                                <w:i w:val="0"/>
                                <w:color w:val="000000" w:themeColor="text1"/>
                                <w:sz w:val="24"/>
                                <w:szCs w:val="24"/>
                              </w:rPr>
                              <w:t xml:space="preserve"> The BOLD haemodynamic response. The BOLD signal initially dips with the onset of a stimulus, then increases to a peak at 4-8 seconds. Once maximal MR signal has been achieved, the signal declines, followed by a negative overshoot then returns to baseline</w:t>
                            </w:r>
                            <w:r>
                              <w:rPr>
                                <w:rFonts w:ascii="Arial" w:hAnsi="Arial" w:cs="Arial"/>
                                <w:i w:val="0"/>
                                <w:color w:val="000000" w:themeColor="text1"/>
                                <w:sz w:val="24"/>
                                <w:szCs w:val="24"/>
                              </w:rPr>
                              <w:t xml:space="preserve"> </w:t>
                            </w:r>
                            <w:r w:rsidRPr="00D01B03">
                              <w:rPr>
                                <w:rFonts w:ascii="Arial" w:hAnsi="Arial" w:cs="Arial"/>
                                <w:i w:val="0"/>
                                <w:color w:val="000000" w:themeColor="text1"/>
                                <w:sz w:val="24"/>
                                <w:szCs w:val="24"/>
                              </w:rPr>
                              <w:fldChar w:fldCharType="begin"/>
                            </w:r>
                            <w:r w:rsidRPr="00D01B03">
                              <w:rPr>
                                <w:rFonts w:ascii="Arial" w:hAnsi="Arial" w:cs="Arial"/>
                                <w:i w:val="0"/>
                                <w:color w:val="000000" w:themeColor="text1"/>
                                <w:sz w:val="24"/>
                                <w:szCs w:val="24"/>
                              </w:rPr>
                              <w:instrText xml:space="preserve"> ADDIN ZOTERO_ITEM CSL_CITATION {"citationID":"ZTyfyDcZ","properties":{"formattedCitation":"(Kornak, Hall, &amp; Haggard, 2011)","plainCitation":"(Kornak, Hall, &amp; Haggard, 2011)","noteIndex":0},"citationItems":[{"id":571,"uris":["http://zotero.org/groups/318634/items/2YB9JKXQ"],"uri":["http://zotero.org/groups/318634/items/2YB9JKXQ"],"itemData":{"id":571,"type":"article-journal","title":"Spatially Extended fMRI Signal Response to Stimulus in Non-Functionally Relevant Regions of the Human Brain: Preliminary Results","container-title":"The Open Neuroimaging Journal","volume":"5","issue":"1","source":"benthamopen.com","abstract":"Spatially Extended fMRI Signal Response to Stimulus in Non-Functionally Relevant Regions of the Human Brain: Preliminary Results","URL":"https://benthamopen.com/ABSTRACT/TONIJ-5-24","DOI":"10.2174/1874440001105010024","title-short":"Spatially Extended fMRI Signal Response to Stimulus in Non-Functionally Relevant Regions of the Human Brain","author":[{"family":"Kornak","given":"John"},{"family":"Hall","given":"Deborah A."},{"family":"Haggard","given":"Mark P."}],"issued":{"date-parts":[["2011",5,11]]},"accessed":{"date-parts":[["2019",10,9]]}}}],"schema":"https://github.com/citation-style-language/schema/raw/master/csl-citation.json"} </w:instrText>
                            </w:r>
                            <w:r w:rsidRPr="00D01B03">
                              <w:rPr>
                                <w:rFonts w:ascii="Arial" w:hAnsi="Arial" w:cs="Arial"/>
                                <w:i w:val="0"/>
                                <w:color w:val="000000" w:themeColor="text1"/>
                                <w:sz w:val="24"/>
                                <w:szCs w:val="24"/>
                              </w:rPr>
                              <w:fldChar w:fldCharType="separate"/>
                            </w:r>
                            <w:r w:rsidRPr="00D01B03">
                              <w:rPr>
                                <w:rFonts w:ascii="Arial" w:hAnsi="Arial" w:cs="Arial"/>
                                <w:i w:val="0"/>
                                <w:color w:val="000000" w:themeColor="text1"/>
                                <w:sz w:val="24"/>
                                <w:szCs w:val="24"/>
                              </w:rPr>
                              <w:t>(</w:t>
                            </w:r>
                            <w:r>
                              <w:rPr>
                                <w:rFonts w:ascii="Arial" w:hAnsi="Arial" w:cs="Arial"/>
                                <w:i w:val="0"/>
                                <w:color w:val="000000" w:themeColor="text1"/>
                                <w:sz w:val="24"/>
                                <w:szCs w:val="24"/>
                              </w:rPr>
                              <w:t xml:space="preserve">Figure from </w:t>
                            </w:r>
                            <w:r w:rsidRPr="00D01B03">
                              <w:rPr>
                                <w:rFonts w:ascii="Arial" w:hAnsi="Arial" w:cs="Arial"/>
                                <w:i w:val="0"/>
                                <w:color w:val="000000" w:themeColor="text1"/>
                                <w:sz w:val="24"/>
                                <w:szCs w:val="24"/>
                              </w:rPr>
                              <w:t>Kornak, Hall, &amp; Haggard, 2011)</w:t>
                            </w:r>
                            <w:r w:rsidRPr="00D01B03">
                              <w:rPr>
                                <w:rFonts w:ascii="Arial" w:hAnsi="Arial" w:cs="Arial"/>
                                <w:i w:val="0"/>
                                <w:color w:val="000000" w:themeColor="text1"/>
                                <w:sz w:val="24"/>
                                <w:szCs w:val="24"/>
                              </w:rPr>
                              <w:fldChar w:fldCharType="end"/>
                            </w:r>
                            <w:r>
                              <w:rPr>
                                <w:rFonts w:ascii="Arial" w:hAnsi="Arial" w:cs="Arial"/>
                                <w:i w:val="0"/>
                                <w:color w:val="000000" w:themeColor="text1"/>
                                <w:sz w:val="24"/>
                                <w:szCs w:val="24"/>
                              </w:rPr>
                              <w:t>.</w:t>
                            </w:r>
                            <w:bookmarkEnd w:id="241"/>
                            <w:bookmarkEnd w:id="242"/>
                            <w:r w:rsidRPr="001306AD">
                              <w:rPr>
                                <w:rFonts w:ascii="Arial" w:hAnsi="Arial" w:cs="Arial"/>
                                <w:i w:val="0"/>
                                <w:color w:val="000000" w:themeColor="text1"/>
                                <w:sz w:val="24"/>
                                <w:szCs w:val="24"/>
                              </w:rPr>
                              <w:t xml:space="preserve"> </w:t>
                            </w:r>
                          </w:p>
                          <w:p w14:paraId="6677481C" w14:textId="77777777" w:rsidR="00C93BE0" w:rsidRDefault="00C93BE0" w:rsidP="009F3085">
                            <w:pPr>
                              <w:jc w:val="center"/>
                            </w:pPr>
                          </w:p>
                          <w:p w14:paraId="09163D4E" w14:textId="77777777" w:rsidR="00C93BE0" w:rsidRDefault="00C93BE0" w:rsidP="009F3085"/>
                          <w:p w14:paraId="353A98BA" w14:textId="77777777" w:rsidR="00C93BE0" w:rsidRDefault="00C93BE0" w:rsidP="009F3085">
                            <w:pPr>
                              <w:keepNext/>
                              <w:jc w:val="center"/>
                            </w:pPr>
                          </w:p>
                          <w:p w14:paraId="2401E4AC"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F7FA4" id="Text Box 107" o:spid="_x0000_s1037" type="#_x0000_t202" style="position:absolute;margin-left:-10.55pt;margin-top:27.35pt;width:417.35pt;height:313.7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" filled="f" stroked="f" strokeweight=".5pt">
                <v:textbox>
                  <w:txbxContent>
                    <w:p w14:paraId="78EFAF17" w14:textId="77777777" w:rsidR="00C93BE0" w:rsidRDefault="00C93BE0" w:rsidP="009F3085">
                      <w:pPr>
                        <w:keepNext/>
                        <w:jc w:val="center"/>
                      </w:pPr>
                      <w:r>
                        <w:rPr>
                          <w:noProof/>
                          <w:lang w:eastAsia="en-GB"/>
                        </w:rPr>
                        <w:drawing>
                          <wp:inline distT="0" distB="0" distL="0" distR="0" wp14:anchorId="77AE70CC" wp14:editId="7A2A4BE6">
                            <wp:extent cx="5007428" cy="2295072"/>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figure2.6-hdr_function.jpg"/>
                                    <pic:cNvPicPr/>
                                  </pic:nvPicPr>
                                  <pic:blipFill>
                                    <a:blip r:embed="rId29">
                                      <a:extLst>
                                        <a:ext uri="{28A0092B-C50C-407E-A947-70E740481C1C}">
                                          <a14:useLocalDpi xmlns:a14="http://schemas.microsoft.com/office/drawing/2010/main" val="0"/>
                                        </a:ext>
                                      </a:extLst>
                                    </a:blip>
                                    <a:stretch>
                                      <a:fillRect/>
                                    </a:stretch>
                                  </pic:blipFill>
                                  <pic:spPr>
                                    <a:xfrm>
                                      <a:off x="0" y="0"/>
                                      <a:ext cx="5051556" cy="2315297"/>
                                    </a:xfrm>
                                    <a:prstGeom prst="rect">
                                      <a:avLst/>
                                    </a:prstGeom>
                                  </pic:spPr>
                                </pic:pic>
                              </a:graphicData>
                            </a:graphic>
                          </wp:inline>
                        </w:drawing>
                      </w:r>
                    </w:p>
                    <w:p w14:paraId="1E1CFB38" w14:textId="77777777" w:rsidR="00C93BE0" w:rsidRDefault="00C93BE0" w:rsidP="009F3085">
                      <w:pPr>
                        <w:pStyle w:val="Caption"/>
                        <w:jc w:val="both"/>
                        <w:rPr>
                          <w:rFonts w:ascii="Arial" w:hAnsi="Arial" w:cs="Arial"/>
                          <w:b/>
                          <w:i w:val="0"/>
                          <w:color w:val="000000" w:themeColor="text1"/>
                          <w:sz w:val="24"/>
                          <w:szCs w:val="24"/>
                        </w:rPr>
                      </w:pPr>
                    </w:p>
                    <w:p w14:paraId="58DE628B" w14:textId="6812919B" w:rsidR="00C93BE0" w:rsidRPr="001306AD" w:rsidRDefault="00C93BE0" w:rsidP="009F3085">
                      <w:pPr>
                        <w:pStyle w:val="Caption"/>
                        <w:spacing w:line="360" w:lineRule="auto"/>
                        <w:jc w:val="both"/>
                        <w:rPr>
                          <w:rFonts w:ascii="Arial" w:hAnsi="Arial" w:cs="Arial"/>
                          <w:i w:val="0"/>
                          <w:color w:val="000000" w:themeColor="text1"/>
                          <w:sz w:val="24"/>
                          <w:szCs w:val="24"/>
                        </w:rPr>
                      </w:pPr>
                      <w:bookmarkStart w:id="262" w:name="_Toc12363342"/>
                      <w:bookmarkStart w:id="263" w:name="_Toc16242699"/>
                      <w:r w:rsidRPr="001306AD">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sidRPr="001306AD">
                        <w:rPr>
                          <w:rFonts w:ascii="Arial" w:hAnsi="Arial" w:cs="Arial"/>
                          <w:i w:val="0"/>
                          <w:color w:val="000000" w:themeColor="text1"/>
                          <w:sz w:val="24"/>
                          <w:szCs w:val="24"/>
                        </w:rPr>
                        <w:t xml:space="preserve"> The BOLD haemodynamic response. The BOLD signal initially dips with the onset of a stimulus, then increases to a peak at 4-8 seconds. Once maximal MR signal has been achieved, the signal declines, followed by a negative overshoot then returns to baseline</w:t>
                      </w:r>
                      <w:r>
                        <w:rPr>
                          <w:rFonts w:ascii="Arial" w:hAnsi="Arial" w:cs="Arial"/>
                          <w:i w:val="0"/>
                          <w:color w:val="000000" w:themeColor="text1"/>
                          <w:sz w:val="24"/>
                          <w:szCs w:val="24"/>
                        </w:rPr>
                        <w:t xml:space="preserve"> </w:t>
                      </w:r>
                      <w:r w:rsidRPr="00D01B03">
                        <w:rPr>
                          <w:rFonts w:ascii="Arial" w:hAnsi="Arial" w:cs="Arial"/>
                          <w:i w:val="0"/>
                          <w:color w:val="000000" w:themeColor="text1"/>
                          <w:sz w:val="24"/>
                          <w:szCs w:val="24"/>
                        </w:rPr>
                        <w:fldChar w:fldCharType="begin"/>
                      </w:r>
                      <w:r w:rsidRPr="00D01B03">
                        <w:rPr>
                          <w:rFonts w:ascii="Arial" w:hAnsi="Arial" w:cs="Arial"/>
                          <w:i w:val="0"/>
                          <w:color w:val="000000" w:themeColor="text1"/>
                          <w:sz w:val="24"/>
                          <w:szCs w:val="24"/>
                        </w:rPr>
                        <w:instrText xml:space="preserve"> ADDIN ZOTERO_ITEM CSL_CITATION {"citationID":"ZTyfyDcZ","properties":{"formattedCitation":"(Kornak, Hall, &amp; Haggard, 2011)","plainCitation":"(Kornak, Hall, &amp; Haggard, 2011)","noteIndex":0},"citationItems":[{"id":571,"uris":["http://zotero.org/groups/318634/items/2YB9JKXQ"],"uri":["http://zotero.org/groups/318634/items/2YB9JKXQ"],"itemData":{"id":571,"type":"article-journal","title":"Spatially Extended fMRI Signal Response to Stimulus in Non-Functionally Relevant Regions of the Human Brain: Preliminary Results","container-title":"The Open Neuroimaging Journal","volume":"5","issue":"1","source":"benthamopen.com","abstract":"Spatially Extended fMRI Signal Response to Stimulus in Non-Functionally Relevant Regions of the Human Brain: Preliminary Results","URL":"https://benthamopen.com/ABSTRACT/TONIJ-5-24","DOI":"10.2174/1874440001105010024","title-short":"Spatially Extended fMRI Signal Response to Stimulus in Non-Functionally Relevant Regions of the Human Brain","author":[{"family":"Kornak","given":"John"},{"family":"Hall","given":"Deborah A."},{"family":"Haggard","given":"Mark P."}],"issued":{"date-parts":[["2011",5,11]]},"accessed":{"date-parts":[["2019",10,9]]}}}],"schema":"https://github.com/citation-style-language/schema/raw/master/csl-citation.json"} </w:instrText>
                      </w:r>
                      <w:r w:rsidRPr="00D01B03">
                        <w:rPr>
                          <w:rFonts w:ascii="Arial" w:hAnsi="Arial" w:cs="Arial"/>
                          <w:i w:val="0"/>
                          <w:color w:val="000000" w:themeColor="text1"/>
                          <w:sz w:val="24"/>
                          <w:szCs w:val="24"/>
                        </w:rPr>
                        <w:fldChar w:fldCharType="separate"/>
                      </w:r>
                      <w:r w:rsidRPr="00D01B03">
                        <w:rPr>
                          <w:rFonts w:ascii="Arial" w:hAnsi="Arial" w:cs="Arial"/>
                          <w:i w:val="0"/>
                          <w:color w:val="000000" w:themeColor="text1"/>
                          <w:sz w:val="24"/>
                          <w:szCs w:val="24"/>
                        </w:rPr>
                        <w:t>(</w:t>
                      </w:r>
                      <w:r>
                        <w:rPr>
                          <w:rFonts w:ascii="Arial" w:hAnsi="Arial" w:cs="Arial"/>
                          <w:i w:val="0"/>
                          <w:color w:val="000000" w:themeColor="text1"/>
                          <w:sz w:val="24"/>
                          <w:szCs w:val="24"/>
                        </w:rPr>
                        <w:t xml:space="preserve">Figure from </w:t>
                      </w:r>
                      <w:r w:rsidRPr="00D01B03">
                        <w:rPr>
                          <w:rFonts w:ascii="Arial" w:hAnsi="Arial" w:cs="Arial"/>
                          <w:i w:val="0"/>
                          <w:color w:val="000000" w:themeColor="text1"/>
                          <w:sz w:val="24"/>
                          <w:szCs w:val="24"/>
                        </w:rPr>
                        <w:t>Kornak, Hall, &amp; Haggard, 2011)</w:t>
                      </w:r>
                      <w:r w:rsidRPr="00D01B03">
                        <w:rPr>
                          <w:rFonts w:ascii="Arial" w:hAnsi="Arial" w:cs="Arial"/>
                          <w:i w:val="0"/>
                          <w:color w:val="000000" w:themeColor="text1"/>
                          <w:sz w:val="24"/>
                          <w:szCs w:val="24"/>
                        </w:rPr>
                        <w:fldChar w:fldCharType="end"/>
                      </w:r>
                      <w:r>
                        <w:rPr>
                          <w:rFonts w:ascii="Arial" w:hAnsi="Arial" w:cs="Arial"/>
                          <w:i w:val="0"/>
                          <w:color w:val="000000" w:themeColor="text1"/>
                          <w:sz w:val="24"/>
                          <w:szCs w:val="24"/>
                        </w:rPr>
                        <w:t>.</w:t>
                      </w:r>
                      <w:bookmarkEnd w:id="262"/>
                      <w:bookmarkEnd w:id="263"/>
                      <w:r w:rsidRPr="001306AD">
                        <w:rPr>
                          <w:rFonts w:ascii="Arial" w:hAnsi="Arial" w:cs="Arial"/>
                          <w:i w:val="0"/>
                          <w:color w:val="000000" w:themeColor="text1"/>
                          <w:sz w:val="24"/>
                          <w:szCs w:val="24"/>
                        </w:rPr>
                        <w:t xml:space="preserve"> </w:t>
                      </w:r>
                    </w:p>
                    <w:p w14:paraId="6677481C" w14:textId="77777777" w:rsidR="00C93BE0" w:rsidRDefault="00C93BE0" w:rsidP="009F3085">
                      <w:pPr>
                        <w:jc w:val="center"/>
                      </w:pPr>
                    </w:p>
                    <w:p w14:paraId="09163D4E" w14:textId="77777777" w:rsidR="00C93BE0" w:rsidRDefault="00C93BE0" w:rsidP="009F3085"/>
                    <w:p w14:paraId="353A98BA" w14:textId="77777777" w:rsidR="00C93BE0" w:rsidRDefault="00C93BE0" w:rsidP="009F3085">
                      <w:pPr>
                        <w:keepNext/>
                        <w:jc w:val="center"/>
                      </w:pPr>
                    </w:p>
                    <w:p w14:paraId="2401E4AC" w14:textId="77777777" w:rsidR="00C93BE0" w:rsidRDefault="00C93BE0" w:rsidP="009F3085">
                      <w:pPr>
                        <w:jc w:val="center"/>
                      </w:pPr>
                    </w:p>
                  </w:txbxContent>
                </v:textbox>
                <w10:wrap type="square"/>
              </v:shape>
            </w:pict>
          </mc:Fallback>
        </mc:AlternateContent>
      </w:r>
    </w:p>
    <w:p w14:paraId="3FA8818E" w14:textId="5EA1F034" w:rsidR="001306AD" w:rsidRDefault="001306AD" w:rsidP="000C73FA">
      <w:pPr>
        <w:spacing w:line="480" w:lineRule="auto"/>
        <w:rPr>
          <w:rFonts w:ascii="Arial" w:hAnsi="Arial" w:cs="Arial"/>
        </w:rPr>
      </w:pPr>
    </w:p>
    <w:p w14:paraId="0588E884" w14:textId="77777777" w:rsidR="00AE6937" w:rsidRPr="00225AB0" w:rsidRDefault="00AE6937" w:rsidP="000C73FA">
      <w:pPr>
        <w:spacing w:line="480" w:lineRule="auto"/>
        <w:rPr>
          <w:rFonts w:ascii="Arial" w:hAnsi="Arial" w:cs="Arial"/>
        </w:rPr>
      </w:pPr>
    </w:p>
    <w:p w14:paraId="3E7EF609" w14:textId="77777777" w:rsidR="000C73FA" w:rsidRDefault="000C73FA" w:rsidP="001811CC">
      <w:pPr>
        <w:pStyle w:val="Heading3"/>
        <w:numPr>
          <w:ilvl w:val="2"/>
          <w:numId w:val="3"/>
        </w:numPr>
        <w:rPr>
          <w:rFonts w:ascii="Arial" w:hAnsi="Arial" w:cs="Arial"/>
          <w:b/>
          <w:i/>
          <w:color w:val="000000" w:themeColor="text1"/>
          <w:sz w:val="28"/>
          <w:szCs w:val="28"/>
        </w:rPr>
      </w:pPr>
      <w:bookmarkStart w:id="243" w:name="_Toc11147973"/>
      <w:bookmarkStart w:id="244" w:name="_Toc11153919"/>
      <w:bookmarkStart w:id="245" w:name="_Toc11753625"/>
      <w:bookmarkStart w:id="246" w:name="_Toc11926811"/>
      <w:bookmarkStart w:id="247" w:name="_Toc11930044"/>
      <w:bookmarkStart w:id="248" w:name="_Toc16075360"/>
      <w:bookmarkStart w:id="249" w:name="_Toc16236983"/>
      <w:r w:rsidRPr="00CB7683">
        <w:rPr>
          <w:rFonts w:ascii="Arial" w:hAnsi="Arial" w:cs="Arial"/>
          <w:b/>
          <w:i/>
          <w:color w:val="000000" w:themeColor="text1"/>
          <w:sz w:val="28"/>
          <w:szCs w:val="28"/>
        </w:rPr>
        <w:lastRenderedPageBreak/>
        <w:t>Magnetic resonance imaging</w:t>
      </w:r>
      <w:bookmarkEnd w:id="243"/>
      <w:bookmarkEnd w:id="244"/>
      <w:bookmarkEnd w:id="245"/>
      <w:bookmarkEnd w:id="246"/>
      <w:bookmarkEnd w:id="247"/>
      <w:bookmarkEnd w:id="248"/>
      <w:bookmarkEnd w:id="249"/>
      <w:r w:rsidRPr="00CB7683">
        <w:rPr>
          <w:rFonts w:ascii="Arial" w:hAnsi="Arial" w:cs="Arial"/>
          <w:b/>
          <w:i/>
          <w:color w:val="000000" w:themeColor="text1"/>
          <w:sz w:val="28"/>
          <w:szCs w:val="28"/>
        </w:rPr>
        <w:t xml:space="preserve"> </w:t>
      </w:r>
    </w:p>
    <w:p w14:paraId="27B17BC1" w14:textId="77777777" w:rsidR="00CB7683" w:rsidRPr="00CB7683" w:rsidRDefault="00CB7683" w:rsidP="00CB7683"/>
    <w:p w14:paraId="5EE575B3" w14:textId="4C9E8E47" w:rsidR="000C73FA" w:rsidRPr="00225AB0" w:rsidRDefault="000C73FA" w:rsidP="000C73FA">
      <w:pPr>
        <w:spacing w:line="480" w:lineRule="auto"/>
        <w:rPr>
          <w:rFonts w:ascii="Arial" w:hAnsi="Arial" w:cs="Arial"/>
        </w:rPr>
      </w:pPr>
      <w:r w:rsidRPr="00225AB0">
        <w:rPr>
          <w:rFonts w:ascii="Arial" w:hAnsi="Arial" w:cs="Arial"/>
        </w:rPr>
        <w:t xml:space="preserve">Both magnetic resonance imaging (MRI) and fMRI measure changes </w:t>
      </w:r>
      <w:r w:rsidR="00D44AC6">
        <w:rPr>
          <w:rFonts w:ascii="Arial" w:hAnsi="Arial" w:cs="Arial"/>
        </w:rPr>
        <w:t>in</w:t>
      </w:r>
      <w:r w:rsidRPr="00225AB0">
        <w:rPr>
          <w:rFonts w:ascii="Arial" w:hAnsi="Arial" w:cs="Arial"/>
        </w:rPr>
        <w:t xml:space="preserve"> magnetic fields. With no clear magnetic field, hydrogen nuclei (protons) </w:t>
      </w:r>
      <w:r w:rsidR="00D44AC6">
        <w:rPr>
          <w:rFonts w:ascii="Arial" w:hAnsi="Arial" w:cs="Arial"/>
        </w:rPr>
        <w:t>in</w:t>
      </w:r>
      <w:r w:rsidRPr="00225AB0">
        <w:rPr>
          <w:rFonts w:ascii="Arial" w:hAnsi="Arial" w:cs="Arial"/>
        </w:rPr>
        <w:t xml:space="preserve"> a human body are randomly oriented, with no net magnetisation. However, when a participant enters a strong magnetic field (</w:t>
      </w:r>
      <w:r w:rsidR="00D44AC6">
        <w:rPr>
          <w:rFonts w:ascii="Arial" w:hAnsi="Arial" w:cs="Arial"/>
        </w:rPr>
        <w:t>in</w:t>
      </w:r>
      <w:r w:rsidRPr="00225AB0">
        <w:rPr>
          <w:rFonts w:ascii="Arial" w:hAnsi="Arial" w:cs="Arial"/>
        </w:rPr>
        <w:t xml:space="preserve"> an MRI scanner), protons align themselves along the bore of the scanner (B0) (the longitudinal direction) to reach equilibrium (they become polarised).  Approximately half of these protons align parallel to the B0, with a relatively low-energy stable state. The remaining protons align antiparallel to the longitudinal direction in a high-energy, less stable state. The discrepancy between high and low stability results in a bias towards the stable, parallel alignment state, producing net magnetisation in the B0 direction. Each proton possesses a mass and spin, which provides them with angular momentum. Hence, protons are not static. Instead, they precess around a magnetic field direction (i.e. they rotate around the alignment direction, forming a cone-shaped arc). Magnetic resonance imaging reflects changes in the alignment of protons across energy states. </w:t>
      </w:r>
    </w:p>
    <w:p w14:paraId="23E14505" w14:textId="77777777" w:rsidR="000C73FA" w:rsidRPr="00225AB0" w:rsidRDefault="000C73FA" w:rsidP="000C73FA">
      <w:pPr>
        <w:spacing w:line="480" w:lineRule="auto"/>
        <w:rPr>
          <w:rFonts w:ascii="Arial" w:hAnsi="Arial" w:cs="Arial"/>
        </w:rPr>
      </w:pPr>
    </w:p>
    <w:p w14:paraId="1421A75D" w14:textId="79C518F3" w:rsidR="000C73FA" w:rsidRPr="00225AB0" w:rsidRDefault="000C73FA" w:rsidP="000C73FA">
      <w:pPr>
        <w:spacing w:line="480" w:lineRule="auto"/>
        <w:rPr>
          <w:rFonts w:ascii="Arial" w:hAnsi="Arial" w:cs="Arial"/>
        </w:rPr>
      </w:pPr>
      <w:r w:rsidRPr="00225AB0">
        <w:rPr>
          <w:rFonts w:ascii="Arial" w:hAnsi="Arial" w:cs="Arial"/>
        </w:rPr>
        <w:t xml:space="preserve">During an MRI scan, a short RF pulse is applied, which provides the hydrogen nuclei with energy. This causes the low-energy protons </w:t>
      </w:r>
      <w:r w:rsidR="00D44AC6">
        <w:rPr>
          <w:rFonts w:ascii="Arial" w:hAnsi="Arial" w:cs="Arial"/>
        </w:rPr>
        <w:t>in</w:t>
      </w:r>
      <w:r w:rsidRPr="00225AB0">
        <w:rPr>
          <w:rFonts w:ascii="Arial" w:hAnsi="Arial" w:cs="Arial"/>
        </w:rPr>
        <w:t xml:space="preserve"> the participant to flip to a high-energy state, which reduces the overall magnetisation along the B0 axis. By applying a 90° RF pulse specifically, approximately half of the protons are in high- and low-energy states respectively, which cancels out the magnetisation along the longitudinal direction. This also brings the spins of all protons into phase, resulting in a </w:t>
      </w:r>
      <w:r w:rsidRPr="00225AB0">
        <w:rPr>
          <w:rFonts w:ascii="Arial" w:hAnsi="Arial" w:cs="Arial"/>
        </w:rPr>
        <w:lastRenderedPageBreak/>
        <w:t xml:space="preserve">net magnetisation in the transverse plane (at a right angle to the longitudinal plane). </w:t>
      </w:r>
    </w:p>
    <w:p w14:paraId="6A1E4664" w14:textId="77777777" w:rsidR="000C73FA" w:rsidRPr="00225AB0" w:rsidRDefault="000C73FA" w:rsidP="000C73FA">
      <w:pPr>
        <w:spacing w:line="480" w:lineRule="auto"/>
        <w:rPr>
          <w:rFonts w:ascii="Arial" w:hAnsi="Arial" w:cs="Arial"/>
        </w:rPr>
      </w:pPr>
    </w:p>
    <w:p w14:paraId="267F5F98" w14:textId="5674EF61" w:rsidR="000C73FA" w:rsidRPr="00225AB0" w:rsidRDefault="000C73FA" w:rsidP="000C73FA">
      <w:pPr>
        <w:spacing w:line="480" w:lineRule="auto"/>
        <w:rPr>
          <w:rFonts w:ascii="Arial" w:hAnsi="Arial" w:cs="Arial"/>
        </w:rPr>
      </w:pPr>
      <w:r w:rsidRPr="00225AB0">
        <w:rPr>
          <w:rFonts w:ascii="Arial" w:hAnsi="Arial" w:cs="Arial"/>
        </w:rPr>
        <w:t>Once the RF pulse is terminated, the protons are in an overall less stable state. Overtime, these protons return to their equilibrium state (relaxation). Protons in the high energy (unstable) state will revert to the lower-energy (stable) state over time, leading to a gradual restoration of the magnetic field in the B0 plane (T</w:t>
      </w:r>
      <w:r w:rsidRPr="00225AB0">
        <w:rPr>
          <w:rFonts w:ascii="Arial" w:hAnsi="Arial" w:cs="Arial"/>
          <w:vertAlign w:val="subscript"/>
        </w:rPr>
        <w:t>1</w:t>
      </w:r>
      <w:r w:rsidRPr="00225AB0">
        <w:rPr>
          <w:rFonts w:ascii="Arial" w:hAnsi="Arial" w:cs="Arial"/>
        </w:rPr>
        <w:t xml:space="preserve"> recovery). T</w:t>
      </w:r>
      <w:r w:rsidRPr="00225AB0">
        <w:rPr>
          <w:rFonts w:ascii="Arial" w:hAnsi="Arial" w:cs="Arial"/>
          <w:vertAlign w:val="subscript"/>
        </w:rPr>
        <w:t>1</w:t>
      </w:r>
      <w:r w:rsidRPr="00225AB0">
        <w:rPr>
          <w:rFonts w:ascii="Arial" w:hAnsi="Arial" w:cs="Arial"/>
        </w:rPr>
        <w:t xml:space="preserve"> recovery specifically refers to the time is takes for 63% of the magnetisation </w:t>
      </w:r>
      <w:r w:rsidR="00D44AC6">
        <w:rPr>
          <w:rFonts w:ascii="Arial" w:hAnsi="Arial" w:cs="Arial"/>
        </w:rPr>
        <w:t>in</w:t>
      </w:r>
      <w:r w:rsidRPr="00225AB0">
        <w:rPr>
          <w:rFonts w:ascii="Arial" w:hAnsi="Arial" w:cs="Arial"/>
        </w:rPr>
        <w:t xml:space="preserve"> the B0 plane to recover. However, additionally, when protons transition from high to low energy states, they also release an RF pulse at the same frequency as the stimulation pulse. This can be detected by the MRI scanner, via a receiver coil in the transverse plane, as overtime, during this transition, protons lose their spin coherence. Hence, this is termed T</w:t>
      </w:r>
      <w:r w:rsidRPr="00225AB0">
        <w:rPr>
          <w:rFonts w:ascii="Arial" w:hAnsi="Arial" w:cs="Arial"/>
          <w:vertAlign w:val="subscript"/>
        </w:rPr>
        <w:t>2</w:t>
      </w:r>
      <w:r w:rsidRPr="00225AB0">
        <w:rPr>
          <w:rFonts w:ascii="Arial" w:hAnsi="Arial" w:cs="Arial"/>
        </w:rPr>
        <w:t xml:space="preserve"> decay, as it results in a loss of overall magnetisation in the transverse plane and refers specifically to the time it takes for transverse magnetisation to decay by 63% of its maximum value. The current induced from this decay is detected as an MR signal. T</w:t>
      </w:r>
      <w:r w:rsidRPr="00225AB0">
        <w:rPr>
          <w:rFonts w:ascii="Arial" w:hAnsi="Arial" w:cs="Arial"/>
          <w:vertAlign w:val="subscript"/>
        </w:rPr>
        <w:t>1</w:t>
      </w:r>
      <w:r w:rsidRPr="00225AB0">
        <w:rPr>
          <w:rFonts w:ascii="Arial" w:hAnsi="Arial" w:cs="Arial"/>
        </w:rPr>
        <w:t xml:space="preserve"> relaxation time is always longer or equal to T</w:t>
      </w:r>
      <w:r w:rsidRPr="00225AB0">
        <w:rPr>
          <w:rFonts w:ascii="Arial" w:hAnsi="Arial" w:cs="Arial"/>
          <w:vertAlign w:val="subscript"/>
        </w:rPr>
        <w:t>2</w:t>
      </w:r>
      <w:r w:rsidRPr="00225AB0">
        <w:rPr>
          <w:rFonts w:ascii="Arial" w:hAnsi="Arial" w:cs="Arial"/>
        </w:rPr>
        <w:t xml:space="preserve"> relaxation time. </w:t>
      </w:r>
    </w:p>
    <w:p w14:paraId="7F8307F5" w14:textId="77777777" w:rsidR="000C73FA" w:rsidRPr="00225AB0" w:rsidRDefault="000C73FA" w:rsidP="000C73FA">
      <w:pPr>
        <w:spacing w:line="480" w:lineRule="auto"/>
        <w:rPr>
          <w:rFonts w:ascii="Arial" w:hAnsi="Arial" w:cs="Arial"/>
        </w:rPr>
      </w:pPr>
    </w:p>
    <w:p w14:paraId="60D5359E" w14:textId="77777777" w:rsidR="000C73FA" w:rsidRPr="00225AB0" w:rsidRDefault="000C73FA" w:rsidP="000C73FA">
      <w:pPr>
        <w:spacing w:line="480" w:lineRule="auto"/>
        <w:rPr>
          <w:rFonts w:ascii="Arial" w:hAnsi="Arial" w:cs="Arial"/>
        </w:rPr>
      </w:pPr>
      <w:r w:rsidRPr="00225AB0">
        <w:rPr>
          <w:rFonts w:ascii="Arial" w:hAnsi="Arial" w:cs="Arial"/>
        </w:rPr>
        <w:t>T</w:t>
      </w:r>
      <w:r w:rsidRPr="00225AB0">
        <w:rPr>
          <w:rFonts w:ascii="Arial" w:hAnsi="Arial" w:cs="Arial"/>
          <w:vertAlign w:val="subscript"/>
        </w:rPr>
        <w:t>1</w:t>
      </w:r>
      <w:r w:rsidRPr="00225AB0">
        <w:rPr>
          <w:rFonts w:ascii="Arial" w:hAnsi="Arial" w:cs="Arial"/>
        </w:rPr>
        <w:t xml:space="preserve"> and T</w:t>
      </w:r>
      <w:r w:rsidRPr="00225AB0">
        <w:rPr>
          <w:rFonts w:ascii="Arial" w:hAnsi="Arial" w:cs="Arial"/>
          <w:vertAlign w:val="subscript"/>
        </w:rPr>
        <w:t>2</w:t>
      </w:r>
      <w:r w:rsidRPr="00225AB0">
        <w:rPr>
          <w:rFonts w:ascii="Arial" w:hAnsi="Arial" w:cs="Arial"/>
        </w:rPr>
        <w:t xml:space="preserve"> relaxation times differ dependent on in which tissue hydrogen nuclei lie. For example, in T</w:t>
      </w:r>
      <w:r w:rsidRPr="00225AB0">
        <w:rPr>
          <w:rFonts w:ascii="Arial" w:hAnsi="Arial" w:cs="Arial"/>
          <w:vertAlign w:val="subscript"/>
        </w:rPr>
        <w:t>1</w:t>
      </w:r>
      <w:r w:rsidRPr="00225AB0">
        <w:rPr>
          <w:rFonts w:ascii="Arial" w:hAnsi="Arial" w:cs="Arial"/>
        </w:rPr>
        <w:t>-weighted images, cerebrospinal fluid (CSF) is dark as relaxation time is longer in water, yet in T</w:t>
      </w:r>
      <w:r w:rsidRPr="00225AB0">
        <w:rPr>
          <w:rFonts w:ascii="Arial" w:hAnsi="Arial" w:cs="Arial"/>
          <w:vertAlign w:val="subscript"/>
        </w:rPr>
        <w:t>2</w:t>
      </w:r>
      <w:r w:rsidRPr="00225AB0">
        <w:rPr>
          <w:rFonts w:ascii="Arial" w:hAnsi="Arial" w:cs="Arial"/>
        </w:rPr>
        <w:t xml:space="preserve">-weighted images, CSF is bright. These differences help to provide a high-resolution spatial image. </w:t>
      </w:r>
    </w:p>
    <w:p w14:paraId="6E76D2BA" w14:textId="77777777" w:rsidR="000C73FA" w:rsidRPr="00225AB0" w:rsidRDefault="000C73FA" w:rsidP="000C73FA">
      <w:pPr>
        <w:spacing w:line="480" w:lineRule="auto"/>
        <w:rPr>
          <w:rFonts w:ascii="Arial" w:hAnsi="Arial" w:cs="Arial"/>
        </w:rPr>
      </w:pPr>
    </w:p>
    <w:p w14:paraId="5F7F0BBA" w14:textId="2491B567" w:rsidR="000C73FA" w:rsidRPr="00225AB0" w:rsidRDefault="000C73FA" w:rsidP="000C73FA">
      <w:pPr>
        <w:spacing w:line="480" w:lineRule="auto"/>
        <w:rPr>
          <w:rFonts w:ascii="Arial" w:hAnsi="Arial" w:cs="Arial"/>
        </w:rPr>
      </w:pPr>
      <w:r w:rsidRPr="00225AB0">
        <w:rPr>
          <w:rFonts w:ascii="Arial" w:hAnsi="Arial" w:cs="Arial"/>
        </w:rPr>
        <w:t xml:space="preserve">fMRI exploits differences between oxygenated and deoxygenated blood to identify the BOLD response. Deoxygenated blood has greater magnetic </w:t>
      </w:r>
      <w:r w:rsidRPr="00225AB0">
        <w:rPr>
          <w:rFonts w:ascii="Arial" w:hAnsi="Arial" w:cs="Arial"/>
        </w:rPr>
        <w:lastRenderedPageBreak/>
        <w:t xml:space="preserve">susceptibility than oxygenated blood, meaning it will produce local </w:t>
      </w:r>
      <w:r w:rsidR="00740993" w:rsidRPr="00225AB0">
        <w:rPr>
          <w:rFonts w:ascii="Arial" w:hAnsi="Arial" w:cs="Arial"/>
        </w:rPr>
        <w:t>inhomogeneities</w:t>
      </w:r>
      <w:r w:rsidRPr="00225AB0">
        <w:rPr>
          <w:rFonts w:ascii="Arial" w:hAnsi="Arial" w:cs="Arial"/>
        </w:rPr>
        <w:t xml:space="preserve"> in the magnetic fields </w:t>
      </w:r>
      <w:r w:rsidR="00D44AC6">
        <w:rPr>
          <w:rFonts w:ascii="Arial" w:hAnsi="Arial" w:cs="Arial"/>
        </w:rPr>
        <w:t>in</w:t>
      </w:r>
      <w:r w:rsidRPr="00225AB0">
        <w:rPr>
          <w:rFonts w:ascii="Arial" w:hAnsi="Arial" w:cs="Arial"/>
        </w:rPr>
        <w:t xml:space="preserve"> the regions it is present. These inhomogeneities can elicit a loss of spin coherence across the protons, which can interact with the loss of phase coherence </w:t>
      </w:r>
      <w:r w:rsidR="00D44AC6">
        <w:rPr>
          <w:rFonts w:ascii="Arial" w:hAnsi="Arial" w:cs="Arial"/>
        </w:rPr>
        <w:t>in</w:t>
      </w:r>
      <w:r w:rsidRPr="00225AB0">
        <w:rPr>
          <w:rFonts w:ascii="Arial" w:hAnsi="Arial" w:cs="Arial"/>
        </w:rPr>
        <w:t xml:space="preserve"> the transverse plane. This process is known as T</w:t>
      </w:r>
      <w:r w:rsidRPr="00225AB0">
        <w:rPr>
          <w:rFonts w:ascii="Arial" w:hAnsi="Arial" w:cs="Arial"/>
          <w:vertAlign w:val="subscript"/>
        </w:rPr>
        <w:t>2</w:t>
      </w:r>
      <w:r w:rsidRPr="00225AB0">
        <w:rPr>
          <w:rFonts w:ascii="Arial" w:hAnsi="Arial" w:cs="Arial"/>
        </w:rPr>
        <w:t xml:space="preserve">* decay and allows for measurement of BOLD response across the brain. </w:t>
      </w:r>
    </w:p>
    <w:p w14:paraId="27F1B69D" w14:textId="77777777" w:rsidR="000C73FA" w:rsidRPr="00225AB0" w:rsidRDefault="000C73FA" w:rsidP="000C73FA">
      <w:pPr>
        <w:spacing w:line="480" w:lineRule="auto"/>
        <w:rPr>
          <w:rFonts w:ascii="Arial" w:hAnsi="Arial" w:cs="Arial"/>
        </w:rPr>
      </w:pPr>
    </w:p>
    <w:p w14:paraId="7EF768EB" w14:textId="77777777" w:rsidR="000C73FA" w:rsidRDefault="000C73FA" w:rsidP="001811CC">
      <w:pPr>
        <w:pStyle w:val="Heading3"/>
        <w:numPr>
          <w:ilvl w:val="2"/>
          <w:numId w:val="3"/>
        </w:numPr>
        <w:rPr>
          <w:rFonts w:ascii="Arial" w:hAnsi="Arial" w:cs="Arial"/>
          <w:b/>
          <w:i/>
          <w:color w:val="000000" w:themeColor="text1"/>
          <w:sz w:val="28"/>
          <w:szCs w:val="28"/>
        </w:rPr>
      </w:pPr>
      <w:bookmarkStart w:id="250" w:name="_Toc11147974"/>
      <w:bookmarkStart w:id="251" w:name="_Toc11153920"/>
      <w:bookmarkStart w:id="252" w:name="_Toc11753626"/>
      <w:bookmarkStart w:id="253" w:name="_Toc11926812"/>
      <w:bookmarkStart w:id="254" w:name="_Toc11930045"/>
      <w:bookmarkStart w:id="255" w:name="_Toc16075361"/>
      <w:bookmarkStart w:id="256" w:name="_Toc16236984"/>
      <w:r w:rsidRPr="00CB7683">
        <w:rPr>
          <w:rFonts w:ascii="Arial" w:hAnsi="Arial" w:cs="Arial"/>
          <w:b/>
          <w:i/>
          <w:color w:val="000000" w:themeColor="text1"/>
          <w:sz w:val="28"/>
          <w:szCs w:val="28"/>
        </w:rPr>
        <w:t>Retinotopy and population receptive field (pRF) mapping using fMRI</w:t>
      </w:r>
      <w:bookmarkEnd w:id="250"/>
      <w:bookmarkEnd w:id="251"/>
      <w:bookmarkEnd w:id="252"/>
      <w:bookmarkEnd w:id="253"/>
      <w:bookmarkEnd w:id="254"/>
      <w:bookmarkEnd w:id="255"/>
      <w:bookmarkEnd w:id="256"/>
    </w:p>
    <w:p w14:paraId="7480EEF0" w14:textId="77777777" w:rsidR="00CB7683" w:rsidRPr="00CB7683" w:rsidRDefault="00CB7683" w:rsidP="00CB7683"/>
    <w:p w14:paraId="115B58DD" w14:textId="077C7D75" w:rsidR="000C73FA" w:rsidRPr="00225AB0" w:rsidRDefault="00D44AC6" w:rsidP="000C73FA">
      <w:pPr>
        <w:spacing w:line="480" w:lineRule="auto"/>
        <w:rPr>
          <w:rFonts w:ascii="Arial" w:hAnsi="Arial" w:cs="Arial"/>
        </w:rPr>
      </w:pPr>
      <w:r>
        <w:rPr>
          <w:rFonts w:ascii="Arial" w:hAnsi="Arial" w:cs="Arial"/>
        </w:rPr>
        <w:t>In</w:t>
      </w:r>
      <w:r w:rsidR="000C73FA" w:rsidRPr="00225AB0">
        <w:rPr>
          <w:rFonts w:ascii="Arial" w:hAnsi="Arial" w:cs="Arial"/>
        </w:rPr>
        <w:t xml:space="preserve"> </w:t>
      </w:r>
      <w:r w:rsidR="000C73FA" w:rsidRPr="00225AB0">
        <w:rPr>
          <w:rFonts w:ascii="Arial" w:hAnsi="Arial" w:cs="Arial"/>
          <w:i/>
        </w:rPr>
        <w:t xml:space="preserve">Chapters 4, 5 </w:t>
      </w:r>
      <w:r w:rsidR="000C73FA" w:rsidRPr="00225AB0">
        <w:rPr>
          <w:rFonts w:ascii="Arial" w:hAnsi="Arial" w:cs="Arial"/>
        </w:rPr>
        <w:t xml:space="preserve">and </w:t>
      </w:r>
      <w:r w:rsidR="000C73FA" w:rsidRPr="00225AB0">
        <w:rPr>
          <w:rFonts w:ascii="Arial" w:hAnsi="Arial" w:cs="Arial"/>
          <w:i/>
        </w:rPr>
        <w:t>6</w:t>
      </w:r>
      <w:r w:rsidR="000C73FA" w:rsidRPr="00225AB0">
        <w:rPr>
          <w:rFonts w:ascii="Arial" w:hAnsi="Arial" w:cs="Arial"/>
        </w:rPr>
        <w:t xml:space="preserve">, we define specific regions of the visual cortex to analyse and perform subsequent regions-of-interest (ROI) based analyses. We define our ROIs for this purpose using retinotopic, population receptive field (pRF) mapping. Retinotopic mapping exploits the fact early visual areas contain explicit maps of the visual world (as described in 1.2.4) </w:t>
      </w:r>
      <w:r w:rsidR="000C73FA" w:rsidRPr="00225AB0">
        <w:rPr>
          <w:rFonts w:ascii="Arial" w:hAnsi="Arial" w:cs="Arial"/>
        </w:rPr>
        <w:fldChar w:fldCharType="begin"/>
      </w:r>
      <w:r w:rsidR="005B4361">
        <w:rPr>
          <w:rFonts w:ascii="Arial" w:hAnsi="Arial" w:cs="Arial"/>
        </w:rPr>
        <w:instrText xml:space="preserve"> ADDIN ZOTERO_ITEM CSL_CITATION {"citationID":"lQKKITbk","properties":{"formattedCitation":"(Engel et al., 1994)","plainCitation":"(Engel et al., 1994)","dontUpdate":true,"noteIndex":0},"citationItems":[{"id":168,"uris":["http://zotero.org/groups/318634/items/2Z4HEZF2"],"uri":["http://zotero.org/groups/318634/items/2Z4HEZF2"],"itemData":{"id":168,"type":"article-journal","title":"fMRI of human visual cortex","container-title":"Nature","page":"525","volume":"369","issue":"6481","source":"PubMed","DOI":"10.1038/369525a0","ISSN":"0028-0836","note":"PMID: 8031403","journalAbbreviation":"Nature","language":"eng","author":[{"family":"Engel","given":"S. A."},{"family":"Rumelhart","given":"D. E."},{"family":"Wandell","given":"B. A."},{"family":"Lee","given":"A. T."},{"family":"Glover","given":"G. H."},{"family":"Chichilnisky","given":"E. J."},{"family":"Shadlen","given":"M. N."}],"issued":{"date-parts":[["1994",6,16]]}}}],"schema":"https://github.com/citation-style-language/schema/raw/master/csl-citation.json"} </w:instrText>
      </w:r>
      <w:r w:rsidR="000C73FA" w:rsidRPr="00225AB0">
        <w:rPr>
          <w:rFonts w:ascii="Arial" w:hAnsi="Arial" w:cs="Arial"/>
        </w:rPr>
        <w:fldChar w:fldCharType="separate"/>
      </w:r>
      <w:r w:rsidR="000C73FA" w:rsidRPr="00225AB0">
        <w:rPr>
          <w:rFonts w:ascii="Arial" w:hAnsi="Arial" w:cs="Arial"/>
          <w:noProof/>
        </w:rPr>
        <w:t>(e.g. Engel et al., 1994)</w:t>
      </w:r>
      <w:r w:rsidR="000C73FA" w:rsidRPr="00225AB0">
        <w:rPr>
          <w:rFonts w:ascii="Arial" w:hAnsi="Arial" w:cs="Arial"/>
        </w:rPr>
        <w:fldChar w:fldCharType="end"/>
      </w:r>
      <w:r w:rsidR="000C73FA" w:rsidRPr="00225AB0">
        <w:rPr>
          <w:rFonts w:ascii="Arial" w:hAnsi="Arial" w:cs="Arial"/>
        </w:rPr>
        <w:t xml:space="preserve">. Additionally, a neuronal receptive field is defined as the region of the visual field </w:t>
      </w:r>
      <w:r>
        <w:rPr>
          <w:rFonts w:ascii="Arial" w:hAnsi="Arial" w:cs="Arial"/>
        </w:rPr>
        <w:t>in</w:t>
      </w:r>
      <w:r w:rsidR="000C73FA" w:rsidRPr="00225AB0">
        <w:rPr>
          <w:rFonts w:ascii="Arial" w:hAnsi="Arial" w:cs="Arial"/>
        </w:rPr>
        <w:t xml:space="preserve"> which is it possible to influence the firing of that neuron </w:t>
      </w:r>
      <w:r w:rsidR="000C73FA" w:rsidRPr="00225AB0">
        <w:rPr>
          <w:rFonts w:ascii="Arial" w:hAnsi="Arial" w:cs="Arial"/>
        </w:rPr>
        <w:fldChar w:fldCharType="begin"/>
      </w:r>
      <w:r w:rsidR="005B4361">
        <w:rPr>
          <w:rFonts w:ascii="Arial" w:hAnsi="Arial" w:cs="Arial"/>
        </w:rPr>
        <w:instrText xml:space="preserve"> ADDIN ZOTERO_ITEM CSL_CITATION {"citationID":"csHefzw7","properties":{"formattedCitation":"(Hubel &amp; Wiesel, 1962)","plainCitation":"(Hubel &amp; Wiesel, 1962)","dontUpdate":true,"noteIndex":0},"citationItems":[{"id":142,"uris":["http://zotero.org/groups/318634/items/3XD8H2PQ"],"uri":["http://zotero.org/groups/318634/items/3XD8H2PQ"],"itemData":{"id":142,"type":"article-journal","title":"Receptive fields, binocular interaction and functional architecture in the cat's visual cortex","container-title":"The Journal of Physiology","page":"106-154.2","volume":"160","issue":"1","source":"PubMed Central","abstract":"Images\nnull","ISSN":"0022-3751","note":"PMID: 14449617\nPMCID: PMC1359523","journalAbbreviation":"J Physiol","author":[{"family":"Hubel","given":"D. H."},{"family":"Wiesel","given":"T. N."}],"issued":{"date-parts":[["1962",1]]}}}],"schema":"https://github.com/citation-style-language/schema/raw/master/csl-citation.json"} </w:instrText>
      </w:r>
      <w:r w:rsidR="000C73FA" w:rsidRPr="00225AB0">
        <w:rPr>
          <w:rFonts w:ascii="Arial" w:hAnsi="Arial" w:cs="Arial"/>
        </w:rPr>
        <w:fldChar w:fldCharType="separate"/>
      </w:r>
      <w:r w:rsidR="000C73FA" w:rsidRPr="00225AB0">
        <w:rPr>
          <w:rFonts w:ascii="Arial" w:hAnsi="Arial" w:cs="Arial"/>
          <w:noProof/>
        </w:rPr>
        <w:t>(see Hubel &amp; Wiesel, 1962)</w:t>
      </w:r>
      <w:r w:rsidR="000C73FA" w:rsidRPr="00225AB0">
        <w:rPr>
          <w:rFonts w:ascii="Arial" w:hAnsi="Arial" w:cs="Arial"/>
        </w:rPr>
        <w:fldChar w:fldCharType="end"/>
      </w:r>
      <w:r w:rsidR="000C73FA" w:rsidRPr="00225AB0">
        <w:rPr>
          <w:rFonts w:ascii="Arial" w:hAnsi="Arial" w:cs="Arial"/>
        </w:rPr>
        <w:t xml:space="preserve">. These receptive field preferences can be split into a location in visual space, and an associate spread. Given early visual regions are retinotopically-defined, the preferred locus of activation should vary systematically across neurons (voxels) as you travel across a visual area. Recent developments </w:t>
      </w:r>
      <w:r>
        <w:rPr>
          <w:rFonts w:ascii="Arial" w:hAnsi="Arial" w:cs="Arial"/>
        </w:rPr>
        <w:t>in</w:t>
      </w:r>
      <w:r w:rsidR="000C73FA" w:rsidRPr="00225AB0">
        <w:rPr>
          <w:rFonts w:ascii="Arial" w:hAnsi="Arial" w:cs="Arial"/>
        </w:rPr>
        <w:t xml:space="preserve"> fMRI have been able to combine the principles of retinotopic mapping and the architecture of receptive fields in order to provide a measure of a single voxels polar angle and eccentricity in visual space, through a process termed pRF mapping </w:t>
      </w:r>
      <w:r w:rsidR="000C73FA" w:rsidRPr="00225AB0">
        <w:rPr>
          <w:rFonts w:ascii="Arial" w:hAnsi="Arial" w:cs="Arial"/>
        </w:rPr>
        <w:fldChar w:fldCharType="begin"/>
      </w:r>
      <w:r w:rsidR="005B4361">
        <w:rPr>
          <w:rFonts w:ascii="Arial" w:hAnsi="Arial" w:cs="Arial"/>
        </w:rPr>
        <w:instrText xml:space="preserve"> ADDIN ZOTERO_ITEM CSL_CITATION {"citationID":"HexE37e4","properties":{"formattedCitation":"(Serge O. Dumoulin &amp; Wandell, 2008)","plainCitation":"(Serge O. Dumoulin &amp; Wandell, 2008)","dontUpdate":true,"noteIndex":0},"citationItems":[{"id":261,"uris":["http://zotero.org/groups/318634/items/KHNH62CY"],"uri":["http://zotero.org/groups/318634/items/KHNH62CY"],"itemData":{"id":261,"type":"article-journal","title":"Population receptive field estimates in human visual cortex","container-title":"Neuroimage","page":"647–660","volume":"39","issue":"2","source":"Google Scholar","author":[{"family":"Dumoulin","given":"Serge O."},{"family":"Wandell","given":"Brian A."}],"issued":{"date-parts":[["2008"]]}}}],"schema":"https://github.com/citation-style-language/schema/raw/master/csl-citation.json"} </w:instrText>
      </w:r>
      <w:r w:rsidR="000C73FA" w:rsidRPr="00225AB0">
        <w:rPr>
          <w:rFonts w:ascii="Arial" w:hAnsi="Arial" w:cs="Arial"/>
        </w:rPr>
        <w:fldChar w:fldCharType="separate"/>
      </w:r>
      <w:r w:rsidR="00C44925">
        <w:rPr>
          <w:rFonts w:ascii="Arial" w:hAnsi="Arial" w:cs="Arial"/>
          <w:noProof/>
        </w:rPr>
        <w:t>(</w:t>
      </w:r>
      <w:r w:rsidR="00967B1F" w:rsidRPr="00225AB0">
        <w:rPr>
          <w:rFonts w:ascii="Arial" w:hAnsi="Arial" w:cs="Arial"/>
          <w:noProof/>
        </w:rPr>
        <w:t>Dumoulin &amp; Wandell, 2008)</w:t>
      </w:r>
      <w:r w:rsidR="000C73FA" w:rsidRPr="00225AB0">
        <w:rPr>
          <w:rFonts w:ascii="Arial" w:hAnsi="Arial" w:cs="Arial"/>
        </w:rPr>
        <w:fldChar w:fldCharType="end"/>
      </w:r>
      <w:r w:rsidR="000C73FA" w:rsidRPr="00225AB0">
        <w:rPr>
          <w:rFonts w:ascii="Arial" w:hAnsi="Arial" w:cs="Arial"/>
        </w:rPr>
        <w:t xml:space="preserve">. </w:t>
      </w:r>
    </w:p>
    <w:p w14:paraId="786CCA82" w14:textId="77777777" w:rsidR="000C73FA" w:rsidRPr="00225AB0" w:rsidRDefault="000C73FA" w:rsidP="000C73FA">
      <w:pPr>
        <w:spacing w:line="480" w:lineRule="auto"/>
        <w:rPr>
          <w:rFonts w:ascii="Arial" w:hAnsi="Arial" w:cs="Arial"/>
        </w:rPr>
      </w:pPr>
    </w:p>
    <w:p w14:paraId="00A1CE39" w14:textId="09DBF440" w:rsidR="000C73FA" w:rsidRPr="00225AB0" w:rsidRDefault="000C73FA" w:rsidP="000C73FA">
      <w:pPr>
        <w:spacing w:line="480" w:lineRule="auto"/>
        <w:rPr>
          <w:rFonts w:ascii="Arial" w:hAnsi="Arial" w:cs="Arial"/>
        </w:rPr>
      </w:pPr>
      <w:r w:rsidRPr="00225AB0">
        <w:rPr>
          <w:rFonts w:ascii="Arial" w:hAnsi="Arial" w:cs="Arial"/>
        </w:rPr>
        <w:lastRenderedPageBreak/>
        <w:t xml:space="preserve">A typical voxel of the human brain will contain more than 100,000 neurons; hence the BOLD response summarises computations of populations of neurons with tuning to multiple stimulus parameters </w:t>
      </w:r>
      <w:r w:rsidR="00D44AC6">
        <w:rPr>
          <w:rFonts w:ascii="Arial" w:hAnsi="Arial" w:cs="Arial"/>
        </w:rPr>
        <w:t>in</w:t>
      </w:r>
      <w:r w:rsidRPr="00225AB0">
        <w:rPr>
          <w:rFonts w:ascii="Arial" w:hAnsi="Arial" w:cs="Arial"/>
        </w:rPr>
        <w:t xml:space="preserve"> a single voxel. pRF mapping summarises this pooled neuronal response </w:t>
      </w:r>
      <w:r w:rsidR="00D44AC6">
        <w:rPr>
          <w:rFonts w:ascii="Arial" w:hAnsi="Arial" w:cs="Arial"/>
        </w:rPr>
        <w:t>in</w:t>
      </w:r>
      <w:r w:rsidRPr="00225AB0">
        <w:rPr>
          <w:rFonts w:ascii="Arial" w:hAnsi="Arial" w:cs="Arial"/>
        </w:rPr>
        <w:t xml:space="preserve"> a voxel as a population receptive field, assuming neurons </w:t>
      </w:r>
      <w:r w:rsidR="00D44AC6">
        <w:rPr>
          <w:rFonts w:ascii="Arial" w:hAnsi="Arial" w:cs="Arial"/>
        </w:rPr>
        <w:t>in</w:t>
      </w:r>
      <w:r w:rsidRPr="00225AB0">
        <w:rPr>
          <w:rFonts w:ascii="Arial" w:hAnsi="Arial" w:cs="Arial"/>
        </w:rPr>
        <w:t xml:space="preserve"> a voxel will share similar (at least spatial) preferences due the organised topographical mapping of early visual areas </w:t>
      </w:r>
      <w:r w:rsidRPr="00225AB0">
        <w:rPr>
          <w:rFonts w:ascii="Arial" w:hAnsi="Arial" w:cs="Arial"/>
        </w:rPr>
        <w:fldChar w:fldCharType="begin"/>
      </w:r>
      <w:r w:rsidR="005B4361">
        <w:rPr>
          <w:rFonts w:ascii="Arial" w:hAnsi="Arial" w:cs="Arial"/>
        </w:rPr>
        <w:instrText xml:space="preserve"> ADDIN ZOTERO_ITEM CSL_CITATION {"citationID":"X8xmAHLc","properties":{"formattedCitation":"(Wandell &amp; Winawer, 2015)","plainCitation":"(Wandell &amp; Winawer, 2015)","noteIndex":0},"citationItems":[{"id":141,"uris":["http://zotero.org/groups/318634/items/TXJGF6NL"],"uri":["http://zotero.org/groups/318634/items/TXJGF6NL"],"itemData":{"id":141,"type":"article-journal","title":"Computational neuroimaging and population receptive fields","container-title":"Trends in cognitive sciences","page":"349-357","volume":"19","issue":"6","source":"PubMed Central","abstract":"Functional magnetic resonance imaging (fMRI) noninvasively measures human brain activity at millimeter resolution. Scientists use very different approaches to take advantage of the remarkable opportunities presented by fMRI. We describe progress using the computational neuroimaging approach in human visual cortex, which aims to build models that predict the neural responses from the stimulus and task. We focus on a particularly active area of research, the use of population receptive field (pRF) models to characterize human visual cortex responses to a range of stimuli, in a variety of tasks, and in different subject populations.","DOI":"10.1016/j.tics.2015.03.009","ISSN":"1364-6613","note":"PMID: 25850730\nPMCID: PMC4484758","journalAbbreviation":"Trends Cogn Sci","author":[{"family":"Wandell","given":"Brian A."},{"family":"Winawer","given":"Jonathan"}],"issued":{"date-parts":[["2015",6]]}}}],"schema":"https://github.com/citation-style-language/schema/raw/master/csl-citation.json"} </w:instrText>
      </w:r>
      <w:r w:rsidRPr="00225AB0">
        <w:rPr>
          <w:rFonts w:ascii="Arial" w:hAnsi="Arial" w:cs="Arial"/>
        </w:rPr>
        <w:fldChar w:fldCharType="separate"/>
      </w:r>
      <w:r w:rsidRPr="00225AB0">
        <w:rPr>
          <w:rFonts w:ascii="Arial" w:hAnsi="Arial" w:cs="Arial"/>
          <w:noProof/>
        </w:rPr>
        <w:t>(Wandell &amp; Winawer, 2015)</w:t>
      </w:r>
      <w:r w:rsidRPr="00225AB0">
        <w:rPr>
          <w:rFonts w:ascii="Arial" w:hAnsi="Arial" w:cs="Arial"/>
        </w:rPr>
        <w:fldChar w:fldCharType="end"/>
      </w:r>
      <w:r w:rsidRPr="00225AB0">
        <w:rPr>
          <w:rFonts w:ascii="Arial" w:hAnsi="Arial" w:cs="Arial"/>
        </w:rPr>
        <w:t xml:space="preserve">. Hence, a pRF response for an individual voxel is considered a reflection of the mean tuning of neurons </w:t>
      </w:r>
      <w:r w:rsidR="00D44AC6">
        <w:rPr>
          <w:rFonts w:ascii="Arial" w:hAnsi="Arial" w:cs="Arial"/>
        </w:rPr>
        <w:t>in</w:t>
      </w:r>
      <w:r w:rsidRPr="00225AB0">
        <w:rPr>
          <w:rFonts w:ascii="Arial" w:hAnsi="Arial" w:cs="Arial"/>
        </w:rPr>
        <w:t xml:space="preserve"> that voxel. </w:t>
      </w:r>
    </w:p>
    <w:p w14:paraId="5A7110E2" w14:textId="77777777" w:rsidR="000C73FA" w:rsidRPr="00225AB0" w:rsidRDefault="000C73FA" w:rsidP="000C73FA">
      <w:pPr>
        <w:spacing w:line="480" w:lineRule="auto"/>
        <w:rPr>
          <w:rFonts w:ascii="Arial" w:hAnsi="Arial" w:cs="Arial"/>
        </w:rPr>
      </w:pPr>
    </w:p>
    <w:p w14:paraId="173C6128" w14:textId="5635EF53" w:rsidR="00194172" w:rsidRDefault="000C73FA" w:rsidP="000C73FA">
      <w:pPr>
        <w:spacing w:line="480" w:lineRule="auto"/>
        <w:rPr>
          <w:rFonts w:ascii="Arial" w:hAnsi="Arial" w:cs="Arial"/>
        </w:rPr>
      </w:pPr>
      <w:r w:rsidRPr="00225AB0">
        <w:rPr>
          <w:rFonts w:ascii="Arial" w:hAnsi="Arial" w:cs="Arial"/>
        </w:rPr>
        <w:t xml:space="preserve">Prior to the development of pRF mapping procedures, the topographical organisation of the visual cortex was identified via retinotopic mapping paradigms </w:t>
      </w:r>
      <w:r w:rsidRPr="00225AB0">
        <w:rPr>
          <w:rFonts w:ascii="Arial" w:hAnsi="Arial" w:cs="Arial"/>
        </w:rPr>
        <w:fldChar w:fldCharType="begin"/>
      </w:r>
      <w:r w:rsidR="005B4361">
        <w:rPr>
          <w:rFonts w:ascii="Arial" w:hAnsi="Arial" w:cs="Arial"/>
        </w:rPr>
        <w:instrText xml:space="preserve"> ADDIN ZOTERO_ITEM CSL_CITATION {"citationID":"z3vS2eF3","properties":{"formattedCitation":"(S. A. Engel, Glover, &amp; Wandell, 1997)","plainCitation":"(S. A. Engel, Glover, &amp; Wandell, 1997)","dontUpdate":true,"noteIndex":0},"citationItems":[{"id":140,"uris":["http://zotero.org/groups/318634/items/28WJAA6Y"],"uri":["http://zotero.org/groups/318634/items/28WJAA6Y"],"itemData":{"id":140,"type":"article-journal","title":"Retinotopic organization in human visual cortex and the spatial precision of functional MRI","container-title":"Cerebral Cortex (New York, N.Y.: 1991)","page":"181-192","volume":"7","issue":"2","source":"PubMed","abstract":"A method of using functional magnetic resonance imaging (fMRI) to measure retinotopic organization within human cortex is described. The method is based on a visual stimulus that creates a traveling wave of neural activity within retinotopically organized visual areas. We measured the fMRI signal caused by this stimulus in visual cortex and represented the results on images of the flattened cortical sheet. We used the method to locate visual areas and to evaluate the spatial precision of fMRI. Specifically, we: (i) identified the borders between several retinotopically organized visual areas in the posterior occipital lobe; (ii) measured the function relating cortical position to visual field eccentricity within area V1; (iii) localized activity to within 1.1 mm of visual cortex; and (iv) estimated the spatial resolution of the fMRI signal and found that signal amplitude falls to 60% at a spatial frequency of 1 cycle per 9 mm of visual cortex. This spatial resolution is consistent with a linespread whose full width at half maximum spreads across 3.5 mm of visual cortex.","DOI":"10.1093/cercor/7.2.181","ISSN":"1047-3211","note":"PMID: 9087826","journalAbbreviation":"Cereb. Cortex","language":"eng","author":[{"family":"Engel","given":"S. A."},{"family":"Glover","given":"G. H."},{"family":"Wandell","given":"B. A."}],"issued":{"date-parts":[["1997",3]]}}}],"schema":"https://github.com/citation-style-language/schema/raw/master/csl-citation.json"}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(Engel, Glover, &amp; Wandell, 1997)</w:t>
      </w:r>
      <w:r w:rsidRPr="00225AB0">
        <w:rPr>
          <w:rFonts w:ascii="Arial" w:hAnsi="Arial" w:cs="Arial"/>
        </w:rPr>
        <w:fldChar w:fldCharType="end"/>
      </w:r>
      <w:r w:rsidRPr="00225AB0">
        <w:rPr>
          <w:rFonts w:ascii="Arial" w:hAnsi="Arial" w:cs="Arial"/>
        </w:rPr>
        <w:t xml:space="preserve">. Here, the topographic mapping of the visual field is identified through presentation of high-contrast, achromatic rotating wedges and expanding rings. As the wedge rotates for example, it will activate discrete populations of neurons as it falls </w:t>
      </w:r>
      <w:r w:rsidR="00D44AC6">
        <w:rPr>
          <w:rFonts w:ascii="Arial" w:hAnsi="Arial" w:cs="Arial"/>
        </w:rPr>
        <w:t>in</w:t>
      </w:r>
      <w:r w:rsidRPr="00225AB0">
        <w:rPr>
          <w:rFonts w:ascii="Arial" w:hAnsi="Arial" w:cs="Arial"/>
        </w:rPr>
        <w:t xml:space="preserve"> their receptive fields. This will happen multiple times with the rotation (or expansion) of the stimulus. Overtime, comparison of the phase of the stimulus and the recorded BOLD response, will produce a travelling wave of activation, providing a measure of tuning in visual space for each voxel in visual cortex. </w:t>
      </w:r>
      <w:r w:rsidR="00C44925" w:rsidRPr="00225AB0">
        <w:rPr>
          <w:rFonts w:ascii="Arial" w:hAnsi="Arial" w:cs="Arial"/>
        </w:rPr>
        <w:t>pRF mapping expands upon this traditional retinotopic mapping paradigm, by allowing investigation of both traditional (visual field location) and additional voxel parameters (such as receptive field size)</w:t>
      </w:r>
      <w:r w:rsidR="00C44925">
        <w:rPr>
          <w:rFonts w:ascii="Arial" w:hAnsi="Arial" w:cs="Arial"/>
        </w:rPr>
        <w:t>, using a high-</w:t>
      </w:r>
      <w:r w:rsidR="00C44925">
        <w:rPr>
          <w:rFonts w:ascii="Arial" w:hAnsi="Arial" w:cs="Arial"/>
        </w:rPr>
        <w:lastRenderedPageBreak/>
        <w:t xml:space="preserve">contrast checkerboard drifting bar stimulus </w:t>
      </w:r>
      <w:r w:rsidR="00C44925" w:rsidRPr="00225AB0">
        <w:rPr>
          <w:rFonts w:ascii="Arial" w:hAnsi="Arial" w:cs="Arial"/>
        </w:rPr>
        <w:fldChar w:fldCharType="begin"/>
      </w:r>
      <w:r w:rsidR="005B4361">
        <w:rPr>
          <w:rFonts w:ascii="Arial" w:hAnsi="Arial" w:cs="Arial"/>
        </w:rPr>
        <w:instrText xml:space="preserve"> ADDIN ZOTERO_ITEM CSL_CITATION {"citationID":"oqQS4T8V","properties":{"formattedCitation":"(Serge O. Dumoulin &amp; Wandell, 2008)","plainCitation":"(Serge O. Dumoulin &amp; Wandell, 2008)","dontUpdate":true,"noteIndex":0},"citationItems":[{"id":261,"uris":["http://zotero.org/groups/318634/items/KHNH62CY"],"uri":["http://zotero.org/groups/318634/items/KHNH62CY"],"itemData":{"id":261,"type":"article-journal","title":"Population receptive field estimates in human visual cortex","container-title":"Neuroimage","page":"647–660","volume":"39","issue":"2","source":"Google Scholar","author":[{"family":"Dumoulin","given":"Serge O."},{"family":"Wandell","given":"Brian A."}],"issued":{"date-parts":[["2008"]]}}}],"schema":"https://github.com/citation-style-language/schema/raw/master/csl-citation.json"} </w:instrText>
      </w:r>
      <w:r w:rsidR="00C44925" w:rsidRPr="00225AB0">
        <w:rPr>
          <w:rFonts w:ascii="Arial" w:hAnsi="Arial" w:cs="Arial"/>
        </w:rPr>
        <w:fldChar w:fldCharType="separate"/>
      </w:r>
      <w:r w:rsidR="00C44925" w:rsidRPr="00225AB0">
        <w:rPr>
          <w:rFonts w:ascii="Arial" w:hAnsi="Arial" w:cs="Arial"/>
          <w:noProof/>
        </w:rPr>
        <w:t>(Dumoulin &amp; Wandell, 2008)</w:t>
      </w:r>
      <w:r w:rsidR="00C44925" w:rsidRPr="00225AB0">
        <w:rPr>
          <w:rFonts w:ascii="Arial" w:hAnsi="Arial" w:cs="Arial"/>
        </w:rPr>
        <w:fldChar w:fldCharType="end"/>
      </w:r>
      <w:r w:rsidR="00A848D1">
        <w:rPr>
          <w:rFonts w:ascii="Arial" w:hAnsi="Arial" w:cs="Arial"/>
        </w:rPr>
        <w:t xml:space="preserve"> (see </w:t>
      </w:r>
      <w:r w:rsidR="007B68C2">
        <w:rPr>
          <w:rFonts w:ascii="Arial" w:hAnsi="Arial" w:cs="Arial"/>
          <w:noProof/>
          <w:lang w:eastAsia="en-GB"/>
        </w:rPr>
        <mc:AlternateContent>
          <mc:Choice Requires="wps">
            <w:drawing>
              <wp:anchor distT="0" distB="0" distL="114300" distR="114300" simplePos="0" relativeHeight="251793408" behindDoc="0" locked="0" layoutInCell="1" allowOverlap="1" wp14:anchorId="04214204" wp14:editId="36E98C64">
                <wp:simplePos x="0" y="0"/>
                <wp:positionH relativeFrom="column">
                  <wp:posOffset>-106045</wp:posOffset>
                </wp:positionH>
                <wp:positionV relativeFrom="paragraph">
                  <wp:posOffset>668239</wp:posOffset>
                </wp:positionV>
                <wp:extent cx="5300345" cy="4506595"/>
                <wp:effectExtent l="0" t="0" r="0" b="0"/>
                <wp:wrapSquare wrapText="bothSides"/>
                <wp:docPr id="109" name="Text Box 109"/>
                <wp:cNvGraphicFramePr/>
                <a:graphic xmlns:a="http://schemas.openxmlformats.org/drawingml/2006/main">
                  <a:graphicData uri="http://schemas.microsoft.com/office/word/2010/wordprocessingShape">
                    <wps:wsp>
                      <wps:cNvSpPr txBox="1"/>
                      <wps:spPr>
                        <a:xfrm>
                          <a:off x="0" y="0"/>
                          <a:ext cx="5300345" cy="4506595"/>
                        </a:xfrm>
                        <a:prstGeom prst="rect">
                          <a:avLst/>
                        </a:prstGeom>
                        <a:noFill/>
                        <a:ln w="6350">
                          <a:noFill/>
                        </a:ln>
                      </wps:spPr>
                      <wps:txbx>
                        <w:txbxContent>
                          <w:p w14:paraId="32E7B847" w14:textId="77777777" w:rsidR="00C93BE0" w:rsidRDefault="00C93BE0" w:rsidP="009F3085">
                            <w:pPr>
                              <w:keepNext/>
                              <w:jc w:val="center"/>
                            </w:pPr>
                            <w:r>
                              <w:rPr>
                                <w:noProof/>
                                <w:lang w:eastAsia="en-GB"/>
                              </w:rPr>
                              <w:drawing>
                                <wp:inline distT="0" distB="0" distL="0" distR="0" wp14:anchorId="7E064624" wp14:editId="51BDDB99">
                                  <wp:extent cx="5220449" cy="2243137"/>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figure2.7-prf_stimuli.png"/>
                                          <pic:cNvPicPr/>
                                        </pic:nvPicPr>
                                        <pic:blipFill rotWithShape="1">
                                          <a:blip r:embed="rId30">
                                            <a:extLst>
                                              <a:ext uri="{28A0092B-C50C-407E-A947-70E740481C1C}">
                                                <a14:useLocalDpi xmlns:a14="http://schemas.microsoft.com/office/drawing/2010/main" val="0"/>
                                              </a:ext>
                                            </a:extLst>
                                          </a:blip>
                                          <a:srcRect l="1783" r="3548"/>
                                          <a:stretch/>
                                        </pic:blipFill>
                                        <pic:spPr bwMode="auto">
                                          <a:xfrm>
                                            <a:off x="0" y="0"/>
                                            <a:ext cx="5239394" cy="2251277"/>
                                          </a:xfrm>
                                          <a:prstGeom prst="rect">
                                            <a:avLst/>
                                          </a:prstGeom>
                                          <a:ln>
                                            <a:noFill/>
                                          </a:ln>
                                          <a:extLst>
                                            <a:ext uri="{53640926-AAD7-44D8-BBD7-CCE9431645EC}">
                                              <a14:shadowObscured xmlns:a14="http://schemas.microsoft.com/office/drawing/2010/main"/>
                                            </a:ext>
                                          </a:extLst>
                                        </pic:spPr>
                                      </pic:pic>
                                    </a:graphicData>
                                  </a:graphic>
                                </wp:inline>
                              </w:drawing>
                            </w:r>
                          </w:p>
                          <w:p w14:paraId="7E953988" w14:textId="47605EBF" w:rsidR="00C93BE0" w:rsidRPr="00CE2E38" w:rsidRDefault="00C93BE0" w:rsidP="009F3085">
                            <w:pPr>
                              <w:pStyle w:val="Caption"/>
                              <w:spacing w:line="360" w:lineRule="auto"/>
                              <w:jc w:val="both"/>
                              <w:rPr>
                                <w:rFonts w:ascii="Arial" w:hAnsi="Arial" w:cs="Arial"/>
                                <w:i w:val="0"/>
                                <w:color w:val="000000" w:themeColor="text1"/>
                                <w:sz w:val="24"/>
                                <w:szCs w:val="24"/>
                              </w:rPr>
                            </w:pPr>
                            <w:bookmarkStart w:id="257" w:name="_Toc12363343"/>
                            <w:bookmarkStart w:id="258" w:name="_Toc16242700"/>
                            <w:r w:rsidRPr="00CE2E38">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7</w:t>
                            </w:r>
                            <w:r>
                              <w:rPr>
                                <w:rFonts w:ascii="Arial" w:hAnsi="Arial" w:cs="Arial"/>
                                <w:b/>
                                <w:i w:val="0"/>
                                <w:color w:val="000000" w:themeColor="text1"/>
                                <w:sz w:val="24"/>
                                <w:szCs w:val="24"/>
                              </w:rPr>
                              <w:fldChar w:fldCharType="end"/>
                            </w:r>
                            <w:r w:rsidRPr="00CE2E38">
                              <w:rPr>
                                <w:rFonts w:ascii="Arial" w:hAnsi="Arial" w:cs="Arial"/>
                                <w:i w:val="0"/>
                                <w:color w:val="000000" w:themeColor="text1"/>
                                <w:sz w:val="24"/>
                                <w:szCs w:val="24"/>
                              </w:rPr>
                              <w:t xml:space="preserve"> Illustration of retinotopy and population receptive field mapping (pRF) stimuli. A and B demonstrate the rotating wedge and expanding ring stimuli used in traditional retinotopic mapping used to map the topographic organisation of the visual cortex (polar angle and eccentricity). C) demonstrates the standard bar stimulus which drifts across the visual field in eight directions, detailed in D.  All stimuli are high-contrast achromatic checkerboards presented on a mid-grey luminance background</w:t>
                            </w:r>
                            <w:r>
                              <w:rPr>
                                <w:rFonts w:ascii="Arial" w:hAnsi="Arial" w:cs="Arial"/>
                                <w:i w:val="0"/>
                                <w:color w:val="000000" w:themeColor="text1"/>
                                <w:sz w:val="24"/>
                                <w:szCs w:val="24"/>
                              </w:rPr>
                              <w:t xml:space="preserve">  (Figure from Dumoulin &amp; Wandell, 2008).</w:t>
                            </w:r>
                            <w:bookmarkEnd w:id="257"/>
                            <w:bookmarkEnd w:id="258"/>
                          </w:p>
                          <w:p w14:paraId="3DCD0A05"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14204" id="Text Box 109" o:spid="_x0000_s1038" type="#_x0000_t202" style="position:absolute;margin-left:-8.35pt;margin-top:52.6pt;width:417.35pt;height:354.8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" filled="f" stroked="f" strokeweight=".5pt">
                <v:textbox>
                  <w:txbxContent>
                    <w:p w14:paraId="32E7B847" w14:textId="77777777" w:rsidR="00C93BE0" w:rsidRDefault="00C93BE0" w:rsidP="009F3085">
                      <w:pPr>
                        <w:keepNext/>
                        <w:jc w:val="center"/>
                      </w:pPr>
                      <w:r>
                        <w:rPr>
                          <w:noProof/>
                          <w:lang w:eastAsia="en-GB"/>
                        </w:rPr>
                        <w:drawing>
                          <wp:inline distT="0" distB="0" distL="0" distR="0" wp14:anchorId="7E064624" wp14:editId="51BDDB99">
                            <wp:extent cx="5220449" cy="2243137"/>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figure2.7-prf_stimuli.png"/>
                                    <pic:cNvPicPr/>
                                  </pic:nvPicPr>
                                  <pic:blipFill rotWithShape="1">
                                    <a:blip r:embed="rId31">
                                      <a:extLst>
                                        <a:ext uri="{28A0092B-C50C-407E-A947-70E740481C1C}">
                                          <a14:useLocalDpi xmlns:a14="http://schemas.microsoft.com/office/drawing/2010/main" val="0"/>
                                        </a:ext>
                                      </a:extLst>
                                    </a:blip>
                                    <a:srcRect l="1783" r="3548"/>
                                    <a:stretch/>
                                  </pic:blipFill>
                                  <pic:spPr bwMode="auto">
                                    <a:xfrm>
                                      <a:off x="0" y="0"/>
                                      <a:ext cx="5239394" cy="2251277"/>
                                    </a:xfrm>
                                    <a:prstGeom prst="rect">
                                      <a:avLst/>
                                    </a:prstGeom>
                                    <a:ln>
                                      <a:noFill/>
                                    </a:ln>
                                    <a:extLst>
                                      <a:ext uri="{53640926-AAD7-44D8-BBD7-CCE9431645EC}">
                                        <a14:shadowObscured xmlns:a14="http://schemas.microsoft.com/office/drawing/2010/main"/>
                                      </a:ext>
                                    </a:extLst>
                                  </pic:spPr>
                                </pic:pic>
                              </a:graphicData>
                            </a:graphic>
                          </wp:inline>
                        </w:drawing>
                      </w:r>
                    </w:p>
                    <w:p w14:paraId="7E953988" w14:textId="47605EBF" w:rsidR="00C93BE0" w:rsidRPr="00CE2E38" w:rsidRDefault="00C93BE0" w:rsidP="009F3085">
                      <w:pPr>
                        <w:pStyle w:val="Caption"/>
                        <w:spacing w:line="360" w:lineRule="auto"/>
                        <w:jc w:val="both"/>
                        <w:rPr>
                          <w:rFonts w:ascii="Arial" w:hAnsi="Arial" w:cs="Arial"/>
                          <w:i w:val="0"/>
                          <w:color w:val="000000" w:themeColor="text1"/>
                          <w:sz w:val="24"/>
                          <w:szCs w:val="24"/>
                        </w:rPr>
                      </w:pPr>
                      <w:bookmarkStart w:id="280" w:name="_Toc12363343"/>
                      <w:bookmarkStart w:id="281" w:name="_Toc16242700"/>
                      <w:r w:rsidRPr="00CE2E38">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7</w:t>
                      </w:r>
                      <w:r>
                        <w:rPr>
                          <w:rFonts w:ascii="Arial" w:hAnsi="Arial" w:cs="Arial"/>
                          <w:b/>
                          <w:i w:val="0"/>
                          <w:color w:val="000000" w:themeColor="text1"/>
                          <w:sz w:val="24"/>
                          <w:szCs w:val="24"/>
                        </w:rPr>
                        <w:fldChar w:fldCharType="end"/>
                      </w:r>
                      <w:r w:rsidRPr="00CE2E38">
                        <w:rPr>
                          <w:rFonts w:ascii="Arial" w:hAnsi="Arial" w:cs="Arial"/>
                          <w:i w:val="0"/>
                          <w:color w:val="000000" w:themeColor="text1"/>
                          <w:sz w:val="24"/>
                          <w:szCs w:val="24"/>
                        </w:rPr>
                        <w:t xml:space="preserve"> Illustration of retinotopy and population receptive field mapping (pRF) stimuli. A and B demonstrate the rotating wedge and expanding ring stimuli used in traditional retinotopic mapping used to map the topographic organisation of the visual cortex (polar angle and eccentricity). C) demonstrates the standard bar stimulus which drifts across the visual field in eight directions, detailed in D.  All stimuli are high-contrast achromatic checkerboards presented on a mid-grey luminance background</w:t>
                      </w:r>
                      <w:r>
                        <w:rPr>
                          <w:rFonts w:ascii="Arial" w:hAnsi="Arial" w:cs="Arial"/>
                          <w:i w:val="0"/>
                          <w:color w:val="000000" w:themeColor="text1"/>
                          <w:sz w:val="24"/>
                          <w:szCs w:val="24"/>
                        </w:rPr>
                        <w:t xml:space="preserve">  (Figure from Dumoulin &amp; Wandell, 2008).</w:t>
                      </w:r>
                      <w:bookmarkEnd w:id="280"/>
                      <w:bookmarkEnd w:id="281"/>
                    </w:p>
                    <w:p w14:paraId="3DCD0A05" w14:textId="77777777" w:rsidR="00C93BE0" w:rsidRDefault="00C93BE0" w:rsidP="009F3085">
                      <w:pPr>
                        <w:jc w:val="center"/>
                      </w:pPr>
                    </w:p>
                  </w:txbxContent>
                </v:textbox>
                <w10:wrap type="square"/>
              </v:shape>
            </w:pict>
          </mc:Fallback>
        </mc:AlternateContent>
      </w:r>
      <w:r w:rsidR="00A848D1">
        <w:rPr>
          <w:rFonts w:ascii="Arial" w:hAnsi="Arial" w:cs="Arial"/>
        </w:rPr>
        <w:t>Figure 2.7)</w:t>
      </w:r>
      <w:r w:rsidR="00194172">
        <w:rPr>
          <w:rFonts w:ascii="Arial" w:hAnsi="Arial" w:cs="Arial"/>
        </w:rPr>
        <w:t>.</w:t>
      </w:r>
    </w:p>
    <w:p w14:paraId="4762B7BE" w14:textId="081D3ACC" w:rsidR="00194172" w:rsidRPr="00225AB0" w:rsidRDefault="00194172" w:rsidP="000C73FA">
      <w:pPr>
        <w:spacing w:line="480" w:lineRule="auto"/>
        <w:rPr>
          <w:rFonts w:ascii="Arial" w:hAnsi="Arial" w:cs="Arial"/>
        </w:rPr>
      </w:pPr>
    </w:p>
    <w:p w14:paraId="3F94F71B" w14:textId="6E2B2634" w:rsidR="000C73FA" w:rsidRDefault="00D44AC6" w:rsidP="000C73FA">
      <w:pPr>
        <w:spacing w:line="480" w:lineRule="auto"/>
        <w:rPr>
          <w:rFonts w:ascii="Arial" w:hAnsi="Arial" w:cs="Arial"/>
          <w:color w:val="222222"/>
          <w:shd w:val="clear" w:color="auto" w:fill="FFFFFF"/>
        </w:rPr>
      </w:pPr>
      <w:r>
        <w:rPr>
          <w:rFonts w:ascii="Arial" w:hAnsi="Arial" w:cs="Arial"/>
        </w:rPr>
        <w:t>In</w:t>
      </w:r>
      <w:r w:rsidR="000C73FA" w:rsidRPr="00225AB0">
        <w:rPr>
          <w:rFonts w:ascii="Arial" w:hAnsi="Arial" w:cs="Arial"/>
        </w:rPr>
        <w:t xml:space="preserve"> pRF mapping, the receptive field of each voxel is d</w:t>
      </w:r>
      <w:r w:rsidR="00CE2E38">
        <w:rPr>
          <w:rFonts w:ascii="Arial" w:hAnsi="Arial" w:cs="Arial"/>
        </w:rPr>
        <w:t>e</w:t>
      </w:r>
      <w:r w:rsidR="000C73FA" w:rsidRPr="00225AB0">
        <w:rPr>
          <w:rFonts w:ascii="Arial" w:hAnsi="Arial" w:cs="Arial"/>
        </w:rPr>
        <w:t>fined as an isotropic Gaussian, with two visual field locations (x</w:t>
      </w:r>
      <w:r w:rsidR="000C73FA" w:rsidRPr="00225AB0">
        <w:rPr>
          <w:rFonts w:ascii="Arial" w:hAnsi="Arial" w:cs="Arial"/>
          <w:vertAlign w:val="subscript"/>
        </w:rPr>
        <w:t>0</w:t>
      </w:r>
      <w:r w:rsidR="000C73FA" w:rsidRPr="00225AB0">
        <w:rPr>
          <w:rFonts w:ascii="Arial" w:hAnsi="Arial" w:cs="Arial"/>
        </w:rPr>
        <w:t xml:space="preserve"> and y</w:t>
      </w:r>
      <w:r w:rsidR="000C73FA" w:rsidRPr="00225AB0">
        <w:rPr>
          <w:rFonts w:ascii="Arial" w:hAnsi="Arial" w:cs="Arial"/>
          <w:vertAlign w:val="subscript"/>
        </w:rPr>
        <w:t>0</w:t>
      </w:r>
      <w:r w:rsidR="000C73FA" w:rsidRPr="00225AB0">
        <w:rPr>
          <w:rFonts w:ascii="Arial" w:hAnsi="Arial" w:cs="Arial"/>
        </w:rPr>
        <w:t>) and a pRF size (</w:t>
      </w:r>
      <w:r w:rsidR="000C73FA" w:rsidRPr="00225AB0">
        <w:rPr>
          <w:rFonts w:ascii="Arial" w:hAnsi="Arial" w:cs="Arial"/>
          <w:color w:val="222222"/>
          <w:shd w:val="clear" w:color="auto" w:fill="FFFFFF"/>
        </w:rPr>
        <w:t>δ). These parameters can be extracted from an fMRI timeseries in response to a traditional retinotopic mapping stimulus or a drifting bar stimulus (a high-contrast, achromatic checkerboard, size invariant bar which drifts in multiple directions across visual space). The pRF model employs a linear spatiotemporal model of fMRI response, which is defined as:</w:t>
      </w:r>
    </w:p>
    <w:p w14:paraId="22FE1DB1" w14:textId="704CB976" w:rsidR="002F4BDC" w:rsidRDefault="002F4BDC" w:rsidP="000C73FA">
      <w:pPr>
        <w:spacing w:line="480" w:lineRule="auto"/>
        <w:rPr>
          <w:rFonts w:ascii="Arial" w:hAnsi="Arial" w:cs="Arial"/>
          <w:color w:val="222222"/>
          <w:shd w:val="clear" w:color="auto" w:fill="FFFFFF"/>
        </w:rPr>
      </w:pPr>
    </w:p>
    <w:p w14:paraId="4A73D5D5" w14:textId="77777777" w:rsidR="00AE6937" w:rsidRDefault="00AE6937" w:rsidP="000C73FA">
      <w:pPr>
        <w:spacing w:line="480" w:lineRule="auto"/>
        <w:rPr>
          <w:rFonts w:ascii="Arial" w:hAnsi="Arial" w:cs="Arial"/>
          <w:color w:val="222222"/>
          <w:shd w:val="clear" w:color="auto" w:fill="FFFFFF"/>
        </w:rPr>
      </w:pPr>
    </w:p>
    <w:p w14:paraId="50D897A8" w14:textId="77777777" w:rsidR="007D7E3B" w:rsidRPr="00225AB0" w:rsidRDefault="007D7E3B" w:rsidP="000C73FA">
      <w:pPr>
        <w:spacing w:line="480" w:lineRule="auto"/>
        <w:rPr>
          <w:rFonts w:ascii="Arial" w:hAnsi="Arial" w:cs="Arial"/>
          <w:color w:val="222222"/>
          <w:shd w:val="clear" w:color="auto" w:fill="FFFFFF"/>
        </w:rPr>
      </w:pPr>
    </w:p>
    <w:p w14:paraId="203EE17F" w14:textId="77777777" w:rsidR="000C73FA" w:rsidRPr="007D7E3B" w:rsidRDefault="005B7A38" w:rsidP="000C73FA">
      <w:pPr>
        <w:spacing w:line="480" w:lineRule="auto"/>
        <w:rPr>
          <w:rFonts w:ascii="Arial" w:hAnsi="Arial" w:cs="Arial"/>
          <w:color w:val="222222"/>
          <w:sz w:val="28"/>
          <w:shd w:val="clear" w:color="auto" w:fill="FFFFFF"/>
        </w:rPr>
      </w:pPr>
      <m:oMathPara>
        <m:oMath>
          <m:r>
            <w:rPr>
              <w:rFonts w:ascii="Cambria Math" w:hAnsi="Cambria Math" w:cs="Arial"/>
              <w:color w:val="222222"/>
              <w:sz w:val="28"/>
              <w:shd w:val="clear" w:color="auto" w:fill="FFFFFF"/>
            </w:rPr>
            <w:lastRenderedPageBreak/>
            <m:t>γ</m:t>
          </m:r>
          <m:d>
            <m:dPr>
              <m:ctrlPr>
                <w:rPr>
                  <w:rFonts w:ascii="Cambria Math" w:hAnsi="Cambria Math" w:cs="Arial"/>
                  <w:i/>
                  <w:color w:val="222222"/>
                  <w:sz w:val="28"/>
                  <w:shd w:val="clear" w:color="auto" w:fill="FFFFFF"/>
                </w:rPr>
              </m:ctrlPr>
            </m:dPr>
            <m:e>
              <m:r>
                <w:rPr>
                  <w:rFonts w:ascii="Cambria Math" w:hAnsi="Cambria Math" w:cs="Arial"/>
                  <w:color w:val="222222"/>
                  <w:sz w:val="28"/>
                  <w:shd w:val="clear" w:color="auto" w:fill="FFFFFF"/>
                </w:rPr>
                <m:t>t</m:t>
              </m:r>
            </m:e>
          </m:d>
          <m:r>
            <w:rPr>
              <w:rFonts w:ascii="Cambria Math" w:hAnsi="Cambria Math" w:cs="Arial"/>
              <w:color w:val="222222"/>
              <w:sz w:val="28"/>
              <w:shd w:val="clear" w:color="auto" w:fill="FFFFFF"/>
            </w:rPr>
            <m:t>=p</m:t>
          </m:r>
          <m:d>
            <m:dPr>
              <m:ctrlPr>
                <w:rPr>
                  <w:rFonts w:ascii="Cambria Math" w:hAnsi="Cambria Math" w:cs="Arial"/>
                  <w:i/>
                  <w:color w:val="222222"/>
                  <w:sz w:val="28"/>
                  <w:shd w:val="clear" w:color="auto" w:fill="FFFFFF"/>
                </w:rPr>
              </m:ctrlPr>
            </m:dPr>
            <m:e>
              <m:r>
                <w:rPr>
                  <w:rFonts w:ascii="Cambria Math" w:hAnsi="Cambria Math" w:cs="Arial"/>
                  <w:color w:val="222222"/>
                  <w:sz w:val="28"/>
                  <w:shd w:val="clear" w:color="auto" w:fill="FFFFFF"/>
                </w:rPr>
                <m:t>t</m:t>
              </m:r>
            </m:e>
          </m:d>
          <m:r>
            <w:rPr>
              <w:rFonts w:ascii="Cambria Math" w:hAnsi="Cambria Math" w:cs="Arial"/>
              <w:color w:val="222222"/>
              <w:sz w:val="28"/>
              <w:shd w:val="clear" w:color="auto" w:fill="FFFFFF"/>
            </w:rPr>
            <m:t>β+e</m:t>
          </m:r>
        </m:oMath>
      </m:oMathPara>
    </w:p>
    <w:p w14:paraId="275D9A55" w14:textId="13E3244C" w:rsidR="000C73FA" w:rsidRPr="007D7E3B" w:rsidRDefault="007D7E3B" w:rsidP="007D7E3B">
      <w:pPr>
        <w:pStyle w:val="Caption"/>
        <w:spacing w:line="360" w:lineRule="auto"/>
        <w:jc w:val="both"/>
        <w:rPr>
          <w:rFonts w:ascii="Arial" w:hAnsi="Arial" w:cs="Arial"/>
          <w:i w:val="0"/>
          <w:color w:val="000000" w:themeColor="text1"/>
          <w:sz w:val="24"/>
          <w:szCs w:val="24"/>
        </w:rPr>
      </w:pPr>
      <w:bookmarkStart w:id="259" w:name="_Toc11928500"/>
      <w:bookmarkStart w:id="260" w:name="_Toc11928667"/>
      <w:bookmarkStart w:id="261" w:name="_Toc11928837"/>
      <w:bookmarkStart w:id="262" w:name="_Toc11929059"/>
      <w:bookmarkStart w:id="263" w:name="_Toc16237056"/>
      <w:bookmarkStart w:id="264" w:name="_Toc16242739"/>
      <w:r w:rsidRPr="007D7E3B">
        <w:rPr>
          <w:rFonts w:ascii="Arial" w:hAnsi="Arial" w:cs="Arial"/>
          <w:b/>
          <w:i w:val="0"/>
          <w:color w:val="000000" w:themeColor="text1"/>
          <w:sz w:val="24"/>
          <w:szCs w:val="24"/>
        </w:rPr>
        <w:t xml:space="preserve">Equation </w:t>
      </w:r>
      <w:r w:rsidR="006766C5">
        <w:rPr>
          <w:rFonts w:ascii="Arial" w:hAnsi="Arial" w:cs="Arial"/>
          <w:b/>
          <w:i w:val="0"/>
          <w:color w:val="000000" w:themeColor="text1"/>
          <w:sz w:val="24"/>
          <w:szCs w:val="24"/>
        </w:rPr>
        <w:fldChar w:fldCharType="begin"/>
      </w:r>
      <w:r w:rsidR="006766C5">
        <w:rPr>
          <w:rFonts w:ascii="Arial" w:hAnsi="Arial" w:cs="Arial"/>
          <w:b/>
          <w:i w:val="0"/>
          <w:color w:val="000000" w:themeColor="text1"/>
          <w:sz w:val="24"/>
          <w:szCs w:val="24"/>
        </w:rPr>
        <w:instrText xml:space="preserve"> STYLEREF 1 \s </w:instrText>
      </w:r>
      <w:r w:rsidR="006766C5">
        <w:rPr>
          <w:rFonts w:ascii="Arial" w:hAnsi="Arial" w:cs="Arial"/>
          <w:b/>
          <w:i w:val="0"/>
          <w:color w:val="000000" w:themeColor="text1"/>
          <w:sz w:val="24"/>
          <w:szCs w:val="24"/>
        </w:rPr>
        <w:fldChar w:fldCharType="separate"/>
      </w:r>
      <w:r w:rsidR="00006397">
        <w:rPr>
          <w:rFonts w:ascii="Arial" w:hAnsi="Arial" w:cs="Arial"/>
          <w:b/>
          <w:i w:val="0"/>
          <w:noProof/>
          <w:color w:val="000000" w:themeColor="text1"/>
          <w:sz w:val="24"/>
          <w:szCs w:val="24"/>
        </w:rPr>
        <w:t>2</w:t>
      </w:r>
      <w:r w:rsidR="006766C5">
        <w:rPr>
          <w:rFonts w:ascii="Arial" w:hAnsi="Arial" w:cs="Arial"/>
          <w:b/>
          <w:i w:val="0"/>
          <w:color w:val="000000" w:themeColor="text1"/>
          <w:sz w:val="24"/>
          <w:szCs w:val="24"/>
        </w:rPr>
        <w:fldChar w:fldCharType="end"/>
      </w:r>
      <w:r w:rsidR="006766C5">
        <w:rPr>
          <w:rFonts w:ascii="Arial" w:hAnsi="Arial" w:cs="Arial"/>
          <w:b/>
          <w:i w:val="0"/>
          <w:color w:val="000000" w:themeColor="text1"/>
          <w:sz w:val="24"/>
          <w:szCs w:val="24"/>
        </w:rPr>
        <w:t>.</w:t>
      </w:r>
      <w:r w:rsidR="006766C5">
        <w:rPr>
          <w:rFonts w:ascii="Arial" w:hAnsi="Arial" w:cs="Arial"/>
          <w:b/>
          <w:i w:val="0"/>
          <w:color w:val="000000" w:themeColor="text1"/>
          <w:sz w:val="24"/>
          <w:szCs w:val="24"/>
        </w:rPr>
        <w:fldChar w:fldCharType="begin"/>
      </w:r>
      <w:r w:rsidR="006766C5">
        <w:rPr>
          <w:rFonts w:ascii="Arial" w:hAnsi="Arial" w:cs="Arial"/>
          <w:b/>
          <w:i w:val="0"/>
          <w:color w:val="000000" w:themeColor="text1"/>
          <w:sz w:val="24"/>
          <w:szCs w:val="24"/>
        </w:rPr>
        <w:instrText xml:space="preserve"> SEQ Equation \* ARABIC \s 1 </w:instrText>
      </w:r>
      <w:r w:rsidR="006766C5">
        <w:rPr>
          <w:rFonts w:ascii="Arial" w:hAnsi="Arial" w:cs="Arial"/>
          <w:b/>
          <w:i w:val="0"/>
          <w:color w:val="000000" w:themeColor="text1"/>
          <w:sz w:val="24"/>
          <w:szCs w:val="24"/>
        </w:rPr>
        <w:fldChar w:fldCharType="separate"/>
      </w:r>
      <w:r w:rsidR="00006397">
        <w:rPr>
          <w:rFonts w:ascii="Arial" w:hAnsi="Arial" w:cs="Arial"/>
          <w:b/>
          <w:i w:val="0"/>
          <w:noProof/>
          <w:color w:val="000000" w:themeColor="text1"/>
          <w:sz w:val="24"/>
          <w:szCs w:val="24"/>
        </w:rPr>
        <w:t>2</w:t>
      </w:r>
      <w:r w:rsidR="006766C5">
        <w:rPr>
          <w:rFonts w:ascii="Arial" w:hAnsi="Arial" w:cs="Arial"/>
          <w:b/>
          <w:i w:val="0"/>
          <w:color w:val="000000" w:themeColor="text1"/>
          <w:sz w:val="24"/>
          <w:szCs w:val="24"/>
        </w:rPr>
        <w:fldChar w:fldCharType="end"/>
      </w:r>
      <w:r w:rsidRPr="007D7E3B">
        <w:rPr>
          <w:rFonts w:ascii="Arial" w:hAnsi="Arial" w:cs="Arial"/>
          <w:i w:val="0"/>
          <w:color w:val="000000" w:themeColor="text1"/>
          <w:sz w:val="24"/>
          <w:szCs w:val="24"/>
        </w:rPr>
        <w:t xml:space="preserve"> Equation for the spatiotemporal linear model of the fMRI response</w:t>
      </w:r>
      <w:bookmarkEnd w:id="259"/>
      <w:bookmarkEnd w:id="260"/>
      <w:bookmarkEnd w:id="261"/>
      <w:bookmarkEnd w:id="262"/>
      <w:bookmarkEnd w:id="263"/>
      <w:bookmarkEnd w:id="264"/>
      <w:r w:rsidRPr="007D7E3B">
        <w:rPr>
          <w:rFonts w:ascii="Arial" w:hAnsi="Arial" w:cs="Arial"/>
          <w:i w:val="0"/>
          <w:color w:val="000000" w:themeColor="text1"/>
          <w:sz w:val="24"/>
          <w:szCs w:val="24"/>
        </w:rPr>
        <w:t xml:space="preserve">  </w:t>
      </w:r>
    </w:p>
    <w:p w14:paraId="4CF67683" w14:textId="77777777" w:rsidR="007D7E3B" w:rsidRPr="00225AB0" w:rsidRDefault="007D7E3B" w:rsidP="000C73FA">
      <w:pPr>
        <w:spacing w:line="480" w:lineRule="auto"/>
        <w:rPr>
          <w:rFonts w:ascii="Arial" w:hAnsi="Arial" w:cs="Arial"/>
        </w:rPr>
      </w:pPr>
    </w:p>
    <w:p w14:paraId="262D4BF2" w14:textId="77777777" w:rsidR="000C73FA" w:rsidRDefault="000C73FA" w:rsidP="000C73FA">
      <w:pPr>
        <w:spacing w:line="480" w:lineRule="auto"/>
        <w:rPr>
          <w:rFonts w:ascii="Arial" w:hAnsi="Arial" w:cs="Arial"/>
        </w:rPr>
      </w:pPr>
      <w:r w:rsidRPr="00225AB0">
        <w:rPr>
          <w:rFonts w:ascii="Arial" w:hAnsi="Arial" w:cs="Arial"/>
        </w:rPr>
        <w:t xml:space="preserve">Here, </w:t>
      </w:r>
      <m:oMath>
        <m:r>
          <w:rPr>
            <w:rFonts w:ascii="Cambria Math" w:hAnsi="Cambria Math" w:cs="Arial"/>
            <w:color w:val="222222"/>
            <w:sz w:val="28"/>
            <w:shd w:val="clear" w:color="auto" w:fill="FFFFFF"/>
          </w:rPr>
          <m:t>p</m:t>
        </m:r>
        <m:d>
          <m:dPr>
            <m:ctrlPr>
              <w:rPr>
                <w:rFonts w:ascii="Cambria Math" w:hAnsi="Cambria Math" w:cs="Arial"/>
                <w:i/>
                <w:color w:val="222222"/>
                <w:sz w:val="28"/>
                <w:shd w:val="clear" w:color="auto" w:fill="FFFFFF"/>
              </w:rPr>
            </m:ctrlPr>
          </m:dPr>
          <m:e>
            <m:r>
              <w:rPr>
                <w:rFonts w:ascii="Cambria Math" w:hAnsi="Cambria Math" w:cs="Arial"/>
                <w:color w:val="222222"/>
                <w:sz w:val="28"/>
                <w:shd w:val="clear" w:color="auto" w:fill="FFFFFF"/>
              </w:rPr>
              <m:t>t</m:t>
            </m:r>
          </m:e>
        </m:d>
      </m:oMath>
      <w:r w:rsidRPr="00225AB0">
        <w:rPr>
          <w:rFonts w:ascii="Arial" w:hAnsi="Arial" w:cs="Arial"/>
        </w:rPr>
        <w:t xml:space="preserve"> refers to the predicted fMRI signal, </w:t>
      </w:r>
      <m:oMath>
        <m:r>
          <w:rPr>
            <w:rFonts w:ascii="Cambria Math" w:hAnsi="Cambria Math" w:cs="Arial"/>
            <w:color w:val="222222"/>
            <w:sz w:val="28"/>
            <w:shd w:val="clear" w:color="auto" w:fill="FFFFFF"/>
          </w:rPr>
          <m:t>β</m:t>
        </m:r>
      </m:oMath>
      <w:r w:rsidRPr="00225AB0">
        <w:rPr>
          <w:rFonts w:ascii="Arial" w:hAnsi="Arial" w:cs="Arial"/>
        </w:rPr>
        <w:t xml:space="preserve"> is the response strength scaling factor (accounting for the unknown units of fMRI signal) and </w:t>
      </w:r>
      <m:oMath>
        <m:r>
          <w:rPr>
            <w:rFonts w:ascii="Cambria Math" w:hAnsi="Cambria Math" w:cs="Arial"/>
            <w:color w:val="222222"/>
            <w:sz w:val="28"/>
            <w:shd w:val="clear" w:color="auto" w:fill="FFFFFF"/>
          </w:rPr>
          <m:t>e</m:t>
        </m:r>
      </m:oMath>
      <w:r w:rsidRPr="00225AB0">
        <w:rPr>
          <w:rFonts w:ascii="Arial" w:hAnsi="Arial" w:cs="Arial"/>
        </w:rPr>
        <w:t xml:space="preserve"> refers to noise. </w:t>
      </w:r>
    </w:p>
    <w:p w14:paraId="32C739EA" w14:textId="77777777" w:rsidR="00717F88" w:rsidRPr="00225AB0" w:rsidRDefault="00717F88" w:rsidP="000C73FA">
      <w:pPr>
        <w:spacing w:line="480" w:lineRule="auto"/>
        <w:rPr>
          <w:rFonts w:ascii="Arial" w:hAnsi="Arial" w:cs="Arial"/>
        </w:rPr>
      </w:pPr>
    </w:p>
    <w:p w14:paraId="200585ED" w14:textId="77777777" w:rsidR="000C73FA" w:rsidRDefault="000C73FA" w:rsidP="000C73FA">
      <w:pPr>
        <w:spacing w:line="480" w:lineRule="auto"/>
        <w:rPr>
          <w:rFonts w:ascii="Arial" w:hAnsi="Arial" w:cs="Arial"/>
          <w:color w:val="222222"/>
          <w:shd w:val="clear" w:color="auto" w:fill="FFFFFF"/>
        </w:rPr>
      </w:pPr>
      <w:r w:rsidRPr="00225AB0">
        <w:rPr>
          <w:rFonts w:ascii="Arial" w:hAnsi="Arial" w:cs="Arial"/>
        </w:rPr>
        <w:t xml:space="preserve">The predicted fMRI signal for each voxel is calculated using a 2D Gaussian model of the population receptive field, defined below. Here, </w:t>
      </w:r>
      <m:oMath>
        <m:sSub>
          <m:sSubPr>
            <m:ctrlPr>
              <w:rPr>
                <w:rFonts w:ascii="Cambria Math" w:hAnsi="Cambria Math" w:cs="Arial"/>
                <w:i/>
                <w:sz w:val="28"/>
                <w:szCs w:val="28"/>
              </w:rPr>
            </m:ctrlPr>
          </m:sSubPr>
          <m:e>
            <m:r>
              <w:rPr>
                <w:rFonts w:ascii="Cambria Math" w:hAnsi="Cambria Math" w:cs="Arial"/>
                <w:sz w:val="28"/>
                <w:szCs w:val="28"/>
              </w:rPr>
              <m:t>x</m:t>
            </m:r>
          </m:e>
          <m:sub>
            <m:r>
              <w:rPr>
                <w:rFonts w:ascii="Cambria Math" w:hAnsi="Cambria Math" w:cs="Arial"/>
                <w:sz w:val="28"/>
                <w:szCs w:val="28"/>
              </w:rPr>
              <m:t>0</m:t>
            </m:r>
          </m:sub>
        </m:sSub>
      </m:oMath>
      <w:r w:rsidRPr="00225AB0">
        <w:rPr>
          <w:rFonts w:ascii="Arial" w:hAnsi="Arial" w:cs="Arial"/>
          <w:vertAlign w:val="subscript"/>
        </w:rPr>
        <w:t xml:space="preserve"> </w:t>
      </w:r>
      <w:r w:rsidRPr="00225AB0">
        <w:rPr>
          <w:rFonts w:ascii="Arial" w:hAnsi="Arial" w:cs="Arial"/>
        </w:rPr>
        <w:t xml:space="preserve">and </w:t>
      </w:r>
      <m:oMath>
        <m:sSub>
          <m:sSubPr>
            <m:ctrlPr>
              <w:rPr>
                <w:rFonts w:ascii="Cambria Math" w:hAnsi="Cambria Math" w:cs="Arial"/>
                <w:i/>
                <w:sz w:val="28"/>
                <w:szCs w:val="28"/>
              </w:rPr>
            </m:ctrlPr>
          </m:sSubPr>
          <m:e>
            <m:r>
              <w:rPr>
                <w:rFonts w:ascii="Cambria Math" w:hAnsi="Cambria Math" w:cs="Arial"/>
                <w:sz w:val="28"/>
                <w:szCs w:val="28"/>
              </w:rPr>
              <m:t>y</m:t>
            </m:r>
          </m:e>
          <m:sub>
            <m:r>
              <w:rPr>
                <w:rFonts w:ascii="Cambria Math" w:hAnsi="Cambria Math" w:cs="Arial"/>
                <w:sz w:val="28"/>
                <w:szCs w:val="28"/>
              </w:rPr>
              <m:t>0</m:t>
            </m:r>
          </m:sub>
        </m:sSub>
      </m:oMath>
      <w:r w:rsidRPr="00225AB0">
        <w:rPr>
          <w:rFonts w:ascii="Arial" w:hAnsi="Arial" w:cs="Arial"/>
        </w:rPr>
        <w:t xml:space="preserve"> refer to the centre of the pRF, and </w:t>
      </w:r>
      <m:oMath>
        <m:r>
          <w:rPr>
            <w:rFonts w:ascii="Cambria Math" w:hAnsi="Cambria Math" w:cs="Arial"/>
            <w:sz w:val="28"/>
            <w:szCs w:val="28"/>
          </w:rPr>
          <m:t>σ</m:t>
        </m:r>
      </m:oMath>
      <w:r w:rsidRPr="00225AB0">
        <w:rPr>
          <w:rFonts w:ascii="Arial" w:hAnsi="Arial" w:cs="Arial"/>
          <w:color w:val="222222"/>
          <w:shd w:val="clear" w:color="auto" w:fill="FFFFFF"/>
        </w:rPr>
        <w:t xml:space="preserve"> refers to the standard deviation of the Gaussian (or spread of the population receptive field). </w:t>
      </w:r>
    </w:p>
    <w:p w14:paraId="0EEF8641" w14:textId="77777777" w:rsidR="007D7E3B" w:rsidRDefault="007D7E3B" w:rsidP="000C73FA">
      <w:pPr>
        <w:spacing w:line="480" w:lineRule="auto"/>
        <w:rPr>
          <w:rFonts w:ascii="Arial" w:hAnsi="Arial" w:cs="Arial"/>
          <w:color w:val="222222"/>
          <w:shd w:val="clear" w:color="auto" w:fill="FFFFFF"/>
        </w:rPr>
      </w:pPr>
    </w:p>
    <w:p w14:paraId="15FE2516" w14:textId="77777777" w:rsidR="007D7E3B" w:rsidRPr="0079656C" w:rsidRDefault="007D7E3B" w:rsidP="000C73FA">
      <w:pPr>
        <w:spacing w:line="480" w:lineRule="auto"/>
        <w:rPr>
          <w:rFonts w:ascii="Arial" w:hAnsi="Arial" w:cs="Arial"/>
          <w:sz w:val="28"/>
          <w:szCs w:val="28"/>
        </w:rPr>
      </w:pPr>
      <m:oMathPara>
        <m:oMath>
          <m:r>
            <w:rPr>
              <w:rFonts w:ascii="Cambria Math" w:hAnsi="Cambria Math" w:cs="Arial"/>
              <w:sz w:val="28"/>
              <w:szCs w:val="28"/>
            </w:rPr>
            <m:t>g</m:t>
          </m:r>
          <m:d>
            <m:dPr>
              <m:ctrlPr>
                <w:rPr>
                  <w:rFonts w:ascii="Cambria Math" w:hAnsi="Cambria Math" w:cs="Arial"/>
                  <w:i/>
                  <w:sz w:val="28"/>
                  <w:szCs w:val="28"/>
                </w:rPr>
              </m:ctrlPr>
            </m:dPr>
            <m:e>
              <m:r>
                <w:rPr>
                  <w:rFonts w:ascii="Cambria Math" w:hAnsi="Cambria Math" w:cs="Arial"/>
                  <w:sz w:val="28"/>
                  <w:szCs w:val="28"/>
                </w:rPr>
                <m:t>x,y</m:t>
              </m:r>
            </m:e>
          </m:d>
          <m:r>
            <w:rPr>
              <w:rFonts w:ascii="Cambria Math" w:hAnsi="Cambria Math" w:cs="Arial"/>
              <w:sz w:val="28"/>
              <w:szCs w:val="28"/>
            </w:rPr>
            <m:t>=exp-</m:t>
          </m:r>
          <m:d>
            <m:dPr>
              <m:ctrlPr>
                <w:rPr>
                  <w:rFonts w:ascii="Cambria Math" w:hAnsi="Cambria Math" w:cs="Arial"/>
                  <w:i/>
                  <w:sz w:val="28"/>
                  <w:szCs w:val="28"/>
                </w:rPr>
              </m:ctrlPr>
            </m:dPr>
            <m:e>
              <m:f>
                <m:fPr>
                  <m:ctrlPr>
                    <w:rPr>
                      <w:rFonts w:ascii="Cambria Math" w:hAnsi="Cambria Math" w:cs="Arial"/>
                      <w:i/>
                      <w:sz w:val="28"/>
                      <w:szCs w:val="28"/>
                    </w:rPr>
                  </m:ctrlPr>
                </m:fPr>
                <m:num>
                  <m:sSup>
                    <m:sSupPr>
                      <m:ctrlPr>
                        <w:rPr>
                          <w:rFonts w:ascii="Cambria Math" w:hAnsi="Cambria Math" w:cs="Arial"/>
                          <w:i/>
                          <w:sz w:val="28"/>
                          <w:szCs w:val="28"/>
                        </w:rPr>
                      </m:ctrlPr>
                    </m:sSupPr>
                    <m:e>
                      <m:d>
                        <m:dPr>
                          <m:ctrlPr>
                            <w:rPr>
                              <w:rFonts w:ascii="Cambria Math" w:hAnsi="Cambria Math" w:cs="Arial"/>
                              <w:i/>
                              <w:sz w:val="28"/>
                              <w:szCs w:val="28"/>
                            </w:rPr>
                          </m:ctrlPr>
                        </m:dPr>
                        <m:e>
                          <m:r>
                            <w:rPr>
                              <w:rFonts w:ascii="Cambria Math" w:hAnsi="Cambria Math" w:cs="Arial"/>
                              <w:sz w:val="28"/>
                              <w:szCs w:val="28"/>
                            </w:rPr>
                            <m:t>x-</m:t>
                          </m:r>
                          <m:sSub>
                            <m:sSubPr>
                              <m:ctrlPr>
                                <w:rPr>
                                  <w:rFonts w:ascii="Cambria Math" w:hAnsi="Cambria Math" w:cs="Arial"/>
                                  <w:i/>
                                  <w:sz w:val="28"/>
                                  <w:szCs w:val="28"/>
                                </w:rPr>
                              </m:ctrlPr>
                            </m:sSubPr>
                            <m:e>
                              <m:r>
                                <w:rPr>
                                  <w:rFonts w:ascii="Cambria Math" w:hAnsi="Cambria Math" w:cs="Arial"/>
                                  <w:sz w:val="28"/>
                                  <w:szCs w:val="28"/>
                                </w:rPr>
                                <m:t>x</m:t>
                              </m:r>
                            </m:e>
                            <m:sub>
                              <m:r>
                                <w:rPr>
                                  <w:rFonts w:ascii="Cambria Math" w:hAnsi="Cambria Math" w:cs="Arial"/>
                                  <w:sz w:val="28"/>
                                  <w:szCs w:val="28"/>
                                </w:rPr>
                                <m:t>0</m:t>
                              </m:r>
                            </m:sub>
                          </m:sSub>
                        </m:e>
                      </m:d>
                    </m:e>
                    <m:sup>
                      <m:r>
                        <w:rPr>
                          <w:rFonts w:ascii="Cambria Math" w:hAnsi="Cambria Math" w:cs="Arial"/>
                          <w:sz w:val="28"/>
                          <w:szCs w:val="28"/>
                        </w:rPr>
                        <m:t>2</m:t>
                      </m:r>
                    </m:sup>
                  </m:sSup>
                  <m:r>
                    <w:rPr>
                      <w:rFonts w:ascii="Cambria Math" w:hAnsi="Cambria Math" w:cs="Arial"/>
                      <w:sz w:val="28"/>
                      <w:szCs w:val="28"/>
                    </w:rPr>
                    <m:t>+</m:t>
                  </m:r>
                  <m:sSup>
                    <m:sSupPr>
                      <m:ctrlPr>
                        <w:rPr>
                          <w:rFonts w:ascii="Cambria Math" w:hAnsi="Cambria Math" w:cs="Arial"/>
                          <w:i/>
                          <w:sz w:val="28"/>
                          <w:szCs w:val="28"/>
                        </w:rPr>
                      </m:ctrlPr>
                    </m:sSupPr>
                    <m:e>
                      <m:d>
                        <m:dPr>
                          <m:ctrlPr>
                            <w:rPr>
                              <w:rFonts w:ascii="Cambria Math" w:hAnsi="Cambria Math" w:cs="Arial"/>
                              <w:i/>
                              <w:sz w:val="28"/>
                              <w:szCs w:val="28"/>
                            </w:rPr>
                          </m:ctrlPr>
                        </m:dPr>
                        <m:e>
                          <m:r>
                            <w:rPr>
                              <w:rFonts w:ascii="Cambria Math" w:hAnsi="Cambria Math" w:cs="Arial"/>
                              <w:sz w:val="28"/>
                              <w:szCs w:val="28"/>
                            </w:rPr>
                            <m:t>y-</m:t>
                          </m:r>
                          <m:sSub>
                            <m:sSubPr>
                              <m:ctrlPr>
                                <w:rPr>
                                  <w:rFonts w:ascii="Cambria Math" w:hAnsi="Cambria Math" w:cs="Arial"/>
                                  <w:i/>
                                  <w:sz w:val="28"/>
                                  <w:szCs w:val="28"/>
                                </w:rPr>
                              </m:ctrlPr>
                            </m:sSubPr>
                            <m:e>
                              <m:r>
                                <w:rPr>
                                  <w:rFonts w:ascii="Cambria Math" w:hAnsi="Cambria Math" w:cs="Arial"/>
                                  <w:sz w:val="28"/>
                                  <w:szCs w:val="28"/>
                                </w:rPr>
                                <m:t>y</m:t>
                              </m:r>
                            </m:e>
                            <m:sub>
                              <m:r>
                                <w:rPr>
                                  <w:rFonts w:ascii="Cambria Math" w:hAnsi="Cambria Math" w:cs="Arial"/>
                                  <w:sz w:val="28"/>
                                  <w:szCs w:val="28"/>
                                </w:rPr>
                                <m:t>0</m:t>
                              </m:r>
                            </m:sub>
                          </m:sSub>
                        </m:e>
                      </m:d>
                    </m:e>
                    <m:sup>
                      <m:r>
                        <w:rPr>
                          <w:rFonts w:ascii="Cambria Math" w:hAnsi="Cambria Math" w:cs="Arial"/>
                          <w:sz w:val="28"/>
                          <w:szCs w:val="28"/>
                        </w:rPr>
                        <m:t>2</m:t>
                      </m:r>
                    </m:sup>
                  </m:sSup>
                </m:num>
                <m:den>
                  <m:sSup>
                    <m:sSupPr>
                      <m:ctrlPr>
                        <w:rPr>
                          <w:rFonts w:ascii="Cambria Math" w:hAnsi="Cambria Math" w:cs="Arial"/>
                          <w:i/>
                          <w:sz w:val="28"/>
                          <w:szCs w:val="28"/>
                        </w:rPr>
                      </m:ctrlPr>
                    </m:sSupPr>
                    <m:e>
                      <m:r>
                        <w:rPr>
                          <w:rFonts w:ascii="Cambria Math" w:hAnsi="Cambria Math" w:cs="Arial"/>
                          <w:sz w:val="28"/>
                          <w:szCs w:val="28"/>
                        </w:rPr>
                        <m:t>2σ</m:t>
                      </m:r>
                    </m:e>
                    <m:sup>
                      <m:r>
                        <w:rPr>
                          <w:rFonts w:ascii="Cambria Math" w:hAnsi="Cambria Math" w:cs="Arial"/>
                          <w:sz w:val="28"/>
                          <w:szCs w:val="28"/>
                        </w:rPr>
                        <m:t>2</m:t>
                      </m:r>
                    </m:sup>
                  </m:sSup>
                </m:den>
              </m:f>
            </m:e>
          </m:d>
        </m:oMath>
      </m:oMathPara>
    </w:p>
    <w:p w14:paraId="51E17CAE" w14:textId="019EC550" w:rsidR="000C73FA" w:rsidRPr="00CC7DCB" w:rsidRDefault="0079656C" w:rsidP="00CC7DCB">
      <w:pPr>
        <w:pStyle w:val="Caption"/>
        <w:spacing w:line="360" w:lineRule="auto"/>
        <w:jc w:val="center"/>
        <w:rPr>
          <w:rFonts w:ascii="Arial" w:hAnsi="Arial" w:cs="Arial"/>
          <w:i w:val="0"/>
          <w:color w:val="000000" w:themeColor="text1"/>
          <w:sz w:val="24"/>
          <w:szCs w:val="24"/>
        </w:rPr>
      </w:pPr>
      <w:bookmarkStart w:id="265" w:name="_Toc11928501"/>
      <w:bookmarkStart w:id="266" w:name="_Toc11928668"/>
      <w:bookmarkStart w:id="267" w:name="_Toc11928838"/>
      <w:bookmarkStart w:id="268" w:name="_Toc11929060"/>
      <w:bookmarkStart w:id="269" w:name="_Toc16237057"/>
      <w:bookmarkStart w:id="270" w:name="_Toc16242740"/>
      <w:r w:rsidRPr="0079656C">
        <w:rPr>
          <w:rFonts w:ascii="Arial" w:hAnsi="Arial" w:cs="Arial"/>
          <w:b/>
          <w:i w:val="0"/>
          <w:color w:val="000000" w:themeColor="text1"/>
          <w:sz w:val="24"/>
          <w:szCs w:val="24"/>
        </w:rPr>
        <w:t xml:space="preserve">Equation </w:t>
      </w:r>
      <w:r w:rsidR="006766C5">
        <w:rPr>
          <w:rFonts w:ascii="Arial" w:hAnsi="Arial" w:cs="Arial"/>
          <w:b/>
          <w:i w:val="0"/>
          <w:color w:val="000000" w:themeColor="text1"/>
          <w:sz w:val="24"/>
          <w:szCs w:val="24"/>
        </w:rPr>
        <w:fldChar w:fldCharType="begin"/>
      </w:r>
      <w:r w:rsidR="006766C5">
        <w:rPr>
          <w:rFonts w:ascii="Arial" w:hAnsi="Arial" w:cs="Arial"/>
          <w:b/>
          <w:i w:val="0"/>
          <w:color w:val="000000" w:themeColor="text1"/>
          <w:sz w:val="24"/>
          <w:szCs w:val="24"/>
        </w:rPr>
        <w:instrText xml:space="preserve"> STYLEREF 1 \s </w:instrText>
      </w:r>
      <w:r w:rsidR="006766C5">
        <w:rPr>
          <w:rFonts w:ascii="Arial" w:hAnsi="Arial" w:cs="Arial"/>
          <w:b/>
          <w:i w:val="0"/>
          <w:color w:val="000000" w:themeColor="text1"/>
          <w:sz w:val="24"/>
          <w:szCs w:val="24"/>
        </w:rPr>
        <w:fldChar w:fldCharType="separate"/>
      </w:r>
      <w:r w:rsidR="00006397">
        <w:rPr>
          <w:rFonts w:ascii="Arial" w:hAnsi="Arial" w:cs="Arial"/>
          <w:b/>
          <w:i w:val="0"/>
          <w:noProof/>
          <w:color w:val="000000" w:themeColor="text1"/>
          <w:sz w:val="24"/>
          <w:szCs w:val="24"/>
        </w:rPr>
        <w:t>2</w:t>
      </w:r>
      <w:r w:rsidR="006766C5">
        <w:rPr>
          <w:rFonts w:ascii="Arial" w:hAnsi="Arial" w:cs="Arial"/>
          <w:b/>
          <w:i w:val="0"/>
          <w:color w:val="000000" w:themeColor="text1"/>
          <w:sz w:val="24"/>
          <w:szCs w:val="24"/>
        </w:rPr>
        <w:fldChar w:fldCharType="end"/>
      </w:r>
      <w:r w:rsidR="006766C5">
        <w:rPr>
          <w:rFonts w:ascii="Arial" w:hAnsi="Arial" w:cs="Arial"/>
          <w:b/>
          <w:i w:val="0"/>
          <w:color w:val="000000" w:themeColor="text1"/>
          <w:sz w:val="24"/>
          <w:szCs w:val="24"/>
        </w:rPr>
        <w:t>.</w:t>
      </w:r>
      <w:r w:rsidR="006766C5">
        <w:rPr>
          <w:rFonts w:ascii="Arial" w:hAnsi="Arial" w:cs="Arial"/>
          <w:b/>
          <w:i w:val="0"/>
          <w:color w:val="000000" w:themeColor="text1"/>
          <w:sz w:val="24"/>
          <w:szCs w:val="24"/>
        </w:rPr>
        <w:fldChar w:fldCharType="begin"/>
      </w:r>
      <w:r w:rsidR="006766C5">
        <w:rPr>
          <w:rFonts w:ascii="Arial" w:hAnsi="Arial" w:cs="Arial"/>
          <w:b/>
          <w:i w:val="0"/>
          <w:color w:val="000000" w:themeColor="text1"/>
          <w:sz w:val="24"/>
          <w:szCs w:val="24"/>
        </w:rPr>
        <w:instrText xml:space="preserve"> SEQ Equation \* ARABIC \s 1 </w:instrText>
      </w:r>
      <w:r w:rsidR="006766C5">
        <w:rPr>
          <w:rFonts w:ascii="Arial" w:hAnsi="Arial" w:cs="Arial"/>
          <w:b/>
          <w:i w:val="0"/>
          <w:color w:val="000000" w:themeColor="text1"/>
          <w:sz w:val="24"/>
          <w:szCs w:val="24"/>
        </w:rPr>
        <w:fldChar w:fldCharType="separate"/>
      </w:r>
      <w:r w:rsidR="00006397">
        <w:rPr>
          <w:rFonts w:ascii="Arial" w:hAnsi="Arial" w:cs="Arial"/>
          <w:b/>
          <w:i w:val="0"/>
          <w:noProof/>
          <w:color w:val="000000" w:themeColor="text1"/>
          <w:sz w:val="24"/>
          <w:szCs w:val="24"/>
        </w:rPr>
        <w:t>3</w:t>
      </w:r>
      <w:r w:rsidR="006766C5">
        <w:rPr>
          <w:rFonts w:ascii="Arial" w:hAnsi="Arial" w:cs="Arial"/>
          <w:b/>
          <w:i w:val="0"/>
          <w:color w:val="000000" w:themeColor="text1"/>
          <w:sz w:val="24"/>
          <w:szCs w:val="24"/>
        </w:rPr>
        <w:fldChar w:fldCharType="end"/>
      </w:r>
      <w:r w:rsidRPr="0079656C">
        <w:rPr>
          <w:rFonts w:ascii="Arial" w:hAnsi="Arial" w:cs="Arial"/>
          <w:i w:val="0"/>
          <w:color w:val="000000" w:themeColor="text1"/>
          <w:sz w:val="24"/>
          <w:szCs w:val="24"/>
        </w:rPr>
        <w:t xml:space="preserve"> Equation for the Gaussian model of pRF used to calculate </w:t>
      </w:r>
      <w:r w:rsidR="006766C5">
        <w:rPr>
          <w:rFonts w:ascii="Arial" w:hAnsi="Arial" w:cs="Arial"/>
          <w:i w:val="0"/>
          <w:color w:val="000000" w:themeColor="text1"/>
          <w:sz w:val="24"/>
          <w:szCs w:val="24"/>
        </w:rPr>
        <w:t>p(t)</w:t>
      </w:r>
      <w:bookmarkEnd w:id="12"/>
      <w:bookmarkEnd w:id="13"/>
      <w:bookmarkEnd w:id="14"/>
      <w:bookmarkEnd w:id="15"/>
      <w:bookmarkEnd w:id="16"/>
      <w:bookmarkEnd w:id="17"/>
      <w:bookmarkEnd w:id="18"/>
      <w:bookmarkEnd w:id="19"/>
      <w:bookmarkEnd w:id="20"/>
      <w:bookmarkEnd w:id="21"/>
      <w:bookmarkEnd w:id="22"/>
      <w:bookmarkEnd w:id="265"/>
      <w:bookmarkEnd w:id="266"/>
      <w:bookmarkEnd w:id="267"/>
      <w:bookmarkEnd w:id="268"/>
      <w:bookmarkEnd w:id="269"/>
      <w:bookmarkEnd w:id="270"/>
    </w:p>
    <w:p w14:paraId="5279082F" w14:textId="77777777" w:rsidR="000C73FA" w:rsidRPr="00225AB0" w:rsidRDefault="000C73FA" w:rsidP="000C73FA">
      <w:pPr>
        <w:spacing w:line="480" w:lineRule="auto"/>
        <w:rPr>
          <w:rFonts w:ascii="Arial" w:hAnsi="Arial" w:cs="Arial"/>
        </w:rPr>
      </w:pPr>
    </w:p>
    <w:p w14:paraId="083BDF46" w14:textId="702C2752" w:rsidR="000C73FA" w:rsidRPr="00225AB0" w:rsidRDefault="000C73FA" w:rsidP="000C73FA">
      <w:pPr>
        <w:spacing w:line="480" w:lineRule="auto"/>
        <w:rPr>
          <w:rFonts w:ascii="Arial" w:hAnsi="Arial" w:cs="Arial"/>
          <w:color w:val="222222"/>
          <w:shd w:val="clear" w:color="auto" w:fill="FFFFFF"/>
        </w:rPr>
      </w:pPr>
      <w:r w:rsidRPr="00225AB0">
        <w:rPr>
          <w:rFonts w:ascii="Arial" w:hAnsi="Arial" w:cs="Arial"/>
        </w:rPr>
        <w:t xml:space="preserve">The pRF model finds and fits the optimal pRF parameters to each voxel by minimising the residual sum of squares between the predicted and observed fMRI </w:t>
      </w:r>
      <w:r w:rsidR="00717F88" w:rsidRPr="00225AB0">
        <w:rPr>
          <w:rFonts w:ascii="Arial" w:hAnsi="Arial" w:cs="Arial"/>
        </w:rPr>
        <w:t>time course</w:t>
      </w:r>
      <w:r w:rsidRPr="00225AB0">
        <w:rPr>
          <w:rFonts w:ascii="Arial" w:hAnsi="Arial" w:cs="Arial"/>
        </w:rPr>
        <w:t xml:space="preserve">. In the first stage of this process, data are smoothed with a 5mm full-width at half-maximum (FWHM) Gaussian kernel to improve spatial correlation amongst neighbouring voxels.  Next, brute force search is applied to identify the best fit for each voxel to the observed fMRI data from 100,000 timeseries predictions.  In this second stage, unsmoothed voxels from the first stage whose fits explain more than 15% of the variance in that </w:t>
      </w:r>
      <w:r w:rsidRPr="0079656C">
        <w:rPr>
          <w:rFonts w:ascii="Arial" w:hAnsi="Arial" w:cs="Arial"/>
          <w:color w:val="000000" w:themeColor="text1"/>
        </w:rPr>
        <w:t xml:space="preserve">voxels </w:t>
      </w:r>
      <w:r w:rsidR="00717F88" w:rsidRPr="0079656C">
        <w:rPr>
          <w:rFonts w:ascii="Arial" w:hAnsi="Arial" w:cs="Arial"/>
          <w:color w:val="000000" w:themeColor="text1"/>
        </w:rPr>
        <w:lastRenderedPageBreak/>
        <w:t>time course</w:t>
      </w:r>
      <w:r w:rsidRPr="0079656C">
        <w:rPr>
          <w:rFonts w:ascii="Arial" w:hAnsi="Arial" w:cs="Arial"/>
          <w:color w:val="000000" w:themeColor="text1"/>
        </w:rPr>
        <w:t xml:space="preserve"> are retained. From these fits, </w:t>
      </w:r>
      <m:oMath>
        <m:sSub>
          <m:sSubPr>
            <m:ctrlPr>
              <w:rPr>
                <w:rFonts w:ascii="Cambria Math" w:hAnsi="Cambria Math" w:cs="Arial"/>
                <w:i/>
                <w:sz w:val="28"/>
                <w:szCs w:val="28"/>
              </w:rPr>
            </m:ctrlPr>
          </m:sSubPr>
          <m:e>
            <m:r>
              <w:rPr>
                <w:rFonts w:ascii="Cambria Math" w:hAnsi="Cambria Math" w:cs="Arial"/>
                <w:sz w:val="28"/>
                <w:szCs w:val="28"/>
              </w:rPr>
              <m:t>x</m:t>
            </m:r>
          </m:e>
          <m:sub>
            <m:r>
              <w:rPr>
                <w:rFonts w:ascii="Cambria Math" w:hAnsi="Cambria Math" w:cs="Arial"/>
                <w:sz w:val="28"/>
                <w:szCs w:val="28"/>
              </w:rPr>
              <m:t>0</m:t>
            </m:r>
          </m:sub>
        </m:sSub>
      </m:oMath>
      <w:r w:rsidRPr="0079656C">
        <w:rPr>
          <w:rFonts w:ascii="Arial" w:hAnsi="Arial" w:cs="Arial"/>
          <w:color w:val="000000" w:themeColor="text1"/>
        </w:rPr>
        <w:t>,</w:t>
      </w:r>
      <m:oMath>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y</m:t>
            </m:r>
          </m:e>
          <m:sub>
            <m:r>
              <w:rPr>
                <w:rFonts w:ascii="Cambria Math" w:hAnsi="Cambria Math" w:cs="Arial"/>
                <w:sz w:val="28"/>
                <w:szCs w:val="28"/>
              </w:rPr>
              <m:t>0</m:t>
            </m:r>
          </m:sub>
        </m:sSub>
      </m:oMath>
      <w:r w:rsidRPr="0079656C">
        <w:rPr>
          <w:rFonts w:ascii="Arial" w:hAnsi="Arial" w:cs="Arial"/>
          <w:color w:val="000000" w:themeColor="text1"/>
        </w:rPr>
        <w:t xml:space="preserve"> and </w:t>
      </w:r>
      <m:oMath>
        <m:r>
          <w:rPr>
            <w:rFonts w:ascii="Cambria Math" w:hAnsi="Cambria Math" w:cs="Arial"/>
            <w:color w:val="000000" w:themeColor="text1"/>
            <w:sz w:val="28"/>
            <w:szCs w:val="28"/>
          </w:rPr>
          <m:t>σ</m:t>
        </m:r>
      </m:oMath>
      <w:r w:rsidRPr="0079656C">
        <w:rPr>
          <w:rFonts w:ascii="Arial" w:hAnsi="Arial" w:cs="Arial"/>
          <w:color w:val="000000" w:themeColor="text1"/>
          <w:shd w:val="clear" w:color="auto" w:fill="FFFFFF"/>
        </w:rPr>
        <w:t xml:space="preserve"> are estimated for each voxel. The values provide for each voxel, the eccentricity (how far from the centre of the visual field a voxel is tuned), the polar angle (radial distance preference) and receptive field size (the degrees of visual angle in space a voxel receives input from). </w:t>
      </w:r>
    </w:p>
    <w:p w14:paraId="7BF13EFE" w14:textId="2AC67658" w:rsidR="000C73FA" w:rsidRPr="00225AB0" w:rsidRDefault="000C73FA" w:rsidP="000C73FA">
      <w:pPr>
        <w:spacing w:line="480" w:lineRule="auto"/>
        <w:rPr>
          <w:rFonts w:ascii="Arial" w:hAnsi="Arial" w:cs="Arial"/>
        </w:rPr>
      </w:pPr>
    </w:p>
    <w:p w14:paraId="710A89CF" w14:textId="37A055FC" w:rsidR="000C73FA" w:rsidRDefault="000C73FA" w:rsidP="001811CC">
      <w:pPr>
        <w:pStyle w:val="Heading3"/>
        <w:numPr>
          <w:ilvl w:val="2"/>
          <w:numId w:val="3"/>
        </w:numPr>
        <w:rPr>
          <w:rFonts w:ascii="Arial" w:eastAsia="Times New Roman" w:hAnsi="Arial" w:cs="Arial"/>
          <w:b/>
          <w:i/>
          <w:color w:val="000000" w:themeColor="text1"/>
          <w:sz w:val="28"/>
          <w:szCs w:val="28"/>
          <w:shd w:val="clear" w:color="auto" w:fill="FFFFFF"/>
        </w:rPr>
      </w:pPr>
      <w:bookmarkStart w:id="271" w:name="_Toc11147975"/>
      <w:bookmarkStart w:id="272" w:name="_Toc11153921"/>
      <w:bookmarkStart w:id="273" w:name="_Toc11753627"/>
      <w:bookmarkStart w:id="274" w:name="_Toc11926813"/>
      <w:bookmarkStart w:id="275" w:name="_Toc11930046"/>
      <w:bookmarkStart w:id="276" w:name="_Toc16075362"/>
      <w:bookmarkStart w:id="277" w:name="_Toc16236985"/>
      <w:r w:rsidRPr="00CB7683">
        <w:rPr>
          <w:rFonts w:ascii="Arial" w:eastAsia="Times New Roman" w:hAnsi="Arial" w:cs="Arial"/>
          <w:b/>
          <w:i/>
          <w:color w:val="000000" w:themeColor="text1"/>
          <w:sz w:val="28"/>
          <w:szCs w:val="28"/>
          <w:shd w:val="clear" w:color="auto" w:fill="FFFFFF"/>
        </w:rPr>
        <w:t>MT+ motion localiser</w:t>
      </w:r>
      <w:bookmarkEnd w:id="271"/>
      <w:bookmarkEnd w:id="272"/>
      <w:bookmarkEnd w:id="273"/>
      <w:bookmarkEnd w:id="274"/>
      <w:bookmarkEnd w:id="275"/>
      <w:bookmarkEnd w:id="276"/>
      <w:bookmarkEnd w:id="277"/>
      <w:r w:rsidRPr="00CB7683">
        <w:rPr>
          <w:rFonts w:ascii="Arial" w:eastAsia="Times New Roman" w:hAnsi="Arial" w:cs="Arial"/>
          <w:b/>
          <w:i/>
          <w:color w:val="000000" w:themeColor="text1"/>
          <w:sz w:val="28"/>
          <w:szCs w:val="28"/>
          <w:shd w:val="clear" w:color="auto" w:fill="FFFFFF"/>
        </w:rPr>
        <w:t xml:space="preserve"> </w:t>
      </w:r>
    </w:p>
    <w:p w14:paraId="3C55CE00" w14:textId="693EFF23" w:rsidR="00CB7683" w:rsidRPr="00CB7683" w:rsidRDefault="00CB7683" w:rsidP="00CB7683"/>
    <w:p w14:paraId="42CC9CF5" w14:textId="6CB56B81" w:rsidR="000C73FA" w:rsidRDefault="000C73FA" w:rsidP="000C73FA">
      <w:pPr>
        <w:spacing w:line="480" w:lineRule="auto"/>
        <w:rPr>
          <w:rFonts w:ascii="Arial" w:hAnsi="Arial" w:cs="Arial"/>
        </w:rPr>
      </w:pPr>
      <w:r w:rsidRPr="00225AB0">
        <w:rPr>
          <w:rFonts w:ascii="Arial" w:hAnsi="Arial" w:cs="Arial"/>
        </w:rPr>
        <w:t xml:space="preserve">For some participants, we employed a MT+ motion localiser in combination with population receptive </w:t>
      </w:r>
      <w:r w:rsidRPr="0079656C">
        <w:rPr>
          <w:rFonts w:ascii="Arial" w:hAnsi="Arial" w:cs="Arial"/>
          <w:color w:val="000000" w:themeColor="text1"/>
        </w:rPr>
        <w:t xml:space="preserve">field mapping to isolate the voxels </w:t>
      </w:r>
      <w:r w:rsidR="00D44AC6">
        <w:rPr>
          <w:rFonts w:ascii="Arial" w:hAnsi="Arial" w:cs="Arial"/>
          <w:color w:val="000000" w:themeColor="text1"/>
        </w:rPr>
        <w:t>in</w:t>
      </w:r>
      <w:r w:rsidRPr="0079656C">
        <w:rPr>
          <w:rFonts w:ascii="Arial" w:hAnsi="Arial" w:cs="Arial"/>
          <w:color w:val="000000" w:themeColor="text1"/>
        </w:rPr>
        <w:t xml:space="preserve"> area MT+ with a clear response to motion stimuli. The design for this MT+ localiser was adapted from </w:t>
      </w:r>
      <w:r w:rsidRPr="0079656C">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{"citationID":"WONFwhZL","properties":{"formattedCitation":"(Fischer, B\\uc0\\u252{}lthoff, Logothetis, &amp; Bartels, 2012; Huk, Dougherty, &amp; Heeger, 2002; Maloney, Watson, &amp; Clifford, 2013)","plainCitation":"(Fischer, Bülthoff, Logothetis, &amp; Bartels, 2012; Huk, Dougherty, &amp; Heeger, 2002; Maloney, Watson, &amp; Clifford, 2013)","dontUpdate":true,"noteIndex":0},"citationItems":[{"id":134,"uris":["http://zotero.org/groups/318634/items/G5W9N2TE"],"uri":["http://zotero.org/groups/318634/items/G5W9N2TE"],"itemData":{"id":134,"type":"article-journal","title":"Visual motion responses in the posterior cingulate sulcus: a comparison to V5/MT and MST","container-title":"Cerebral Cortex","page":"865–876","volume":"22","issue":"4","source":"Google Scholar","title-short":"Visual motion responses in the posterior cingulate sulcus","author":[{"family":"Fischer","given":"Elvira"},{"family":"Bülthoff","given":"Heinrich H."},{"family":"Logothetis","given":"Nikos K."},{"family":"Bartels","given":"Andreas"}],"issued":{"date-parts":[["2011"]]}}},{"id":255,"uris":["http://zotero.org/groups/318634/items/P3VG3JH8"],"uri":["http://zotero.org/groups/318634/items/P3VG3JH8"],"itemData":{"id":255,"type":"article-journal","title":"Retinotopy and functional subdivision of human areas MT and MST","container-title":"Journal of Neuroscience","page":"7195–7205","volume":"22","issue":"16","source":"Google Scholar","author":[{"family":"Huk","given":"Alexander C."},{"family":"Dougherty","given":"Robert F."},{"family":"Heeger","given":"David J."}],"issued":{"date-parts":[["2002"]]}}},{"id":131,"uris":["http://zotero.org/groups/318634/items/ULQ89I4N"],"uri":["http://zotero.org/groups/318634/items/ULQ89I4N"],"itemData":{"id":131,"type":"article-journal","title":"Human cortical and behavioral sensitivity to patterns of complex motion at eccentricity","container-title":"Journal of Neurophysiology","page":"2545–2556","volume":"110","issue":"11","source":"Google Scholar","author":[{"family":"Maloney","given":"Ryan T."},{"family":"Watson","given":"Tamara L."},{"family":"Clifford","given":"Colin WG"}],"issued":{"date-parts":[["2013"]]}}}],"schema":"https://github.com/citation-style-language/schema/raw/master/csl-citation.json"} </w:instrText>
      </w:r>
      <w:r w:rsidRPr="0079656C">
        <w:rPr>
          <w:rFonts w:ascii="Arial" w:hAnsi="Arial" w:cs="Arial"/>
          <w:color w:val="000000" w:themeColor="text1"/>
        </w:rPr>
        <w:fldChar w:fldCharType="separate"/>
      </w:r>
      <w:r w:rsidRPr="0079656C">
        <w:rPr>
          <w:rFonts w:ascii="Arial" w:hAnsi="Arial" w:cs="Arial"/>
          <w:color w:val="000000" w:themeColor="text1"/>
          <w:lang w:val="en-US"/>
        </w:rPr>
        <w:t>Fischer, Bülthoff, Logothetis, &amp; Bartels, (2012), Huk, Dougherty, &amp; Heeger, (2002) and  Maloney, Watson, &amp; Clifford, (2013)</w:t>
      </w:r>
      <w:r w:rsidRPr="0079656C">
        <w:rPr>
          <w:rFonts w:ascii="Arial" w:hAnsi="Arial" w:cs="Arial"/>
          <w:color w:val="000000" w:themeColor="text1"/>
        </w:rPr>
        <w:fldChar w:fldCharType="end"/>
      </w:r>
      <w:r w:rsidRPr="0079656C">
        <w:rPr>
          <w:rFonts w:ascii="Arial" w:hAnsi="Arial" w:cs="Arial"/>
          <w:color w:val="000000" w:themeColor="text1"/>
        </w:rPr>
        <w:t>. The motion stimulus was composed of black and white dots with a density of 9.9dots</w:t>
      </w:r>
      <w:r w:rsidR="00247DB8" w:rsidRPr="0079656C">
        <w:rPr>
          <w:rFonts w:ascii="Arial" w:hAnsi="Arial" w:cs="Arial"/>
          <w:color w:val="000000" w:themeColor="text1"/>
        </w:rPr>
        <w:t>/</w:t>
      </w:r>
      <w:r w:rsidR="00247DB8">
        <w:rPr>
          <w:rFonts w:ascii="Arial" w:hAnsi="Arial" w:cs="Arial"/>
          <w:color w:val="000000" w:themeColor="text1"/>
        </w:rPr>
        <w:t>degree</w:t>
      </w:r>
      <w:r w:rsidRPr="0079656C">
        <w:rPr>
          <w:rFonts w:ascii="Arial" w:hAnsi="Arial" w:cs="Arial"/>
          <w:color w:val="000000" w:themeColor="text1"/>
          <w:vertAlign w:val="superscript"/>
        </w:rPr>
        <w:t>2</w:t>
      </w:r>
      <w:r w:rsidRPr="0079656C">
        <w:rPr>
          <w:rFonts w:ascii="Arial" w:hAnsi="Arial" w:cs="Arial"/>
          <w:color w:val="000000" w:themeColor="text1"/>
        </w:rPr>
        <w:t>, with a smoothed Gaussian profile (</w:t>
      </w:r>
      <m:oMath>
        <m:r>
          <w:rPr>
            <w:rFonts w:ascii="Cambria Math" w:hAnsi="Cambria Math" w:cs="Arial"/>
            <w:color w:val="000000" w:themeColor="text1"/>
            <w:sz w:val="28"/>
            <w:szCs w:val="28"/>
          </w:rPr>
          <m:t>σ</m:t>
        </m:r>
      </m:oMath>
      <w:r w:rsidRPr="0079656C">
        <w:rPr>
          <w:rFonts w:ascii="Arial" w:hAnsi="Arial" w:cs="Arial"/>
          <w:color w:val="000000" w:themeColor="text1"/>
          <w:shd w:val="clear" w:color="auto" w:fill="FFFFFF"/>
        </w:rPr>
        <w:t xml:space="preserve"> = 0.04). These dots filled an annulus which extended from 0.5</w:t>
      </w:r>
      <w:r w:rsidRPr="0079656C">
        <w:rPr>
          <w:rFonts w:ascii="Arial" w:hAnsi="Arial" w:cs="Arial"/>
          <w:color w:val="000000" w:themeColor="text1"/>
        </w:rPr>
        <w:t>°-11.75° eccentricity, on a mid-grey luminance background. Dot position updated at 0.33Hz frequency, yielding a 5.3°/sec average dot speed</w:t>
      </w:r>
      <w:r w:rsidR="00F61A94" w:rsidRPr="0079656C">
        <w:rPr>
          <w:rFonts w:ascii="Arial" w:hAnsi="Arial" w:cs="Arial"/>
          <w:color w:val="000000" w:themeColor="text1"/>
        </w:rPr>
        <w:t xml:space="preserve"> (see Figure 2.8)</w:t>
      </w:r>
      <w:r w:rsidRPr="0079656C">
        <w:rPr>
          <w:rFonts w:ascii="Arial" w:hAnsi="Arial" w:cs="Arial"/>
          <w:color w:val="000000" w:themeColor="text1"/>
        </w:rPr>
        <w:t xml:space="preserve">. The localiser consisted of a block design, with each run containing 31, 12 second </w:t>
      </w:r>
      <w:r w:rsidRPr="00225AB0">
        <w:rPr>
          <w:rFonts w:ascii="Arial" w:hAnsi="Arial" w:cs="Arial"/>
        </w:rPr>
        <w:t xml:space="preserve">blocks. Each run included five stimulus conditions; static dots (a randomly selected single frame of the motion stimulus), left-hemifield coherent radial motion (with motion restricted to the left 120° of the display, hence 66.66% of the display contained static dots), right-hemifield coherent radial motion, full-field coherent radial motion and fixation-only trials. A jittered inter-stimulus-interval (ISI) of between 3-12 seconds was included between each full stimulus cycle (60 seconds). All participants completed two runs of the localiser to enable </w:t>
      </w:r>
      <w:r w:rsidRPr="00225AB0">
        <w:rPr>
          <w:rFonts w:ascii="Arial" w:hAnsi="Arial" w:cs="Arial"/>
        </w:rPr>
        <w:lastRenderedPageBreak/>
        <w:t xml:space="preserve">accurate location of MT+ post-hoc. MT+ location was identified via a full-field coherent radial motion versus static dot GLM contrast. The voxels activated </w:t>
      </w:r>
      <w:r w:rsidR="00AE6937">
        <w:rPr>
          <w:rFonts w:ascii="Arial" w:hAnsi="Arial" w:cs="Arial"/>
          <w:noProof/>
          <w:lang w:eastAsia="en-GB"/>
        </w:rPr>
        <mc:AlternateContent>
          <mc:Choice Requires="wps">
            <w:drawing>
              <wp:anchor distT="0" distB="0" distL="114300" distR="114300" simplePos="0" relativeHeight="251795456" behindDoc="0" locked="0" layoutInCell="1" allowOverlap="1" wp14:anchorId="48B1EF37" wp14:editId="160B64DA">
                <wp:simplePos x="0" y="0"/>
                <wp:positionH relativeFrom="column">
                  <wp:posOffset>-156210</wp:posOffset>
                </wp:positionH>
                <wp:positionV relativeFrom="paragraph">
                  <wp:posOffset>1210216</wp:posOffset>
                </wp:positionV>
                <wp:extent cx="5300345" cy="5043170"/>
                <wp:effectExtent l="0" t="0" r="0" b="0"/>
                <wp:wrapSquare wrapText="bothSides"/>
                <wp:docPr id="112" name="Text Box 112"/>
                <wp:cNvGraphicFramePr/>
                <a:graphic xmlns:a="http://schemas.openxmlformats.org/drawingml/2006/main">
                  <a:graphicData uri="http://schemas.microsoft.com/office/word/2010/wordprocessingShape">
                    <wps:wsp>
                      <wps:cNvSpPr txBox="1"/>
                      <wps:spPr>
                        <a:xfrm>
                          <a:off x="0" y="0"/>
                          <a:ext cx="5300345" cy="5043170"/>
                        </a:xfrm>
                        <a:prstGeom prst="rect">
                          <a:avLst/>
                        </a:prstGeom>
                        <a:noFill/>
                        <a:ln w="6350">
                          <a:noFill/>
                        </a:ln>
                      </wps:spPr>
                      <wps:txbx>
                        <w:txbxContent>
                          <w:p w14:paraId="7F7D6A32" w14:textId="77777777" w:rsidR="00C93BE0" w:rsidRDefault="00C93BE0" w:rsidP="009F3085">
                            <w:pPr>
                              <w:keepNext/>
                              <w:jc w:val="center"/>
                            </w:pPr>
                            <w:r>
                              <w:rPr>
                                <w:noProof/>
                                <w:lang w:eastAsia="en-GB"/>
                              </w:rPr>
                              <w:drawing>
                                <wp:inline distT="0" distB="0" distL="0" distR="0" wp14:anchorId="50B05FD9" wp14:editId="1959E246">
                                  <wp:extent cx="4963885" cy="312541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figure2.8-motion_localiser.png"/>
                                          <pic:cNvPicPr/>
                                        </pic:nvPicPr>
                                        <pic:blipFill>
                                          <a:blip r:embed="rId32">
                                            <a:extLst>
                                              <a:ext uri="{28A0092B-C50C-407E-A947-70E740481C1C}">
                                                <a14:useLocalDpi xmlns:a14="http://schemas.microsoft.com/office/drawing/2010/main" val="0"/>
                                              </a:ext>
                                            </a:extLst>
                                          </a:blip>
                                          <a:stretch>
                                            <a:fillRect/>
                                          </a:stretch>
                                        </pic:blipFill>
                                        <pic:spPr>
                                          <a:xfrm>
                                            <a:off x="0" y="0"/>
                                            <a:ext cx="4972963" cy="3131126"/>
                                          </a:xfrm>
                                          <a:prstGeom prst="rect">
                                            <a:avLst/>
                                          </a:prstGeom>
                                        </pic:spPr>
                                      </pic:pic>
                                    </a:graphicData>
                                  </a:graphic>
                                </wp:inline>
                              </w:drawing>
                            </w:r>
                          </w:p>
                          <w:p w14:paraId="09600E62" w14:textId="77777777" w:rsidR="00C93BE0" w:rsidRPr="00785643" w:rsidRDefault="00C93BE0" w:rsidP="009F3085">
                            <w:pPr>
                              <w:keepNext/>
                              <w:spacing w:line="360" w:lineRule="auto"/>
                              <w:jc w:val="center"/>
                            </w:pPr>
                          </w:p>
                          <w:p w14:paraId="45146FC9" w14:textId="3732E5B3" w:rsidR="00C93BE0" w:rsidRPr="00785643" w:rsidRDefault="00C93BE0" w:rsidP="009F3085">
                            <w:pPr>
                              <w:pStyle w:val="Caption"/>
                              <w:spacing w:line="360" w:lineRule="auto"/>
                              <w:jc w:val="both"/>
                              <w:rPr>
                                <w:rFonts w:ascii="Arial" w:hAnsi="Arial" w:cs="Arial"/>
                                <w:i w:val="0"/>
                                <w:color w:val="000000" w:themeColor="text1"/>
                                <w:sz w:val="24"/>
                                <w:szCs w:val="24"/>
                              </w:rPr>
                            </w:pPr>
                            <w:bookmarkStart w:id="278" w:name="_Toc12363344"/>
                            <w:bookmarkStart w:id="279" w:name="_Toc16242701"/>
                            <w:r w:rsidRPr="00785643">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8</w:t>
                            </w:r>
                            <w:r>
                              <w:rPr>
                                <w:rFonts w:ascii="Arial" w:hAnsi="Arial" w:cs="Arial"/>
                                <w:b/>
                                <w:i w:val="0"/>
                                <w:color w:val="000000" w:themeColor="text1"/>
                                <w:sz w:val="24"/>
                                <w:szCs w:val="24"/>
                              </w:rPr>
                              <w:fldChar w:fldCharType="end"/>
                            </w:r>
                            <w:r w:rsidRPr="00785643">
                              <w:rPr>
                                <w:rFonts w:ascii="Arial" w:hAnsi="Arial" w:cs="Arial"/>
                                <w:i w:val="0"/>
                                <w:color w:val="000000" w:themeColor="text1"/>
                                <w:sz w:val="24"/>
                                <w:szCs w:val="24"/>
                              </w:rPr>
                              <w:t xml:space="preserve"> Full-field motion-localiser stimulus. Participants viewed alternating blocks of full-field motion, left- and right-hemifield motion, static motion and fixation-only. Achromatic dots were presented on a mid-grey luminance background and had a 5.3°/second dot speed. Comparisons of the full-field versus static motion conditions allowed for accurate location of</w:t>
                            </w:r>
                            <w:r>
                              <w:rPr>
                                <w:rFonts w:ascii="Arial" w:hAnsi="Arial" w:cs="Arial"/>
                                <w:i w:val="0"/>
                                <w:color w:val="000000" w:themeColor="text1"/>
                                <w:sz w:val="24"/>
                                <w:szCs w:val="24"/>
                              </w:rPr>
                              <w:t xml:space="preserve"> visual area</w:t>
                            </w:r>
                            <w:r w:rsidRPr="00785643">
                              <w:rPr>
                                <w:rFonts w:ascii="Arial" w:hAnsi="Arial" w:cs="Arial"/>
                                <w:i w:val="0"/>
                                <w:color w:val="000000" w:themeColor="text1"/>
                                <w:sz w:val="24"/>
                                <w:szCs w:val="24"/>
                              </w:rPr>
                              <w:t xml:space="preserve"> MT+.</w:t>
                            </w:r>
                            <w:bookmarkEnd w:id="278"/>
                            <w:bookmarkEnd w:id="279"/>
                            <w:r w:rsidRPr="00785643">
                              <w:rPr>
                                <w:rFonts w:ascii="Arial" w:hAnsi="Arial" w:cs="Arial"/>
                                <w:i w:val="0"/>
                                <w:color w:val="000000" w:themeColor="text1"/>
                                <w:sz w:val="24"/>
                                <w:szCs w:val="24"/>
                              </w:rPr>
                              <w:t xml:space="preserve"> </w:t>
                            </w:r>
                          </w:p>
                          <w:p w14:paraId="3C1155F9" w14:textId="77777777" w:rsidR="00C93BE0" w:rsidRDefault="00C93BE0" w:rsidP="009F3085">
                            <w:pPr>
                              <w:jc w:val="center"/>
                            </w:pPr>
                          </w:p>
                          <w:p w14:paraId="001C1724"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1EF37" id="Text Box 112" o:spid="_x0000_s1039" type="#_x0000_t202" style="position:absolute;margin-left:-12.3pt;margin-top:95.3pt;width:417.35pt;height:397.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" filled="f" stroked="f" strokeweight=".5pt">
                <v:textbox>
                  <w:txbxContent>
                    <w:p w14:paraId="7F7D6A32" w14:textId="77777777" w:rsidR="00C93BE0" w:rsidRDefault="00C93BE0" w:rsidP="009F3085">
                      <w:pPr>
                        <w:keepNext/>
                        <w:jc w:val="center"/>
                      </w:pPr>
                      <w:r>
                        <w:rPr>
                          <w:noProof/>
                          <w:lang w:eastAsia="en-GB"/>
                        </w:rPr>
                        <w:drawing>
                          <wp:inline distT="0" distB="0" distL="0" distR="0" wp14:anchorId="50B05FD9" wp14:editId="1959E246">
                            <wp:extent cx="4963885" cy="312541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figure2.8-motion_localiser.png"/>
                                    <pic:cNvPicPr/>
                                  </pic:nvPicPr>
                                  <pic:blipFill>
                                    <a:blip r:embed="rId33">
                                      <a:extLst>
                                        <a:ext uri="{28A0092B-C50C-407E-A947-70E740481C1C}">
                                          <a14:useLocalDpi xmlns:a14="http://schemas.microsoft.com/office/drawing/2010/main" val="0"/>
                                        </a:ext>
                                      </a:extLst>
                                    </a:blip>
                                    <a:stretch>
                                      <a:fillRect/>
                                    </a:stretch>
                                  </pic:blipFill>
                                  <pic:spPr>
                                    <a:xfrm>
                                      <a:off x="0" y="0"/>
                                      <a:ext cx="4972963" cy="3131126"/>
                                    </a:xfrm>
                                    <a:prstGeom prst="rect">
                                      <a:avLst/>
                                    </a:prstGeom>
                                  </pic:spPr>
                                </pic:pic>
                              </a:graphicData>
                            </a:graphic>
                          </wp:inline>
                        </w:drawing>
                      </w:r>
                    </w:p>
                    <w:p w14:paraId="09600E62" w14:textId="77777777" w:rsidR="00C93BE0" w:rsidRPr="00785643" w:rsidRDefault="00C93BE0" w:rsidP="009F3085">
                      <w:pPr>
                        <w:keepNext/>
                        <w:spacing w:line="360" w:lineRule="auto"/>
                        <w:jc w:val="center"/>
                      </w:pPr>
                    </w:p>
                    <w:p w14:paraId="45146FC9" w14:textId="3732E5B3" w:rsidR="00C93BE0" w:rsidRPr="00785643" w:rsidRDefault="00C93BE0" w:rsidP="009F3085">
                      <w:pPr>
                        <w:pStyle w:val="Caption"/>
                        <w:spacing w:line="360" w:lineRule="auto"/>
                        <w:jc w:val="both"/>
                        <w:rPr>
                          <w:rFonts w:ascii="Arial" w:hAnsi="Arial" w:cs="Arial"/>
                          <w:i w:val="0"/>
                          <w:color w:val="000000" w:themeColor="text1"/>
                          <w:sz w:val="24"/>
                          <w:szCs w:val="24"/>
                        </w:rPr>
                      </w:pPr>
                      <w:bookmarkStart w:id="303" w:name="_Toc12363344"/>
                      <w:bookmarkStart w:id="304" w:name="_Toc16242701"/>
                      <w:r w:rsidRPr="00785643">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8</w:t>
                      </w:r>
                      <w:r>
                        <w:rPr>
                          <w:rFonts w:ascii="Arial" w:hAnsi="Arial" w:cs="Arial"/>
                          <w:b/>
                          <w:i w:val="0"/>
                          <w:color w:val="000000" w:themeColor="text1"/>
                          <w:sz w:val="24"/>
                          <w:szCs w:val="24"/>
                        </w:rPr>
                        <w:fldChar w:fldCharType="end"/>
                      </w:r>
                      <w:r w:rsidRPr="00785643">
                        <w:rPr>
                          <w:rFonts w:ascii="Arial" w:hAnsi="Arial" w:cs="Arial"/>
                          <w:i w:val="0"/>
                          <w:color w:val="000000" w:themeColor="text1"/>
                          <w:sz w:val="24"/>
                          <w:szCs w:val="24"/>
                        </w:rPr>
                        <w:t xml:space="preserve"> Full-field motion-localiser stimulus. Participants viewed alternating blocks of full-field motion, left- and right-hemifield motion, static motion and fixation-only. Achromatic dots were presented on a mid-grey luminance background and had a 5.3°/second dot speed. Comparisons of the full-field versus static motion conditions allowed for accurate location of</w:t>
                      </w:r>
                      <w:r>
                        <w:rPr>
                          <w:rFonts w:ascii="Arial" w:hAnsi="Arial" w:cs="Arial"/>
                          <w:i w:val="0"/>
                          <w:color w:val="000000" w:themeColor="text1"/>
                          <w:sz w:val="24"/>
                          <w:szCs w:val="24"/>
                        </w:rPr>
                        <w:t xml:space="preserve"> visual area</w:t>
                      </w:r>
                      <w:r w:rsidRPr="00785643">
                        <w:rPr>
                          <w:rFonts w:ascii="Arial" w:hAnsi="Arial" w:cs="Arial"/>
                          <w:i w:val="0"/>
                          <w:color w:val="000000" w:themeColor="text1"/>
                          <w:sz w:val="24"/>
                          <w:szCs w:val="24"/>
                        </w:rPr>
                        <w:t xml:space="preserve"> MT+.</w:t>
                      </w:r>
                      <w:bookmarkEnd w:id="303"/>
                      <w:bookmarkEnd w:id="304"/>
                      <w:r w:rsidRPr="00785643">
                        <w:rPr>
                          <w:rFonts w:ascii="Arial" w:hAnsi="Arial" w:cs="Arial"/>
                          <w:i w:val="0"/>
                          <w:color w:val="000000" w:themeColor="text1"/>
                          <w:sz w:val="24"/>
                          <w:szCs w:val="24"/>
                        </w:rPr>
                        <w:t xml:space="preserve"> </w:t>
                      </w:r>
                    </w:p>
                    <w:p w14:paraId="3C1155F9" w14:textId="77777777" w:rsidR="00C93BE0" w:rsidRDefault="00C93BE0" w:rsidP="009F3085">
                      <w:pPr>
                        <w:jc w:val="center"/>
                      </w:pPr>
                    </w:p>
                    <w:p w14:paraId="001C1724" w14:textId="77777777" w:rsidR="00C93BE0" w:rsidRDefault="00C93BE0" w:rsidP="009F3085">
                      <w:pPr>
                        <w:jc w:val="center"/>
                      </w:pPr>
                    </w:p>
                  </w:txbxContent>
                </v:textbox>
                <w10:wrap type="square"/>
              </v:shape>
            </w:pict>
          </mc:Fallback>
        </mc:AlternateContent>
      </w:r>
      <w:r w:rsidRPr="00225AB0">
        <w:rPr>
          <w:rFonts w:ascii="Arial" w:hAnsi="Arial" w:cs="Arial"/>
        </w:rPr>
        <w:t xml:space="preserve">in this contrast were defined as the region-of-interest for further analysis. </w:t>
      </w:r>
    </w:p>
    <w:p w14:paraId="3EAE3D5E" w14:textId="0202F490" w:rsidR="00F61A94" w:rsidRDefault="00F61A94" w:rsidP="000C73FA">
      <w:pPr>
        <w:spacing w:line="480" w:lineRule="auto"/>
        <w:rPr>
          <w:rFonts w:ascii="Arial" w:hAnsi="Arial" w:cs="Arial"/>
        </w:rPr>
      </w:pPr>
    </w:p>
    <w:p w14:paraId="3D751B3C" w14:textId="3FBB56C2" w:rsidR="000C73FA" w:rsidRDefault="000C73FA" w:rsidP="001811CC">
      <w:pPr>
        <w:pStyle w:val="Heading2"/>
        <w:numPr>
          <w:ilvl w:val="1"/>
          <w:numId w:val="3"/>
        </w:numPr>
        <w:rPr>
          <w:rFonts w:ascii="Arial" w:hAnsi="Arial" w:cs="Arial"/>
          <w:b/>
          <w:color w:val="000000" w:themeColor="text1"/>
          <w:sz w:val="28"/>
          <w:szCs w:val="28"/>
        </w:rPr>
      </w:pPr>
      <w:bookmarkStart w:id="280" w:name="_Toc11147976"/>
      <w:bookmarkStart w:id="281" w:name="_Toc11153922"/>
      <w:bookmarkStart w:id="282" w:name="_Toc11753628"/>
      <w:bookmarkStart w:id="283" w:name="_Toc11926814"/>
      <w:bookmarkStart w:id="284" w:name="_Toc11930047"/>
      <w:bookmarkStart w:id="285" w:name="_Toc16075363"/>
      <w:bookmarkStart w:id="286" w:name="_Toc16236986"/>
      <w:r w:rsidRPr="00CB7683">
        <w:rPr>
          <w:rFonts w:ascii="Arial" w:hAnsi="Arial" w:cs="Arial"/>
          <w:b/>
          <w:color w:val="000000" w:themeColor="text1"/>
          <w:sz w:val="28"/>
          <w:szCs w:val="28"/>
        </w:rPr>
        <w:t>Machine learning classification</w:t>
      </w:r>
      <w:bookmarkEnd w:id="280"/>
      <w:bookmarkEnd w:id="281"/>
      <w:bookmarkEnd w:id="282"/>
      <w:bookmarkEnd w:id="283"/>
      <w:bookmarkEnd w:id="284"/>
      <w:bookmarkEnd w:id="285"/>
      <w:bookmarkEnd w:id="286"/>
    </w:p>
    <w:p w14:paraId="50A2AFB4" w14:textId="35919024" w:rsidR="00CB7683" w:rsidRPr="00CB7683" w:rsidRDefault="00CB7683" w:rsidP="00CB7683"/>
    <w:p w14:paraId="0C3B5D3E" w14:textId="3181A7F9" w:rsidR="000C73FA" w:rsidRDefault="000C73FA" w:rsidP="001811CC">
      <w:pPr>
        <w:pStyle w:val="Heading3"/>
        <w:numPr>
          <w:ilvl w:val="2"/>
          <w:numId w:val="3"/>
        </w:numPr>
        <w:rPr>
          <w:rFonts w:ascii="Arial" w:hAnsi="Arial" w:cs="Arial"/>
          <w:b/>
          <w:i/>
          <w:color w:val="000000" w:themeColor="text1"/>
          <w:sz w:val="28"/>
          <w:szCs w:val="28"/>
        </w:rPr>
      </w:pPr>
      <w:bookmarkStart w:id="287" w:name="_Toc11147977"/>
      <w:bookmarkStart w:id="288" w:name="_Toc11153923"/>
      <w:bookmarkStart w:id="289" w:name="_Toc11753629"/>
      <w:bookmarkStart w:id="290" w:name="_Toc11926815"/>
      <w:bookmarkStart w:id="291" w:name="_Toc11930048"/>
      <w:bookmarkStart w:id="292" w:name="_Toc16075364"/>
      <w:bookmarkStart w:id="293" w:name="_Toc16236987"/>
      <w:r w:rsidRPr="00CB7683">
        <w:rPr>
          <w:rFonts w:ascii="Arial" w:hAnsi="Arial" w:cs="Arial"/>
          <w:b/>
          <w:i/>
          <w:color w:val="000000" w:themeColor="text1"/>
          <w:sz w:val="28"/>
          <w:szCs w:val="28"/>
        </w:rPr>
        <w:t>Overview</w:t>
      </w:r>
      <w:bookmarkEnd w:id="287"/>
      <w:bookmarkEnd w:id="288"/>
      <w:bookmarkEnd w:id="289"/>
      <w:bookmarkEnd w:id="290"/>
      <w:bookmarkEnd w:id="291"/>
      <w:bookmarkEnd w:id="292"/>
      <w:bookmarkEnd w:id="293"/>
    </w:p>
    <w:p w14:paraId="5C74C6A0" w14:textId="61073627" w:rsidR="00CB7683" w:rsidRPr="00CB7683" w:rsidRDefault="00CB7683" w:rsidP="00CB7683">
      <w:pPr>
        <w:pStyle w:val="ListParagraph"/>
      </w:pPr>
    </w:p>
    <w:p w14:paraId="06F4BD53" w14:textId="11ED6FA6" w:rsidR="000C73FA" w:rsidRPr="00225AB0" w:rsidRDefault="000C73FA" w:rsidP="000C73FA">
      <w:pPr>
        <w:spacing w:line="480" w:lineRule="auto"/>
        <w:rPr>
          <w:rFonts w:ascii="Arial" w:hAnsi="Arial" w:cs="Arial"/>
        </w:rPr>
      </w:pPr>
      <w:r w:rsidRPr="00225AB0">
        <w:rPr>
          <w:rFonts w:ascii="Arial" w:hAnsi="Arial" w:cs="Arial"/>
        </w:rPr>
        <w:t>The aim of machine learning i</w:t>
      </w:r>
      <w:r w:rsidR="000968AD">
        <w:rPr>
          <w:rFonts w:ascii="Arial" w:hAnsi="Arial" w:cs="Arial"/>
        </w:rPr>
        <w:t>s</w:t>
      </w:r>
      <w:r w:rsidRPr="00225AB0">
        <w:rPr>
          <w:rFonts w:ascii="Arial" w:hAnsi="Arial" w:cs="Arial"/>
        </w:rPr>
        <w:t xml:space="preserve"> to accurately predict a class a </w:t>
      </w:r>
      <w:r w:rsidR="005E4376">
        <w:rPr>
          <w:rFonts w:ascii="Arial" w:hAnsi="Arial" w:cs="Arial"/>
        </w:rPr>
        <w:t>single</w:t>
      </w:r>
      <w:r w:rsidRPr="00225AB0">
        <w:rPr>
          <w:rFonts w:ascii="Arial" w:hAnsi="Arial" w:cs="Arial"/>
        </w:rPr>
        <w:t xml:space="preserve"> data point has originated from. Typically, classification is supervised. This refers to the fact a machine learning classifier is provided with explicitly labelled data (i.e. data point one belongs to class A, data points 2 and 3 are members of class B). A classifier then uses this data to ‘learn’ how each piece of the </w:t>
      </w:r>
      <w:r w:rsidRPr="00225AB0">
        <w:rPr>
          <w:rFonts w:ascii="Arial" w:hAnsi="Arial" w:cs="Arial"/>
        </w:rPr>
        <w:lastRenderedPageBreak/>
        <w:t xml:space="preserve">supplied data relates to its assigned class. The goal of classification is to produce a model from this training data which then accurately predicts the class of each piece of test data, using statistical similarities it has identified about each of these classes from the test data.  </w:t>
      </w:r>
    </w:p>
    <w:p w14:paraId="760FBA6B" w14:textId="77777777" w:rsidR="000C73FA" w:rsidRPr="00225AB0" w:rsidRDefault="000C73FA" w:rsidP="000C73FA">
      <w:pPr>
        <w:spacing w:line="480" w:lineRule="auto"/>
        <w:rPr>
          <w:rFonts w:ascii="Arial" w:hAnsi="Arial" w:cs="Arial"/>
        </w:rPr>
      </w:pPr>
    </w:p>
    <w:p w14:paraId="5261FA93" w14:textId="7A304D3B" w:rsidR="002A5BDC" w:rsidRPr="002A5BDC" w:rsidRDefault="000C73FA" w:rsidP="000C73FA">
      <w:pPr>
        <w:spacing w:line="480" w:lineRule="auto"/>
        <w:rPr>
          <w:rFonts w:ascii="Arial" w:hAnsi="Arial" w:cs="Arial"/>
        </w:rPr>
      </w:pPr>
      <w:r w:rsidRPr="00225AB0">
        <w:rPr>
          <w:rFonts w:ascii="Arial" w:hAnsi="Arial" w:cs="Arial"/>
        </w:rPr>
        <w:t xml:space="preserve">Modern machine learning frequently involves very large datasets. In </w:t>
      </w:r>
      <w:r w:rsidRPr="00225AB0">
        <w:rPr>
          <w:rFonts w:ascii="Arial" w:hAnsi="Arial" w:cs="Arial"/>
          <w:i/>
        </w:rPr>
        <w:t xml:space="preserve">Chapters 4, 5 </w:t>
      </w:r>
      <w:r w:rsidRPr="00225AB0">
        <w:rPr>
          <w:rFonts w:ascii="Arial" w:hAnsi="Arial" w:cs="Arial"/>
        </w:rPr>
        <w:t xml:space="preserve">and </w:t>
      </w:r>
      <w:r w:rsidRPr="00225AB0">
        <w:rPr>
          <w:rFonts w:ascii="Arial" w:hAnsi="Arial" w:cs="Arial"/>
          <w:i/>
        </w:rPr>
        <w:t>6</w:t>
      </w:r>
      <w:r w:rsidRPr="00225AB0">
        <w:rPr>
          <w:rFonts w:ascii="Arial" w:hAnsi="Arial" w:cs="Arial"/>
        </w:rPr>
        <w:t xml:space="preserve"> we employ </w:t>
      </w:r>
      <w:r w:rsidR="00247DB8">
        <w:rPr>
          <w:rFonts w:ascii="Arial" w:hAnsi="Arial" w:cs="Arial"/>
        </w:rPr>
        <w:t>use</w:t>
      </w:r>
      <w:r w:rsidR="00247DB8" w:rsidRPr="00225AB0">
        <w:rPr>
          <w:rFonts w:ascii="Arial" w:hAnsi="Arial" w:cs="Arial"/>
        </w:rPr>
        <w:t xml:space="preserve"> </w:t>
      </w:r>
      <w:r w:rsidRPr="00225AB0">
        <w:rPr>
          <w:rFonts w:ascii="Arial" w:hAnsi="Arial" w:cs="Arial"/>
        </w:rPr>
        <w:t xml:space="preserve">a form of machine learning classification with multivariate (voxel-level data), with the aim of classifying unique patterns of feature-specific attentional focus. </w:t>
      </w:r>
      <w:r w:rsidR="00F151B6">
        <w:rPr>
          <w:rFonts w:ascii="Arial" w:hAnsi="Arial" w:cs="Arial"/>
        </w:rPr>
        <w:t xml:space="preserve">Area-level sensitivity to stimulus changes can be examined using many methods such as multivariate pattern classification analysis (MVPA) and adaptation. Researchers sought to examine the relative strengths and weaknesses of such classification methods to evaluate their most suitable applications. </w:t>
      </w:r>
      <w:r w:rsidR="002A5BDC">
        <w:rPr>
          <w:rFonts w:ascii="Arial" w:hAnsi="Arial" w:cs="Arial"/>
        </w:rPr>
        <w:t xml:space="preserve">In a comparison of </w:t>
      </w:r>
      <w:r w:rsidR="00F151B6">
        <w:rPr>
          <w:rFonts w:ascii="Arial" w:hAnsi="Arial" w:cs="Arial"/>
        </w:rPr>
        <w:t xml:space="preserve">such </w:t>
      </w:r>
      <w:r w:rsidR="002A5BDC">
        <w:rPr>
          <w:rFonts w:ascii="Arial" w:hAnsi="Arial" w:cs="Arial"/>
        </w:rPr>
        <w:t>multivariate pattern classification methods (support vector machine</w:t>
      </w:r>
      <w:r w:rsidR="00F151B6">
        <w:rPr>
          <w:rFonts w:ascii="Arial" w:hAnsi="Arial" w:cs="Arial"/>
        </w:rPr>
        <w:t xml:space="preserve"> </w:t>
      </w:r>
      <w:r w:rsidR="002A5BDC">
        <w:rPr>
          <w:rFonts w:ascii="Arial" w:hAnsi="Arial" w:cs="Arial"/>
        </w:rPr>
        <w:t>versus adaption</w:t>
      </w:r>
      <w:r w:rsidR="00F151B6">
        <w:rPr>
          <w:rFonts w:ascii="Arial" w:hAnsi="Arial" w:cs="Arial"/>
        </w:rPr>
        <w:t>)</w:t>
      </w:r>
      <w:r w:rsidR="002A5BDC">
        <w:rPr>
          <w:rFonts w:ascii="Arial" w:hAnsi="Arial" w:cs="Arial"/>
        </w:rPr>
        <w:t>, whilst both models performed similarly on typical orientation classification paradigms, the multivariate pattern analysis (</w:t>
      </w:r>
      <w:r w:rsidR="00DC4A2C">
        <w:rPr>
          <w:rFonts w:ascii="Arial" w:hAnsi="Arial" w:cs="Arial"/>
        </w:rPr>
        <w:t>SVM</w:t>
      </w:r>
      <w:r w:rsidR="002A5BDC">
        <w:rPr>
          <w:rFonts w:ascii="Arial" w:hAnsi="Arial" w:cs="Arial"/>
        </w:rPr>
        <w:t xml:space="preserve">) method possessed greater sensitivity to smaller differences in orientation than the adaption paradigm </w:t>
      </w:r>
      <w:r w:rsidR="002A5BDC">
        <w:rPr>
          <w:rFonts w:ascii="Arial" w:hAnsi="Arial" w:cs="Arial"/>
        </w:rPr>
        <w:fldChar w:fldCharType="begin"/>
      </w:r>
      <w:r w:rsidR="002A5BDC">
        <w:rPr>
          <w:rFonts w:ascii="Arial" w:hAnsi="Arial" w:cs="Arial"/>
        </w:rPr>
        <w:instrText xml:space="preserve"> ADDIN ZOTERO_ITEM CSL_CITATION {"citationID":"IdFaYWAA","properties":{"formattedCitation":"(Sapountzis, Schluppeck, Bowtell, &amp; Peirce, 2010)","plainCitation":"(Sapountzis, Schluppeck, Bowtell, &amp; Peirce, 2010)","noteIndex":0},"citationItems":[{"id":546,"uris":["http://zotero.org/groups/318634/items/L5G4E3LL"],"uri":["http://zotero.org/groups/318634/items/L5G4E3LL"],"itemData":{"id":546,"type":"article-journal","title":"A comparison of fMRI adaptation and multivariate pattern classification analysis in visual cortex","container-title":"NeuroImage","page":"1632-1640","volume":"49","issue":"2","source":"PubMed","abstract":"Functional magnetic resonance imaging (fMRI) has become a ubiquitous tool in cognitive neuroscience. The technique allows noninvasive measurements of cortical responses in the human brain, but only on the millimeter scale. Because a typical voxel contains many thousands of neurons with varied properties, establishing the selectivity of their responses directly is impossible. In recent years, two methods using fMRI aimed at studying the selectivity of neuronal populations on a 'subvoxel' scale have been heavily used. The first technique, fMRI adaptation, relies on the observation that the blood oxygen level-dependent (BOLD) response in a given voxel is reduced after prolonged presentation of a stimulus, and that this reduction is selective to the characteristics of the repeated stimuli (adapters). The second technique, multivariate pattern analysis (MVPA), makes use of multivariate statistics to recover small biases in individual voxels in their responses to different stimuli. It is thought that these biases arise due to the uneven distribution of neurons (with different properties) sampled by the many voxels in the imaged volume. These two techniques have not been compared explicitly, however, and little is known about their relative sensitivities. Here, we compared fMRI results from orientation-specific visual adaptation and orientation-classification by MVPA, using optimized experimental designs for each, and found that the multivariate pattern classification approach was more sensitive to small differences in stimulus orientation than the adaptation paradigm. Estimates of orientation selectivity obtained with the two methods were, however, very highly correlated across visual areas.","DOI":"10.1016/j.neuroimage.2009.09.066","ISSN":"1095-9572","note":"PMID: 19815081\nPMCID: PMC2793370","journalAbbreviation":"Neuroimage","language":"eng","author":[{"family":"Sapountzis","given":"Panagiotis"},{"family":"Schluppeck","given":"Denis"},{"family":"Bowtell","given":"Richard"},{"family":"Peirce","given":"Jonathan W."}],"issued":{"date-parts":[["2010",1,15]]}}}],"schema":"https://github.com/citation-style-language/schema/raw/master/csl-citation.json"} </w:instrText>
      </w:r>
      <w:r w:rsidR="002A5BDC">
        <w:rPr>
          <w:rFonts w:ascii="Arial" w:hAnsi="Arial" w:cs="Arial"/>
        </w:rPr>
        <w:fldChar w:fldCharType="separate"/>
      </w:r>
      <w:r w:rsidR="002A5BDC">
        <w:rPr>
          <w:rFonts w:ascii="Arial" w:hAnsi="Arial" w:cs="Arial"/>
          <w:noProof/>
        </w:rPr>
        <w:t>(Sapountzis, Schluppeck, Bowtell, &amp; Peirce, 2010)</w:t>
      </w:r>
      <w:r w:rsidR="002A5BDC">
        <w:rPr>
          <w:rFonts w:ascii="Arial" w:hAnsi="Arial" w:cs="Arial"/>
        </w:rPr>
        <w:fldChar w:fldCharType="end"/>
      </w:r>
      <w:r w:rsidR="002A5BDC">
        <w:rPr>
          <w:rFonts w:ascii="Arial" w:hAnsi="Arial" w:cs="Arial"/>
        </w:rPr>
        <w:t xml:space="preserve">. In </w:t>
      </w:r>
      <w:r w:rsidR="002A5BDC">
        <w:rPr>
          <w:rFonts w:ascii="Arial" w:hAnsi="Arial" w:cs="Arial"/>
          <w:i/>
          <w:iCs/>
        </w:rPr>
        <w:t xml:space="preserve">Chapters 4 </w:t>
      </w:r>
      <w:r w:rsidR="002A5BDC">
        <w:rPr>
          <w:rFonts w:ascii="Arial" w:hAnsi="Arial" w:cs="Arial"/>
        </w:rPr>
        <w:t xml:space="preserve">and </w:t>
      </w:r>
      <w:r w:rsidR="002A5BDC">
        <w:rPr>
          <w:rFonts w:ascii="Arial" w:hAnsi="Arial" w:cs="Arial"/>
          <w:i/>
          <w:iCs/>
        </w:rPr>
        <w:t>5</w:t>
      </w:r>
      <w:r w:rsidR="002A5BDC">
        <w:rPr>
          <w:rFonts w:ascii="Arial" w:hAnsi="Arial" w:cs="Arial"/>
        </w:rPr>
        <w:t xml:space="preserve">, we present very small stimulus feature changes (close to participant’s thresholds for detection), hence </w:t>
      </w:r>
      <w:r w:rsidR="00D44AC6">
        <w:rPr>
          <w:rFonts w:ascii="Arial" w:hAnsi="Arial" w:cs="Arial"/>
        </w:rPr>
        <w:t>in</w:t>
      </w:r>
      <w:r w:rsidR="002A5BDC">
        <w:rPr>
          <w:rFonts w:ascii="Arial" w:hAnsi="Arial" w:cs="Arial"/>
        </w:rPr>
        <w:t xml:space="preserve"> this thesis, we choose to employ MVPA analyses (SVM) as oppose to adaptation paradigms. </w:t>
      </w:r>
    </w:p>
    <w:p w14:paraId="2EF4BFB4" w14:textId="77777777" w:rsidR="002A5BDC" w:rsidRDefault="002A5BDC" w:rsidP="000C73FA">
      <w:pPr>
        <w:spacing w:line="480" w:lineRule="auto"/>
        <w:rPr>
          <w:rFonts w:ascii="Arial" w:hAnsi="Arial" w:cs="Arial"/>
        </w:rPr>
      </w:pPr>
    </w:p>
    <w:p w14:paraId="546F8D96" w14:textId="2A0FD881" w:rsidR="000C73FA" w:rsidRDefault="000C73FA" w:rsidP="000C73FA">
      <w:pPr>
        <w:spacing w:line="480" w:lineRule="auto"/>
        <w:rPr>
          <w:rFonts w:ascii="Arial" w:hAnsi="Arial" w:cs="Arial"/>
        </w:rPr>
      </w:pPr>
      <w:r w:rsidRPr="00225AB0">
        <w:rPr>
          <w:rFonts w:ascii="Arial" w:hAnsi="Arial" w:cs="Arial"/>
        </w:rPr>
        <w:t xml:space="preserve">However, here, in the consideration of participant fatigue and data collection, instead of collecting new data to test the classifier on, we split our dataset for each participant into two groups (a training and test set). </w:t>
      </w:r>
      <w:r w:rsidR="00D44AC6">
        <w:rPr>
          <w:rFonts w:ascii="Arial" w:hAnsi="Arial" w:cs="Arial"/>
        </w:rPr>
        <w:t>In</w:t>
      </w:r>
      <w:r w:rsidRPr="00225AB0">
        <w:rPr>
          <w:rFonts w:ascii="Arial" w:hAnsi="Arial" w:cs="Arial"/>
        </w:rPr>
        <w:t xml:space="preserve"> these chapters we employ leave-one-out cross validation in order to assess how our </w:t>
      </w:r>
      <w:r w:rsidRPr="00225AB0">
        <w:rPr>
          <w:rFonts w:ascii="Arial" w:hAnsi="Arial" w:cs="Arial"/>
        </w:rPr>
        <w:lastRenderedPageBreak/>
        <w:t xml:space="preserve">classification model performs on multiple, varying subsets of training and test data. In each cross-validation iteration, the machine learning classifier is trained on all but one of our data </w:t>
      </w:r>
      <w:r w:rsidR="000968AD">
        <w:rPr>
          <w:rFonts w:ascii="Arial" w:hAnsi="Arial" w:cs="Arial"/>
        </w:rPr>
        <w:t>instances</w:t>
      </w:r>
      <w:r w:rsidRPr="00225AB0">
        <w:rPr>
          <w:rFonts w:ascii="Arial" w:hAnsi="Arial" w:cs="Arial"/>
        </w:rPr>
        <w:t xml:space="preserve">. This fitted classification model is then used to assess the accuracy of classification for the remaining data. This process is repeated for all combinations of training and test sets and we average the classification accuracies to gain an overall percentage classification accuracy score. </w:t>
      </w:r>
    </w:p>
    <w:p w14:paraId="7EC9205C" w14:textId="77777777" w:rsidR="00647752" w:rsidRPr="00225AB0" w:rsidRDefault="00647752" w:rsidP="000C73FA">
      <w:pPr>
        <w:spacing w:line="480" w:lineRule="auto"/>
        <w:rPr>
          <w:rFonts w:ascii="Arial" w:hAnsi="Arial" w:cs="Arial"/>
        </w:rPr>
      </w:pPr>
    </w:p>
    <w:p w14:paraId="04EB6FFF" w14:textId="77777777" w:rsidR="000C73FA" w:rsidRDefault="000C73FA" w:rsidP="001811CC">
      <w:pPr>
        <w:pStyle w:val="Heading3"/>
        <w:numPr>
          <w:ilvl w:val="2"/>
          <w:numId w:val="3"/>
        </w:numPr>
        <w:rPr>
          <w:rFonts w:ascii="Arial" w:hAnsi="Arial" w:cs="Arial"/>
          <w:b/>
          <w:i/>
          <w:color w:val="000000" w:themeColor="text1"/>
          <w:sz w:val="28"/>
          <w:szCs w:val="28"/>
        </w:rPr>
      </w:pPr>
      <w:bookmarkStart w:id="294" w:name="_Toc11147978"/>
      <w:bookmarkStart w:id="295" w:name="_Toc11153924"/>
      <w:bookmarkStart w:id="296" w:name="_Toc11753630"/>
      <w:bookmarkStart w:id="297" w:name="_Toc11926816"/>
      <w:bookmarkStart w:id="298" w:name="_Toc11930049"/>
      <w:bookmarkStart w:id="299" w:name="_Toc16075365"/>
      <w:bookmarkStart w:id="300" w:name="_Toc16236988"/>
      <w:r w:rsidRPr="00CB7683">
        <w:rPr>
          <w:rFonts w:ascii="Arial" w:hAnsi="Arial" w:cs="Arial"/>
          <w:b/>
          <w:i/>
          <w:color w:val="000000" w:themeColor="text1"/>
          <w:sz w:val="28"/>
          <w:szCs w:val="28"/>
        </w:rPr>
        <w:t>Support vector machines</w:t>
      </w:r>
      <w:bookmarkEnd w:id="294"/>
      <w:bookmarkEnd w:id="295"/>
      <w:bookmarkEnd w:id="296"/>
      <w:bookmarkEnd w:id="297"/>
      <w:bookmarkEnd w:id="298"/>
      <w:bookmarkEnd w:id="299"/>
      <w:bookmarkEnd w:id="300"/>
    </w:p>
    <w:p w14:paraId="573445CE" w14:textId="77777777" w:rsidR="00CB7683" w:rsidRPr="00CB7683" w:rsidRDefault="00CB7683" w:rsidP="00CB7683"/>
    <w:p w14:paraId="0B66C435" w14:textId="78218C12" w:rsidR="000C73FA" w:rsidRPr="00225AB0" w:rsidRDefault="00D44AC6" w:rsidP="000C73FA">
      <w:pPr>
        <w:spacing w:line="480" w:lineRule="auto"/>
        <w:rPr>
          <w:rFonts w:ascii="Arial" w:hAnsi="Arial" w:cs="Arial"/>
        </w:rPr>
      </w:pPr>
      <w:r>
        <w:rPr>
          <w:rFonts w:ascii="Arial" w:hAnsi="Arial" w:cs="Arial"/>
        </w:rPr>
        <w:t>In</w:t>
      </w:r>
      <w:r w:rsidR="000C73FA" w:rsidRPr="00225AB0">
        <w:rPr>
          <w:rFonts w:ascii="Arial" w:hAnsi="Arial" w:cs="Arial"/>
        </w:rPr>
        <w:t xml:space="preserve"> </w:t>
      </w:r>
      <w:r w:rsidR="000C73FA" w:rsidRPr="00225AB0">
        <w:rPr>
          <w:rFonts w:ascii="Arial" w:hAnsi="Arial" w:cs="Arial"/>
          <w:i/>
        </w:rPr>
        <w:t xml:space="preserve">Chapters 4,5 </w:t>
      </w:r>
      <w:r w:rsidR="000C73FA" w:rsidRPr="00225AB0">
        <w:rPr>
          <w:rFonts w:ascii="Arial" w:hAnsi="Arial" w:cs="Arial"/>
        </w:rPr>
        <w:t xml:space="preserve">and </w:t>
      </w:r>
      <w:r w:rsidR="000C73FA" w:rsidRPr="00225AB0">
        <w:rPr>
          <w:rFonts w:ascii="Arial" w:hAnsi="Arial" w:cs="Arial"/>
          <w:i/>
        </w:rPr>
        <w:t>6</w:t>
      </w:r>
      <w:r w:rsidR="000C73FA" w:rsidRPr="00225AB0">
        <w:rPr>
          <w:rFonts w:ascii="Arial" w:hAnsi="Arial" w:cs="Arial"/>
        </w:rPr>
        <w:t xml:space="preserve"> we use a support vector machine (SVM) classifier to identify potential differences in patterns of activation across multiple voxels during feature-specific attentional focus. Support vector machine classification is a popular and widely used form of classifier </w:t>
      </w:r>
      <w:r w:rsidR="000C73FA" w:rsidRPr="00225AB0">
        <w:rPr>
          <w:rFonts w:ascii="Arial" w:hAnsi="Arial" w:cs="Arial"/>
        </w:rPr>
        <w:fldChar w:fldCharType="begin"/>
      </w:r>
      <w:r w:rsidR="005B4361">
        <w:rPr>
          <w:rFonts w:ascii="Arial" w:hAnsi="Arial" w:cs="Arial"/>
        </w:rPr>
        <w:instrText xml:space="preserve"> ADDIN ZOTERO_ITEM CSL_CITATION {"citationID":"IgFdmidw","properties":{"formattedCitation":"(Chang &amp; Lin, 2011)","plainCitation":"(Chang &amp; Lin, 2011)","noteIndex":0},"citationItems":[{"id":263,"uris":["http://zotero.org/groups/318634/items/ECA2ZDVD"],"uri":["http://zotero.org/groups/318634/items/ECA2ZDVD"],"itemData":{"id":263,"type":"article-journal","title":"\" LIBSVM: a library for support vector machines,\" ACM Transactions on Intelligent Systems and Technology, 2: 27: 1–27: 27, 2011","container-title":"http://www. csie. ntu. edu. tw/</w:instrText>
      </w:r>
      <w:r w:rsidR="005B4361">
        <w:rPr>
          <w:rFonts w:ascii="Cambria Math" w:hAnsi="Cambria Math" w:cs="Cambria Math"/>
        </w:rPr>
        <w:instrText>∼</w:instrText>
      </w:r>
      <w:r w:rsidR="005B4361">
        <w:rPr>
          <w:rFonts w:ascii="Arial" w:hAnsi="Arial" w:cs="Arial"/>
        </w:rPr>
        <w:instrText xml:space="preserve"> cjlin/libsvm","volume":"2","source":"Google Scholar","title-short":"\" LIBSVM","author":[{"family":"Chang","given":"Chih-Chung"},{"family":"Lin","given":"Chih-Jen"}],"issued":{"date-parts":[["2011"]]}}}],"schema":"https://github.com/citation-style-language/schema/raw/master/csl-citation.json"} </w:instrText>
      </w:r>
      <w:r w:rsidR="000C73FA" w:rsidRPr="00225AB0">
        <w:rPr>
          <w:rFonts w:ascii="Arial" w:hAnsi="Arial" w:cs="Arial"/>
        </w:rPr>
        <w:fldChar w:fldCharType="separate"/>
      </w:r>
      <w:r w:rsidR="000C73FA" w:rsidRPr="00225AB0">
        <w:rPr>
          <w:rFonts w:ascii="Arial" w:hAnsi="Arial" w:cs="Arial"/>
          <w:noProof/>
        </w:rPr>
        <w:t>(Chang &amp; Lin, 2011)</w:t>
      </w:r>
      <w:r w:rsidR="000C73FA" w:rsidRPr="00225AB0">
        <w:rPr>
          <w:rFonts w:ascii="Arial" w:hAnsi="Arial" w:cs="Arial"/>
        </w:rPr>
        <w:fldChar w:fldCharType="end"/>
      </w:r>
      <w:r w:rsidR="000C73FA" w:rsidRPr="00225AB0">
        <w:rPr>
          <w:rFonts w:ascii="Arial" w:hAnsi="Arial" w:cs="Arial"/>
        </w:rPr>
        <w:t xml:space="preserve">, created by </w:t>
      </w:r>
      <w:r w:rsidR="000C73FA" w:rsidRPr="00225AB0">
        <w:rPr>
          <w:rFonts w:ascii="Arial" w:hAnsi="Arial" w:cs="Arial"/>
        </w:rPr>
        <w:fldChar w:fldCharType="begin"/>
      </w:r>
      <w:r w:rsidR="00321AB9">
        <w:rPr>
          <w:rFonts w:ascii="Arial" w:hAnsi="Arial" w:cs="Arial"/>
        </w:rPr>
        <w:instrText xml:space="preserve"> ADDIN ZOTERO_ITEM CSL_CITATION {"citationID":"72aPBMHv","properties":{"formattedCitation":"(Cortes &amp; Vapnik, 1995)","plainCitation":"(Cortes &amp; Vapnik, 1995)","dontUpdate":true,"noteIndex":0},"citationItems":[{"id":139,"uris":["http://zotero.org/groups/318634/items/A5KBCJBB"],"uri":["http://zotero.org/groups/318634/items/A5KBCJBB"],"itemData":{"id":139,"type":"article-journal","title":"Support-vector networks","container-title":"Machine learning","page":"273-297","volume":"20","issue":"3","author":[{"family":"Cortes","given":"Corinna"},{"family":"Vapnik","given":"Vladimir"}],"issued":{"date-parts":[["1995"]]}}}],"schema":"https://github.com/citation-style-language/schema/raw/master/csl-citation.json"} </w:instrText>
      </w:r>
      <w:r w:rsidR="000C73FA" w:rsidRPr="00225AB0">
        <w:rPr>
          <w:rFonts w:ascii="Arial" w:hAnsi="Arial" w:cs="Arial"/>
        </w:rPr>
        <w:fldChar w:fldCharType="separate"/>
      </w:r>
      <w:r w:rsidR="000C73FA" w:rsidRPr="00225AB0">
        <w:rPr>
          <w:rFonts w:ascii="Arial" w:hAnsi="Arial" w:cs="Arial"/>
          <w:noProof/>
        </w:rPr>
        <w:t xml:space="preserve">Cortes &amp; Vapnik, </w:t>
      </w:r>
      <w:r w:rsidR="00647752">
        <w:rPr>
          <w:rFonts w:ascii="Arial" w:hAnsi="Arial" w:cs="Arial"/>
          <w:noProof/>
        </w:rPr>
        <w:t>(</w:t>
      </w:r>
      <w:r w:rsidR="000C73FA" w:rsidRPr="00225AB0">
        <w:rPr>
          <w:rFonts w:ascii="Arial" w:hAnsi="Arial" w:cs="Arial"/>
          <w:noProof/>
        </w:rPr>
        <w:t>1995)</w:t>
      </w:r>
      <w:r w:rsidR="000C73FA" w:rsidRPr="00225AB0">
        <w:rPr>
          <w:rFonts w:ascii="Arial" w:hAnsi="Arial" w:cs="Arial"/>
        </w:rPr>
        <w:fldChar w:fldCharType="end"/>
      </w:r>
      <w:r w:rsidR="000C73FA" w:rsidRPr="00225AB0">
        <w:rPr>
          <w:rFonts w:ascii="Arial" w:hAnsi="Arial" w:cs="Arial"/>
        </w:rPr>
        <w:t xml:space="preserve">. </w:t>
      </w:r>
      <w:r w:rsidR="00247DB8">
        <w:rPr>
          <w:rFonts w:ascii="Arial" w:hAnsi="Arial" w:cs="Arial"/>
        </w:rPr>
        <w:t>SVMs</w:t>
      </w:r>
      <w:r w:rsidR="00247DB8" w:rsidRPr="00225AB0">
        <w:rPr>
          <w:rFonts w:ascii="Arial" w:hAnsi="Arial" w:cs="Arial"/>
        </w:rPr>
        <w:t xml:space="preserve"> </w:t>
      </w:r>
      <w:r w:rsidR="000C73FA" w:rsidRPr="00225AB0">
        <w:rPr>
          <w:rFonts w:ascii="Arial" w:hAnsi="Arial" w:cs="Arial"/>
        </w:rPr>
        <w:t xml:space="preserve">are capable of producing significant classification accuracies with less computational power than other comparable methods. </w:t>
      </w:r>
      <w:r w:rsidR="00247DB8">
        <w:rPr>
          <w:rFonts w:ascii="Arial" w:hAnsi="Arial" w:cs="Arial"/>
        </w:rPr>
        <w:t>Briefly,</w:t>
      </w:r>
      <w:r w:rsidR="000C73FA" w:rsidRPr="00225AB0">
        <w:rPr>
          <w:rFonts w:ascii="Arial" w:hAnsi="Arial" w:cs="Arial"/>
        </w:rPr>
        <w:t xml:space="preserve"> a support vector machine is a generalisation of a maximal margin classifier, which allows investigation of non-linear datasets and can be used for both binary and multi-class classification. However, a </w:t>
      </w:r>
      <w:r w:rsidR="005E4376">
        <w:rPr>
          <w:rFonts w:ascii="Arial" w:hAnsi="Arial" w:cs="Arial"/>
        </w:rPr>
        <w:t>single</w:t>
      </w:r>
      <w:r w:rsidR="000C73FA" w:rsidRPr="00225AB0">
        <w:rPr>
          <w:rFonts w:ascii="Arial" w:hAnsi="Arial" w:cs="Arial"/>
        </w:rPr>
        <w:t xml:space="preserve"> support vector machine classification does not provide probability estimates. To overcome this, SVMs are frequently employed with cross-validation techniques (see 2.4.1) or bootstrapping methods, to generate confidence intervals for the associated classification accuracies. </w:t>
      </w:r>
    </w:p>
    <w:p w14:paraId="53B6EFA7" w14:textId="77777777" w:rsidR="001404E7" w:rsidRPr="00225AB0" w:rsidRDefault="001404E7" w:rsidP="000C73FA">
      <w:pPr>
        <w:spacing w:line="480" w:lineRule="auto"/>
        <w:rPr>
          <w:rFonts w:ascii="Arial" w:hAnsi="Arial" w:cs="Arial"/>
        </w:rPr>
      </w:pPr>
    </w:p>
    <w:p w14:paraId="136C6CB1" w14:textId="3A078E84" w:rsidR="00D868F8" w:rsidRDefault="00247DB8" w:rsidP="000C73FA">
      <w:pPr>
        <w:spacing w:line="480" w:lineRule="auto"/>
        <w:rPr>
          <w:rFonts w:ascii="Arial" w:hAnsi="Arial" w:cs="Arial"/>
        </w:rPr>
      </w:pPr>
      <w:r>
        <w:rPr>
          <w:rFonts w:ascii="Arial" w:hAnsi="Arial" w:cs="Arial"/>
        </w:rPr>
        <w:t>A</w:t>
      </w:r>
      <w:r w:rsidR="000C73FA" w:rsidRPr="00225AB0">
        <w:rPr>
          <w:rFonts w:ascii="Arial" w:hAnsi="Arial" w:cs="Arial"/>
        </w:rPr>
        <w:t xml:space="preserve"> support vector machine aims to find a hyperplane in an N-dimensional space (N referring to number of features </w:t>
      </w:r>
      <w:r w:rsidR="00D44AC6">
        <w:rPr>
          <w:rFonts w:ascii="Arial" w:hAnsi="Arial" w:cs="Arial"/>
        </w:rPr>
        <w:t>in</w:t>
      </w:r>
      <w:r w:rsidR="000C73FA" w:rsidRPr="00225AB0">
        <w:rPr>
          <w:rFonts w:ascii="Arial" w:hAnsi="Arial" w:cs="Arial"/>
        </w:rPr>
        <w:t xml:space="preserve"> the analysis), that best separates the supplied data points into their respective classes</w:t>
      </w:r>
      <w:r w:rsidR="00097773">
        <w:rPr>
          <w:rFonts w:ascii="Arial" w:hAnsi="Arial" w:cs="Arial"/>
        </w:rPr>
        <w:t xml:space="preserve"> (see Figure 2.9)</w:t>
      </w:r>
      <w:r w:rsidR="000C73FA" w:rsidRPr="00225AB0">
        <w:rPr>
          <w:rFonts w:ascii="Arial" w:hAnsi="Arial" w:cs="Arial"/>
        </w:rPr>
        <w:t xml:space="preserve">. </w:t>
      </w:r>
      <w:r w:rsidR="000C73FA" w:rsidRPr="00225AB0">
        <w:rPr>
          <w:rFonts w:ascii="Arial" w:hAnsi="Arial" w:cs="Arial"/>
        </w:rPr>
        <w:lastRenderedPageBreak/>
        <w:t>Amongst many possible hyperplanes, the aim of an SVM is to identify the hyperplane with the maximum distance between the data points of the classes. This increased margin allows greater accuracy of classifying future data points which may lie slightly outside of the boundaries of the original dataset. Support vectors themselves are defined as the data points closest to (most informative in terms of the position and orientation of) the hyperplane. Regularisation can be employed to specify the size of the margins between the separating hyperplane and the data points. Low regularisation will identify the largest margin (biggest difference between the support vector and the hyperplane) even if this results in misclassifications. Alternatively, high regularisation specifies a small margin between support</w:t>
      </w:r>
      <w:r w:rsidR="004A3DE3">
        <w:rPr>
          <w:rFonts w:ascii="Arial" w:hAnsi="Arial" w:cs="Arial"/>
        </w:rPr>
        <w:t xml:space="preserve"> </w:t>
      </w:r>
      <w:r w:rsidR="000C73FA" w:rsidRPr="00225AB0">
        <w:rPr>
          <w:rFonts w:ascii="Arial" w:hAnsi="Arial" w:cs="Arial"/>
        </w:rPr>
        <w:t xml:space="preserve">vectors and the hyperplane which will result in a higher classification accuracy in the training data, but which may lead to overfitting (see 2.4.4). </w:t>
      </w:r>
    </w:p>
    <w:p w14:paraId="4192752E" w14:textId="1BAA1A0F" w:rsidR="00CC7DCB" w:rsidRDefault="009F3085" w:rsidP="00F72546">
      <w:pPr>
        <w:spacing w:line="480" w:lineRule="auto"/>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797504" behindDoc="1" locked="0" layoutInCell="1" allowOverlap="1" wp14:anchorId="67B669F1" wp14:editId="587D7E53">
                <wp:simplePos x="0" y="0"/>
                <wp:positionH relativeFrom="column">
                  <wp:posOffset>-30653</wp:posOffset>
                </wp:positionH>
                <wp:positionV relativeFrom="paragraph">
                  <wp:posOffset>173</wp:posOffset>
                </wp:positionV>
                <wp:extent cx="5286375" cy="5036185"/>
                <wp:effectExtent l="0" t="0" r="0" b="0"/>
                <wp:wrapSquare wrapText="bothSides"/>
                <wp:docPr id="114" name="Text Box 114"/>
                <wp:cNvGraphicFramePr/>
                <a:graphic xmlns:a="http://schemas.openxmlformats.org/drawingml/2006/main">
                  <a:graphicData uri="http://schemas.microsoft.com/office/word/2010/wordprocessingShape">
                    <wps:wsp>
                      <wps:cNvSpPr txBox="1"/>
                      <wps:spPr>
                        <a:xfrm>
                          <a:off x="0" y="0"/>
                          <a:ext cx="5286375" cy="5036185"/>
                        </a:xfrm>
                        <a:prstGeom prst="rect">
                          <a:avLst/>
                        </a:prstGeom>
                        <a:noFill/>
                        <a:ln w="6350">
                          <a:noFill/>
                        </a:ln>
                      </wps:spPr>
                      <wps:txbx>
                        <w:txbxContent>
                          <w:p w14:paraId="0E48E5A8" w14:textId="77777777" w:rsidR="00C93BE0" w:rsidRDefault="00C93BE0" w:rsidP="009F3085">
                            <w:pPr>
                              <w:keepNext/>
                              <w:jc w:val="center"/>
                            </w:pPr>
                            <w:r>
                              <w:rPr>
                                <w:noProof/>
                                <w:lang w:eastAsia="en-GB"/>
                              </w:rPr>
                              <w:drawing>
                                <wp:inline distT="0" distB="0" distL="0" distR="0" wp14:anchorId="7BECDE56" wp14:editId="491A93EF">
                                  <wp:extent cx="5159164" cy="287178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figure2.9-support_vector_classification.png"/>
                                          <pic:cNvPicPr/>
                                        </pic:nvPicPr>
                                        <pic:blipFill rotWithShape="1">
                                          <a:blip r:embed="rId34">
                                            <a:extLst>
                                              <a:ext uri="{28A0092B-C50C-407E-A947-70E740481C1C}">
                                                <a14:useLocalDpi xmlns:a14="http://schemas.microsoft.com/office/drawing/2010/main" val="0"/>
                                              </a:ext>
                                            </a:extLst>
                                          </a:blip>
                                          <a:srcRect l="2175" r="8687" b="10180"/>
                                          <a:stretch/>
                                        </pic:blipFill>
                                        <pic:spPr bwMode="auto">
                                          <a:xfrm>
                                            <a:off x="0" y="0"/>
                                            <a:ext cx="5229618" cy="2911005"/>
                                          </a:xfrm>
                                          <a:prstGeom prst="rect">
                                            <a:avLst/>
                                          </a:prstGeom>
                                          <a:ln>
                                            <a:noFill/>
                                          </a:ln>
                                          <a:extLst>
                                            <a:ext uri="{53640926-AAD7-44D8-BBD7-CCE9431645EC}">
                                              <a14:shadowObscured xmlns:a14="http://schemas.microsoft.com/office/drawing/2010/main"/>
                                            </a:ext>
                                          </a:extLst>
                                        </pic:spPr>
                                      </pic:pic>
                                    </a:graphicData>
                                  </a:graphic>
                                </wp:inline>
                              </w:drawing>
                            </w:r>
                          </w:p>
                          <w:p w14:paraId="1D9F1D93" w14:textId="13FD5236" w:rsidR="00C93BE0" w:rsidRPr="00150518" w:rsidRDefault="00C93BE0" w:rsidP="009F3085">
                            <w:pPr>
                              <w:pStyle w:val="Caption"/>
                              <w:spacing w:line="360" w:lineRule="auto"/>
                              <w:jc w:val="both"/>
                              <w:rPr>
                                <w:rFonts w:ascii="Arial" w:hAnsi="Arial" w:cs="Arial"/>
                                <w:i w:val="0"/>
                                <w:color w:val="000000" w:themeColor="text1"/>
                                <w:sz w:val="24"/>
                                <w:szCs w:val="24"/>
                              </w:rPr>
                            </w:pPr>
                            <w:bookmarkStart w:id="301" w:name="_Toc12363345"/>
                            <w:bookmarkStart w:id="302" w:name="_Toc16242702"/>
                            <w:r w:rsidRPr="00150518">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9</w:t>
                            </w:r>
                            <w:r>
                              <w:rPr>
                                <w:rFonts w:ascii="Arial" w:hAnsi="Arial" w:cs="Arial"/>
                                <w:b/>
                                <w:i w:val="0"/>
                                <w:color w:val="000000" w:themeColor="text1"/>
                                <w:sz w:val="24"/>
                                <w:szCs w:val="24"/>
                              </w:rPr>
                              <w:fldChar w:fldCharType="end"/>
                            </w:r>
                            <w:r w:rsidRPr="00150518">
                              <w:rPr>
                                <w:rFonts w:ascii="Arial" w:hAnsi="Arial" w:cs="Arial"/>
                                <w:i w:val="0"/>
                                <w:color w:val="000000" w:themeColor="text1"/>
                                <w:sz w:val="24"/>
                                <w:szCs w:val="24"/>
                              </w:rPr>
                              <w:t xml:space="preserve"> Support vector machine classification. Support vector machine classification takes an input of values across many instances for two conditions (here, fMRI voxel activation for during attention to orientation (red), and attention to contrast (blue)) (left). This data is transformed to a higher-dimensional space via a kernel trick to help fit a hyperplane (green) (right) linearly separating the data points into their respective conditions. This hyperplane is then used to assess classification accuracy on a test set of data.</w:t>
                            </w:r>
                            <w:bookmarkEnd w:id="301"/>
                            <w:bookmarkEnd w:id="302"/>
                            <w:r w:rsidRPr="00150518">
                              <w:rPr>
                                <w:rFonts w:ascii="Arial" w:hAnsi="Arial" w:cs="Arial"/>
                                <w:i w:val="0"/>
                                <w:color w:val="000000" w:themeColor="text1"/>
                                <w:sz w:val="24"/>
                                <w:szCs w:val="24"/>
                              </w:rPr>
                              <w:t xml:space="preserve"> </w:t>
                            </w:r>
                          </w:p>
                          <w:p w14:paraId="7C3E4513"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669F1" id="Text Box 114" o:spid="_x0000_s1040" type="#_x0000_t202" style="position:absolute;margin-left:-2.4pt;margin-top:0;width:416.25pt;height:396.5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" filled="f" stroked="f" strokeweight=".5pt">
                <v:textbox>
                  <w:txbxContent>
                    <w:p w14:paraId="0E48E5A8" w14:textId="77777777" w:rsidR="00C93BE0" w:rsidRDefault="00C93BE0" w:rsidP="009F3085">
                      <w:pPr>
                        <w:keepNext/>
                        <w:jc w:val="center"/>
                      </w:pPr>
                      <w:r>
                        <w:rPr>
                          <w:noProof/>
                          <w:lang w:eastAsia="en-GB"/>
                        </w:rPr>
                        <w:drawing>
                          <wp:inline distT="0" distB="0" distL="0" distR="0" wp14:anchorId="7BECDE56" wp14:editId="491A93EF">
                            <wp:extent cx="5159164" cy="287178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figure2.9-support_vector_classification.png"/>
                                    <pic:cNvPicPr/>
                                  </pic:nvPicPr>
                                  <pic:blipFill rotWithShape="1">
                                    <a:blip r:embed="rId35">
                                      <a:extLst>
                                        <a:ext uri="{28A0092B-C50C-407E-A947-70E740481C1C}">
                                          <a14:useLocalDpi xmlns:a14="http://schemas.microsoft.com/office/drawing/2010/main" val="0"/>
                                        </a:ext>
                                      </a:extLst>
                                    </a:blip>
                                    <a:srcRect l="2175" r="8687" b="10180"/>
                                    <a:stretch/>
                                  </pic:blipFill>
                                  <pic:spPr bwMode="auto">
                                    <a:xfrm>
                                      <a:off x="0" y="0"/>
                                      <a:ext cx="5229618" cy="2911005"/>
                                    </a:xfrm>
                                    <a:prstGeom prst="rect">
                                      <a:avLst/>
                                    </a:prstGeom>
                                    <a:ln>
                                      <a:noFill/>
                                    </a:ln>
                                    <a:extLst>
                                      <a:ext uri="{53640926-AAD7-44D8-BBD7-CCE9431645EC}">
                                        <a14:shadowObscured xmlns:a14="http://schemas.microsoft.com/office/drawing/2010/main"/>
                                      </a:ext>
                                    </a:extLst>
                                  </pic:spPr>
                                </pic:pic>
                              </a:graphicData>
                            </a:graphic>
                          </wp:inline>
                        </w:drawing>
                      </w:r>
                    </w:p>
                    <w:p w14:paraId="1D9F1D93" w14:textId="13FD5236" w:rsidR="00C93BE0" w:rsidRPr="00150518" w:rsidRDefault="00C93BE0" w:rsidP="009F3085">
                      <w:pPr>
                        <w:pStyle w:val="Caption"/>
                        <w:spacing w:line="360" w:lineRule="auto"/>
                        <w:jc w:val="both"/>
                        <w:rPr>
                          <w:rFonts w:ascii="Arial" w:hAnsi="Arial" w:cs="Arial"/>
                          <w:i w:val="0"/>
                          <w:color w:val="000000" w:themeColor="text1"/>
                          <w:sz w:val="24"/>
                          <w:szCs w:val="24"/>
                        </w:rPr>
                      </w:pPr>
                      <w:bookmarkStart w:id="328" w:name="_Toc12363345"/>
                      <w:bookmarkStart w:id="329" w:name="_Toc16242702"/>
                      <w:r w:rsidRPr="00150518">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9</w:t>
                      </w:r>
                      <w:r>
                        <w:rPr>
                          <w:rFonts w:ascii="Arial" w:hAnsi="Arial" w:cs="Arial"/>
                          <w:b/>
                          <w:i w:val="0"/>
                          <w:color w:val="000000" w:themeColor="text1"/>
                          <w:sz w:val="24"/>
                          <w:szCs w:val="24"/>
                        </w:rPr>
                        <w:fldChar w:fldCharType="end"/>
                      </w:r>
                      <w:r w:rsidRPr="00150518">
                        <w:rPr>
                          <w:rFonts w:ascii="Arial" w:hAnsi="Arial" w:cs="Arial"/>
                          <w:i w:val="0"/>
                          <w:color w:val="000000" w:themeColor="text1"/>
                          <w:sz w:val="24"/>
                          <w:szCs w:val="24"/>
                        </w:rPr>
                        <w:t xml:space="preserve"> Support vector machine classification. Support vector machine classification takes an input of values across many instances for two conditions (here, fMRI voxel activation for during attention to orientation (red), and attention to contrast (blue)) (left). This data is transformed to a higher-dimensional space via a kernel trick to help fit a hyperplane (green) (right) linearly separating the data points into their respective conditions. This hyperplane is then used to assess classification accuracy on a test set of data.</w:t>
                      </w:r>
                      <w:bookmarkEnd w:id="328"/>
                      <w:bookmarkEnd w:id="329"/>
                      <w:r w:rsidRPr="00150518">
                        <w:rPr>
                          <w:rFonts w:ascii="Arial" w:hAnsi="Arial" w:cs="Arial"/>
                          <w:i w:val="0"/>
                          <w:color w:val="000000" w:themeColor="text1"/>
                          <w:sz w:val="24"/>
                          <w:szCs w:val="24"/>
                        </w:rPr>
                        <w:t xml:space="preserve"> </w:t>
                      </w:r>
                    </w:p>
                    <w:p w14:paraId="7C3E4513" w14:textId="77777777" w:rsidR="00C93BE0" w:rsidRDefault="00C93BE0" w:rsidP="009F3085">
                      <w:pPr>
                        <w:jc w:val="center"/>
                      </w:pPr>
                    </w:p>
                  </w:txbxContent>
                </v:textbox>
                <w10:wrap type="square"/>
              </v:shape>
            </w:pict>
          </mc:Fallback>
        </mc:AlternateContent>
      </w:r>
    </w:p>
    <w:p w14:paraId="2AA63181" w14:textId="2E1B3A1D" w:rsidR="000C73FA" w:rsidRDefault="000C73FA" w:rsidP="00F72546">
      <w:pPr>
        <w:spacing w:line="480" w:lineRule="auto"/>
        <w:rPr>
          <w:rFonts w:ascii="Arial" w:hAnsi="Arial" w:cs="Arial"/>
        </w:rPr>
      </w:pPr>
      <w:r w:rsidRPr="00225AB0">
        <w:rPr>
          <w:rFonts w:ascii="Arial" w:hAnsi="Arial" w:cs="Arial"/>
        </w:rPr>
        <w:t xml:space="preserve">Support vector machines </w:t>
      </w:r>
      <w:r w:rsidR="00247DB8">
        <w:rPr>
          <w:rFonts w:ascii="Arial" w:hAnsi="Arial" w:cs="Arial"/>
        </w:rPr>
        <w:t xml:space="preserve">typically </w:t>
      </w:r>
      <w:r w:rsidRPr="00225AB0">
        <w:rPr>
          <w:rFonts w:ascii="Arial" w:hAnsi="Arial" w:cs="Arial"/>
        </w:rPr>
        <w:t xml:space="preserve">employ a kernel to improve the fitting of the hyperplane </w:t>
      </w:r>
      <w:r w:rsidR="00247DB8">
        <w:rPr>
          <w:rFonts w:ascii="Arial" w:hAnsi="Arial" w:cs="Arial"/>
        </w:rPr>
        <w:t>for</w:t>
      </w:r>
      <w:r w:rsidRPr="00225AB0">
        <w:rPr>
          <w:rFonts w:ascii="Arial" w:hAnsi="Arial" w:cs="Arial"/>
        </w:rPr>
        <w:t xml:space="preserve"> non-linear data. A kernel specifies the similarity between two sets of data and allows for transformation of data from a low-dimensional input space to a higher-dimensional space in which the data points are linearly separable. Instead of explicitly representing the original data, a kernel represents the data through pairwise similarity comparisons (a modified dot product) in this higher dimensional space. </w:t>
      </w:r>
    </w:p>
    <w:p w14:paraId="44C5DE1B" w14:textId="06EA1EF1" w:rsidR="00F72546" w:rsidRDefault="00F72546" w:rsidP="00F72546">
      <w:pPr>
        <w:spacing w:line="480" w:lineRule="auto"/>
        <w:rPr>
          <w:rFonts w:ascii="Arial" w:hAnsi="Arial" w:cs="Arial"/>
        </w:rPr>
      </w:pPr>
    </w:p>
    <w:p w14:paraId="5EB1A664" w14:textId="604935EC" w:rsidR="00AE6937" w:rsidRDefault="00AE6937" w:rsidP="00F72546">
      <w:pPr>
        <w:spacing w:line="480" w:lineRule="auto"/>
        <w:rPr>
          <w:rFonts w:ascii="Arial" w:hAnsi="Arial" w:cs="Arial"/>
        </w:rPr>
      </w:pPr>
    </w:p>
    <w:p w14:paraId="73A698A4" w14:textId="77777777" w:rsidR="00AE6937" w:rsidRPr="00F72546" w:rsidRDefault="00AE6937" w:rsidP="00F72546">
      <w:pPr>
        <w:spacing w:line="480" w:lineRule="auto"/>
        <w:rPr>
          <w:rFonts w:ascii="Arial" w:hAnsi="Arial" w:cs="Arial"/>
        </w:rPr>
      </w:pPr>
    </w:p>
    <w:p w14:paraId="75E68D25" w14:textId="77777777" w:rsidR="000C73FA" w:rsidRDefault="000C73FA" w:rsidP="001811CC">
      <w:pPr>
        <w:pStyle w:val="Heading3"/>
        <w:numPr>
          <w:ilvl w:val="2"/>
          <w:numId w:val="3"/>
        </w:numPr>
        <w:rPr>
          <w:rFonts w:ascii="Arial" w:hAnsi="Arial" w:cs="Arial"/>
          <w:b/>
          <w:i/>
          <w:color w:val="000000" w:themeColor="text1"/>
          <w:sz w:val="28"/>
          <w:szCs w:val="28"/>
        </w:rPr>
      </w:pPr>
      <w:bookmarkStart w:id="303" w:name="_Toc11147979"/>
      <w:bookmarkStart w:id="304" w:name="_Toc11153925"/>
      <w:bookmarkStart w:id="305" w:name="_Toc11753631"/>
      <w:bookmarkStart w:id="306" w:name="_Toc11926817"/>
      <w:bookmarkStart w:id="307" w:name="_Toc11930050"/>
      <w:bookmarkStart w:id="308" w:name="_Toc16075366"/>
      <w:bookmarkStart w:id="309" w:name="_Toc16236989"/>
      <w:r w:rsidRPr="00CB7683">
        <w:rPr>
          <w:rFonts w:ascii="Arial" w:hAnsi="Arial" w:cs="Arial"/>
          <w:b/>
          <w:i/>
          <w:color w:val="000000" w:themeColor="text1"/>
          <w:sz w:val="28"/>
          <w:szCs w:val="28"/>
        </w:rPr>
        <w:lastRenderedPageBreak/>
        <w:t>Radial Basis Function Kernel</w:t>
      </w:r>
      <w:bookmarkEnd w:id="303"/>
      <w:bookmarkEnd w:id="304"/>
      <w:bookmarkEnd w:id="305"/>
      <w:bookmarkEnd w:id="306"/>
      <w:bookmarkEnd w:id="307"/>
      <w:bookmarkEnd w:id="308"/>
      <w:bookmarkEnd w:id="309"/>
    </w:p>
    <w:p w14:paraId="28C1AE64" w14:textId="77777777" w:rsidR="00CB7683" w:rsidRPr="00CB7683" w:rsidRDefault="00CB7683" w:rsidP="00CB7683"/>
    <w:p w14:paraId="294C062D" w14:textId="7DCBC3B4" w:rsidR="000C73FA" w:rsidRPr="00225AB0" w:rsidRDefault="000C73FA" w:rsidP="000C73FA">
      <w:pPr>
        <w:spacing w:line="480" w:lineRule="auto"/>
        <w:rPr>
          <w:rFonts w:ascii="Arial" w:hAnsi="Arial" w:cs="Arial"/>
        </w:rPr>
      </w:pPr>
      <w:r w:rsidRPr="00225AB0">
        <w:rPr>
          <w:rFonts w:ascii="Arial" w:hAnsi="Arial" w:cs="Arial"/>
        </w:rPr>
        <w:t xml:space="preserve">As described above, kernels transform low-dimensional data into higher-dimensional data to identify a hyperplane separating the data. There are many different types of kernel which can be used for this process. </w:t>
      </w:r>
      <w:r w:rsidR="00D44AC6">
        <w:rPr>
          <w:rFonts w:ascii="Arial" w:hAnsi="Arial" w:cs="Arial"/>
        </w:rPr>
        <w:t>In</w:t>
      </w:r>
      <w:r w:rsidRPr="00225AB0">
        <w:rPr>
          <w:rFonts w:ascii="Arial" w:hAnsi="Arial" w:cs="Arial"/>
        </w:rPr>
        <w:t xml:space="preserve"> this thesis, we employ a radial basis function (RBF) kernel </w:t>
      </w:r>
      <w:r w:rsidR="00D44AC6">
        <w:rPr>
          <w:rFonts w:ascii="Arial" w:hAnsi="Arial" w:cs="Arial"/>
        </w:rPr>
        <w:t>in</w:t>
      </w:r>
      <w:r w:rsidRPr="00225AB0">
        <w:rPr>
          <w:rFonts w:ascii="Arial" w:hAnsi="Arial" w:cs="Arial"/>
        </w:rPr>
        <w:t xml:space="preserve"> our SVM classification. The most popular RBF is the Gaussian RBF.  In simple terms, the radial basis function fits each cluster of data with a radial shape. </w:t>
      </w:r>
      <w:r w:rsidR="00D44AC6">
        <w:rPr>
          <w:rFonts w:ascii="Arial" w:hAnsi="Arial" w:cs="Arial"/>
        </w:rPr>
        <w:t>In</w:t>
      </w:r>
      <w:r w:rsidRPr="00225AB0">
        <w:rPr>
          <w:rFonts w:ascii="Arial" w:hAnsi="Arial" w:cs="Arial"/>
        </w:rPr>
        <w:t xml:space="preserve"> the analysis in this thesis, this is a circle with a centre at the mean of the distribution, with a Gaussian spatially-smoothed profile.  The SVM then assesses the probability another instance of data falls </w:t>
      </w:r>
      <w:r w:rsidR="00D44AC6">
        <w:rPr>
          <w:rFonts w:ascii="Arial" w:hAnsi="Arial" w:cs="Arial"/>
        </w:rPr>
        <w:t>in</w:t>
      </w:r>
      <w:r w:rsidRPr="00225AB0">
        <w:rPr>
          <w:rFonts w:ascii="Arial" w:hAnsi="Arial" w:cs="Arial"/>
        </w:rPr>
        <w:t xml:space="preserve"> the distribution for a particular category. </w:t>
      </w:r>
      <w:proofErr w:type="gramStart"/>
      <w:r w:rsidRPr="00225AB0">
        <w:rPr>
          <w:rFonts w:ascii="Arial" w:hAnsi="Arial" w:cs="Arial"/>
        </w:rPr>
        <w:t>A</w:t>
      </w:r>
      <w:proofErr w:type="gramEnd"/>
      <w:r w:rsidRPr="00225AB0">
        <w:rPr>
          <w:rFonts w:ascii="Arial" w:hAnsi="Arial" w:cs="Arial"/>
        </w:rPr>
        <w:t xml:space="preserve"> RBF has one free parameter, gamma, which specifies the variance of the Gaussian distribution. </w:t>
      </w:r>
    </w:p>
    <w:p w14:paraId="6495A9A3" w14:textId="77777777" w:rsidR="000C73FA" w:rsidRPr="00225AB0" w:rsidRDefault="000C73FA" w:rsidP="000C73FA">
      <w:pPr>
        <w:spacing w:line="480" w:lineRule="auto"/>
        <w:rPr>
          <w:rFonts w:ascii="Arial" w:hAnsi="Arial" w:cs="Arial"/>
        </w:rPr>
      </w:pPr>
    </w:p>
    <w:p w14:paraId="5C99C262" w14:textId="77777777" w:rsidR="000C73FA" w:rsidRDefault="000C73FA" w:rsidP="001811CC">
      <w:pPr>
        <w:pStyle w:val="Heading3"/>
        <w:numPr>
          <w:ilvl w:val="2"/>
          <w:numId w:val="3"/>
        </w:numPr>
        <w:rPr>
          <w:rFonts w:ascii="Arial" w:hAnsi="Arial" w:cs="Arial"/>
          <w:b/>
          <w:i/>
          <w:color w:val="000000" w:themeColor="text1"/>
          <w:sz w:val="28"/>
          <w:szCs w:val="28"/>
        </w:rPr>
      </w:pPr>
      <w:bookmarkStart w:id="310" w:name="_Toc11147980"/>
      <w:bookmarkStart w:id="311" w:name="_Toc11153926"/>
      <w:bookmarkStart w:id="312" w:name="_Toc11753632"/>
      <w:bookmarkStart w:id="313" w:name="_Toc11926818"/>
      <w:bookmarkStart w:id="314" w:name="_Toc11930051"/>
      <w:bookmarkStart w:id="315" w:name="_Toc16075367"/>
      <w:bookmarkStart w:id="316" w:name="_Toc16236990"/>
      <w:r w:rsidRPr="00CB7683">
        <w:rPr>
          <w:rFonts w:ascii="Arial" w:hAnsi="Arial" w:cs="Arial"/>
          <w:b/>
          <w:i/>
          <w:color w:val="000000" w:themeColor="text1"/>
          <w:sz w:val="28"/>
          <w:szCs w:val="28"/>
        </w:rPr>
        <w:t>Overfitting</w:t>
      </w:r>
      <w:bookmarkEnd w:id="310"/>
      <w:bookmarkEnd w:id="311"/>
      <w:bookmarkEnd w:id="312"/>
      <w:bookmarkEnd w:id="313"/>
      <w:bookmarkEnd w:id="314"/>
      <w:bookmarkEnd w:id="315"/>
      <w:bookmarkEnd w:id="316"/>
    </w:p>
    <w:p w14:paraId="11C30039" w14:textId="77777777" w:rsidR="00CB7683" w:rsidRPr="00CB7683" w:rsidRDefault="00CB7683" w:rsidP="00CB7683"/>
    <w:p w14:paraId="00EC3D4A" w14:textId="5D6F5E17" w:rsidR="000C73FA" w:rsidRDefault="000C73FA" w:rsidP="000C73FA">
      <w:pPr>
        <w:spacing w:line="480" w:lineRule="auto"/>
        <w:rPr>
          <w:rFonts w:ascii="Arial" w:hAnsi="Arial" w:cs="Arial"/>
        </w:rPr>
      </w:pPr>
      <w:r w:rsidRPr="00225AB0">
        <w:rPr>
          <w:rFonts w:ascii="Arial" w:hAnsi="Arial" w:cs="Arial"/>
        </w:rPr>
        <w:t xml:space="preserve">Overfitting refers to situations in which a hyperplane is fit too closely to a </w:t>
      </w:r>
      <w:r w:rsidR="005E4376">
        <w:rPr>
          <w:rFonts w:ascii="Arial" w:hAnsi="Arial" w:cs="Arial"/>
        </w:rPr>
        <w:t>single</w:t>
      </w:r>
      <w:r w:rsidRPr="00225AB0">
        <w:rPr>
          <w:rFonts w:ascii="Arial" w:hAnsi="Arial" w:cs="Arial"/>
        </w:rPr>
        <w:t xml:space="preserve"> data set. In this situation, the model fit is heavily influenced by the precise details and noise contained </w:t>
      </w:r>
      <w:r w:rsidR="00D44AC6">
        <w:rPr>
          <w:rFonts w:ascii="Arial" w:hAnsi="Arial" w:cs="Arial"/>
        </w:rPr>
        <w:t>in</w:t>
      </w:r>
      <w:r w:rsidRPr="00225AB0">
        <w:rPr>
          <w:rFonts w:ascii="Arial" w:hAnsi="Arial" w:cs="Arial"/>
        </w:rPr>
        <w:t xml:space="preserve"> the data. When such a model is tested with a new set of data, its classification is typically very low (i.e. it does not generalise well from training data to a new test dataset). Overfitting is a common problem in machine learning classification. To overcome it, many classifiers include parameters which limit how well a model can fit the data, such as regularisation parameters (see 2.4.2). Alternatively, techniques such as leave-one-out cross validation (see 2.4.1) can be used to ensure the model tunes its hyperplane only with the original training data set, ensuring the test dataset has had no influence on the fit of the model, and this process is repeated several times. The cross-validation technique has been </w:t>
      </w:r>
      <w:r w:rsidRPr="00225AB0">
        <w:rPr>
          <w:rFonts w:ascii="Arial" w:hAnsi="Arial" w:cs="Arial"/>
        </w:rPr>
        <w:lastRenderedPageBreak/>
        <w:t xml:space="preserve">suggested as the best technique for avoiding this issue </w:t>
      </w:r>
      <w:r w:rsidR="00D44AC6">
        <w:rPr>
          <w:rFonts w:ascii="Arial" w:hAnsi="Arial" w:cs="Arial"/>
        </w:rPr>
        <w:t>in</w:t>
      </w:r>
      <w:r w:rsidRPr="00225AB0">
        <w:rPr>
          <w:rFonts w:ascii="Arial" w:hAnsi="Arial" w:cs="Arial"/>
        </w:rPr>
        <w:t xml:space="preserve"> SVMs </w:t>
      </w:r>
      <w:r w:rsidRPr="00225AB0">
        <w:rPr>
          <w:rFonts w:ascii="Arial" w:hAnsi="Arial" w:cs="Arial"/>
        </w:rPr>
        <w:fldChar w:fldCharType="begin"/>
      </w:r>
      <w:r w:rsidR="005B4361">
        <w:rPr>
          <w:rFonts w:ascii="Arial" w:hAnsi="Arial" w:cs="Arial"/>
        </w:rPr>
        <w:instrText xml:space="preserve"> ADDIN ZOTERO_ITEM CSL_CITATION {"citationID":"SUzeqDs9","properties":{"formattedCitation":"(Gholami &amp; Fakhari, 2017)","plainCitation":"(Gholami &amp; Fakhari, 2017)","noteIndex":0},"citationItems":[{"id":138,"uris":["http://zotero.org/groups/318634/items/8Y8I3WJH"],"uri":["http://zotero.org/groups/318634/items/8Y8I3WJH"],"itemData":{"id":138,"type":"chapter","title":"Chapter 27 - Support Vector Machine: Principles, Parameters, and Applications","container-title":"Handbook of Neural Computation","publisher":"Academic Press","page":"515-535","source":"ScienceDirect","abstract":"Support Vector Machine (SVM) has been introduced in the late 1990s and successfully applied to many engineering related applications. In this chapter, attempts were made to introduce the SVM, its principles, structures, and parameters. The issue of selecting a kernel function and other associated parameters of SVMs was also raised and applications from different petroleum and mining related tasks were brought to show how those parameters can be properly selected. It seems that the cross-validation approach would be the best technique for parameter selections of SVMs but few other concerns such as running time must not be neglected.","URL":"http://www.sciencedirect.com/science/article/pii/B9780128113189000272","ISBN":"978-0-12-811318-9","note":"DOI: 10.1016/B978-0-12-811318-9.00027-2","title-short":"Chapter 27 - Support Vector Machine","author":[{"family":"Gholami","given":"Raoof"},{"family":"Fakhari","given":"Nikoo"}],"editor":[{"family":"Samui","given":"Pijush"},{"family":"Sekhar","given":"Sanjiban"},{"family":"Balas","given":"Valentina E."}],"issued":{"date-parts":[["2017",1,1]]},"accessed":{"date-parts":[["2019",6,3]]}}}],"schema":"https://github.com/citation-style-language/schema/raw/master/csl-citation.json"} </w:instrText>
      </w:r>
      <w:r w:rsidRPr="00225AB0">
        <w:rPr>
          <w:rFonts w:ascii="Arial" w:hAnsi="Arial" w:cs="Arial"/>
        </w:rPr>
        <w:fldChar w:fldCharType="separate"/>
      </w:r>
      <w:r w:rsidRPr="00225AB0">
        <w:rPr>
          <w:rFonts w:ascii="Arial" w:hAnsi="Arial" w:cs="Arial"/>
          <w:noProof/>
        </w:rPr>
        <w:t>(Gholami &amp; Fakhari, 2017)</w:t>
      </w:r>
      <w:r w:rsidRPr="00225AB0">
        <w:rPr>
          <w:rFonts w:ascii="Arial" w:hAnsi="Arial" w:cs="Arial"/>
        </w:rPr>
        <w:fldChar w:fldCharType="end"/>
      </w:r>
      <w:r w:rsidRPr="00225AB0">
        <w:rPr>
          <w:rFonts w:ascii="Arial" w:hAnsi="Arial" w:cs="Arial"/>
        </w:rPr>
        <w:t xml:space="preserve">. In </w:t>
      </w:r>
      <w:r w:rsidRPr="00225AB0">
        <w:rPr>
          <w:rFonts w:ascii="Arial" w:hAnsi="Arial" w:cs="Arial"/>
          <w:i/>
        </w:rPr>
        <w:t xml:space="preserve">Chapters 4, 5 </w:t>
      </w:r>
      <w:r w:rsidRPr="00225AB0">
        <w:rPr>
          <w:rFonts w:ascii="Arial" w:hAnsi="Arial" w:cs="Arial"/>
        </w:rPr>
        <w:t xml:space="preserve">and </w:t>
      </w:r>
      <w:r w:rsidRPr="00225AB0">
        <w:rPr>
          <w:rFonts w:ascii="Arial" w:hAnsi="Arial" w:cs="Arial"/>
          <w:i/>
        </w:rPr>
        <w:t>6</w:t>
      </w:r>
      <w:r w:rsidRPr="00225AB0">
        <w:rPr>
          <w:rFonts w:ascii="Arial" w:hAnsi="Arial" w:cs="Arial"/>
        </w:rPr>
        <w:t xml:space="preserve"> we employ this leave-one-out cross validation method to provide probability estimates and reduce the potential risk of overfitting our data. </w:t>
      </w:r>
    </w:p>
    <w:p w14:paraId="01F7E44D" w14:textId="77777777" w:rsidR="00C33D52" w:rsidRDefault="00C33D52" w:rsidP="00C33D52">
      <w:pPr>
        <w:spacing w:line="480" w:lineRule="auto"/>
        <w:rPr>
          <w:rFonts w:ascii="Arial" w:hAnsi="Arial" w:cs="Arial"/>
        </w:rPr>
      </w:pPr>
    </w:p>
    <w:p w14:paraId="1DFE1C17" w14:textId="77777777" w:rsidR="00C33D52" w:rsidRDefault="00C33D52" w:rsidP="00CC7DCB">
      <w:pPr>
        <w:pStyle w:val="Heading2"/>
        <w:numPr>
          <w:ilvl w:val="1"/>
          <w:numId w:val="3"/>
        </w:numPr>
        <w:rPr>
          <w:rFonts w:ascii="Arial" w:hAnsi="Arial" w:cs="Arial"/>
          <w:b/>
          <w:color w:val="000000" w:themeColor="text1"/>
          <w:sz w:val="28"/>
          <w:szCs w:val="28"/>
        </w:rPr>
      </w:pPr>
      <w:bookmarkStart w:id="317" w:name="_Toc11753633"/>
      <w:bookmarkStart w:id="318" w:name="_Toc11926819"/>
      <w:bookmarkStart w:id="319" w:name="_Toc11930052"/>
      <w:bookmarkStart w:id="320" w:name="_Toc16075368"/>
      <w:bookmarkStart w:id="321" w:name="_Toc16236991"/>
      <w:r w:rsidRPr="00C33D52">
        <w:rPr>
          <w:rFonts w:ascii="Arial" w:hAnsi="Arial" w:cs="Arial"/>
          <w:b/>
          <w:color w:val="000000" w:themeColor="text1"/>
          <w:sz w:val="28"/>
          <w:szCs w:val="28"/>
        </w:rPr>
        <w:t xml:space="preserve">Multiple </w:t>
      </w:r>
      <w:r w:rsidR="00C90B4E">
        <w:rPr>
          <w:rFonts w:ascii="Arial" w:hAnsi="Arial" w:cs="Arial"/>
          <w:b/>
          <w:color w:val="000000" w:themeColor="text1"/>
          <w:sz w:val="28"/>
          <w:szCs w:val="28"/>
        </w:rPr>
        <w:t>c</w:t>
      </w:r>
      <w:r w:rsidRPr="00C33D52">
        <w:rPr>
          <w:rFonts w:ascii="Arial" w:hAnsi="Arial" w:cs="Arial"/>
          <w:b/>
          <w:color w:val="000000" w:themeColor="text1"/>
          <w:sz w:val="28"/>
          <w:szCs w:val="28"/>
        </w:rPr>
        <w:t xml:space="preserve">omparisons </w:t>
      </w:r>
      <w:r w:rsidR="00C90B4E">
        <w:rPr>
          <w:rFonts w:ascii="Arial" w:hAnsi="Arial" w:cs="Arial"/>
          <w:b/>
          <w:color w:val="000000" w:themeColor="text1"/>
          <w:sz w:val="28"/>
          <w:szCs w:val="28"/>
        </w:rPr>
        <w:t>c</w:t>
      </w:r>
      <w:r w:rsidRPr="00C33D52">
        <w:rPr>
          <w:rFonts w:ascii="Arial" w:hAnsi="Arial" w:cs="Arial"/>
          <w:b/>
          <w:color w:val="000000" w:themeColor="text1"/>
          <w:sz w:val="28"/>
          <w:szCs w:val="28"/>
        </w:rPr>
        <w:t>orrection</w:t>
      </w:r>
      <w:bookmarkEnd w:id="317"/>
      <w:bookmarkEnd w:id="318"/>
      <w:bookmarkEnd w:id="319"/>
      <w:bookmarkEnd w:id="320"/>
      <w:bookmarkEnd w:id="321"/>
    </w:p>
    <w:p w14:paraId="38887396" w14:textId="77777777" w:rsidR="00DF4C77" w:rsidRPr="00DF4C77" w:rsidRDefault="00DF4C77" w:rsidP="00DF4C77"/>
    <w:p w14:paraId="65C708C9" w14:textId="1479926B" w:rsidR="00C33D52" w:rsidRPr="00F36823" w:rsidRDefault="00C33D52" w:rsidP="00C33D52">
      <w:pPr>
        <w:spacing w:line="480" w:lineRule="auto"/>
        <w:rPr>
          <w:rFonts w:ascii="Arial" w:hAnsi="Arial" w:cs="Arial"/>
        </w:rPr>
      </w:pPr>
      <w:r>
        <w:rPr>
          <w:rFonts w:ascii="Arial" w:hAnsi="Arial" w:cs="Arial"/>
        </w:rPr>
        <w:t xml:space="preserve">Benjamini-Hochberg correction </w:t>
      </w:r>
      <w:r>
        <w:rPr>
          <w:rFonts w:ascii="Arial" w:hAnsi="Arial" w:cs="Arial"/>
        </w:rPr>
        <w:fldChar w:fldCharType="begin"/>
      </w:r>
      <w:r w:rsidR="005B4361">
        <w:rPr>
          <w:rFonts w:ascii="Arial" w:hAnsi="Arial" w:cs="Arial"/>
        </w:rPr>
        <w:instrText xml:space="preserve"> ADDIN ZOTERO_ITEM CSL_CITATION {"citationID":"ALtBqUEb","properties":{"formattedCitation":"(Benjamini &amp; Hochberg, 1995)","plainCitation":"(Benjamini &amp; Hochberg, 1995)","noteIndex":0},"citationItems":[{"id":113,"uris":["http://zotero.org/groups/318634/items/L5R76ESZ"],"uri":["http://zotero.org/groups/318634/items/L5R76ESZ"],"itemData":{"id":113,"type":"article-journal","title":"Controlling the false discovery rate: a practical and powerful approach to multiple testing","container-title":"Journal of the Royal statistical society: series B (Methodological)","page":"289-300","volume":"57","issue":"1","author":[{"family":"Benjamini","given":"Yoav"},{"family":"Hochberg","given":"Yosef"}],"issued":{"date-parts":[["1995"]]}}}],"schema":"https://github.com/citation-style-language/schema/raw/master/csl-citation.json"} </w:instrText>
      </w:r>
      <w:r>
        <w:rPr>
          <w:rFonts w:ascii="Arial" w:hAnsi="Arial" w:cs="Arial"/>
        </w:rPr>
        <w:fldChar w:fldCharType="separate"/>
      </w:r>
      <w:r w:rsidR="00061558">
        <w:rPr>
          <w:rFonts w:ascii="Arial" w:hAnsi="Arial" w:cs="Arial"/>
          <w:noProof/>
        </w:rPr>
        <w:t>(Benjamini &amp; Hochberg, 1995)</w:t>
      </w:r>
      <w:r>
        <w:rPr>
          <w:rFonts w:ascii="Arial" w:hAnsi="Arial" w:cs="Arial"/>
        </w:rPr>
        <w:fldChar w:fldCharType="end"/>
      </w:r>
      <w:r>
        <w:rPr>
          <w:rFonts w:ascii="Arial" w:hAnsi="Arial" w:cs="Arial"/>
        </w:rPr>
        <w:t xml:space="preserve">, is a widely used method of false discovery rate correction, which controls the expected proportion of type one errors (falsely concluding a significant effect) across a range of significant values. It is a simple method which is sufficient for many exploratory experimental studies such as the ones detailed </w:t>
      </w:r>
      <w:r w:rsidR="00D44AC6">
        <w:rPr>
          <w:rFonts w:ascii="Arial" w:hAnsi="Arial" w:cs="Arial"/>
        </w:rPr>
        <w:t>in</w:t>
      </w:r>
      <w:r>
        <w:rPr>
          <w:rFonts w:ascii="Arial" w:hAnsi="Arial" w:cs="Arial"/>
        </w:rPr>
        <w:t xml:space="preserve"> this thesis, and the output provides a conservative estimate of significance across multiple statistical analyses, with a good balance between the discovery of statistical significance and limitation of false-positive occurrences </w:t>
      </w:r>
      <w:r>
        <w:rPr>
          <w:rFonts w:ascii="Arial" w:hAnsi="Arial" w:cs="Arial"/>
        </w:rPr>
        <w:fldChar w:fldCharType="begin"/>
      </w:r>
      <w:r w:rsidR="005B4361">
        <w:rPr>
          <w:rFonts w:ascii="Arial" w:hAnsi="Arial" w:cs="Arial"/>
        </w:rPr>
        <w:instrText xml:space="preserve"> ADDIN ZOTERO_ITEM CSL_CITATION {"citationID":"DJL6EVxl","properties":{"formattedCitation":"(Noble, 2009)","plainCitation":"(Noble, 2009)","dontUpdate":true,"noteIndex":0},"citationItems":[{"id":109,"uris":["http://zotero.org/groups/318634/items/E4IVLWD3"],"uri":["http://zotero.org/groups/318634/items/E4IVLWD3"],"itemData":{"id":109,"type":"article-journal","title":"How does multiple testing correction work?","container-title":"Nature Biotechnology","page":"1135-1137","volume":"27","issue":"12","source":"www.nature.com","abstract":"When prioritizing hits from a high-throughput experiment, it is important to correct for random events that falsely appear significant. How is this done and what methods should be used?","DOI":"10.1038/nbt1209-1135","ISSN":"1546-1696","language":"en","author":[{"family":"Noble","given":"William S."}],"issued":{"date-parts":[["2009",12]]}}}],"schema":"https://github.com/citation-style-language/schema/raw/master/csl-citation.json"} </w:instrText>
      </w:r>
      <w:r>
        <w:rPr>
          <w:rFonts w:ascii="Arial" w:hAnsi="Arial" w:cs="Arial"/>
        </w:rPr>
        <w:fldChar w:fldCharType="separate"/>
      </w:r>
      <w:r>
        <w:rPr>
          <w:rFonts w:ascii="Arial" w:hAnsi="Arial" w:cs="Arial"/>
          <w:noProof/>
        </w:rPr>
        <w:t>(e.g. Noble, 2009)</w:t>
      </w:r>
      <w:r>
        <w:rPr>
          <w:rFonts w:ascii="Arial" w:hAnsi="Arial" w:cs="Arial"/>
        </w:rPr>
        <w:fldChar w:fldCharType="end"/>
      </w:r>
      <w:r>
        <w:rPr>
          <w:rFonts w:ascii="Arial" w:hAnsi="Arial" w:cs="Arial"/>
        </w:rPr>
        <w:t xml:space="preserve">. In comparison to methods controlling family-wise error rate, such as the highly conservative Bonferroni correction, which relates to the probability of making any type 1 errors at all, ‘punishing’ all p-values equally, the Benjamini-Hochberg correction, ‘punishes’ </w:t>
      </w:r>
      <w:r>
        <w:rPr>
          <w:rFonts w:ascii="Arial" w:hAnsi="Arial" w:cs="Arial"/>
          <w:i/>
        </w:rPr>
        <w:t>p</w:t>
      </w:r>
      <w:r>
        <w:rPr>
          <w:rFonts w:ascii="Arial" w:hAnsi="Arial" w:cs="Arial"/>
        </w:rPr>
        <w:t xml:space="preserve">-values according to their ranking. </w:t>
      </w:r>
    </w:p>
    <w:p w14:paraId="1FA8ED86" w14:textId="77777777" w:rsidR="00C33D52" w:rsidRDefault="00C33D52" w:rsidP="00C33D52">
      <w:pPr>
        <w:spacing w:line="480" w:lineRule="auto"/>
        <w:rPr>
          <w:rFonts w:ascii="Arial" w:hAnsi="Arial" w:cs="Arial"/>
        </w:rPr>
      </w:pPr>
    </w:p>
    <w:p w14:paraId="2EACF3BD" w14:textId="65D66856" w:rsidR="00C33D52" w:rsidRDefault="00C33D52" w:rsidP="00C33D52">
      <w:pPr>
        <w:spacing w:line="480" w:lineRule="auto"/>
        <w:rPr>
          <w:rFonts w:ascii="Arial" w:hAnsi="Arial" w:cs="Arial"/>
        </w:rPr>
      </w:pPr>
      <w:r>
        <w:rPr>
          <w:rFonts w:ascii="Arial" w:hAnsi="Arial" w:cs="Arial"/>
        </w:rPr>
        <w:t xml:space="preserve">Benjamini-Hochberg correction sorts the </w:t>
      </w:r>
      <w:r w:rsidRPr="00BC41A6">
        <w:rPr>
          <w:rFonts w:ascii="Arial" w:hAnsi="Arial" w:cs="Arial"/>
          <w:i/>
        </w:rPr>
        <w:t>p</w:t>
      </w:r>
      <w:r>
        <w:rPr>
          <w:rFonts w:ascii="Arial" w:hAnsi="Arial" w:cs="Arial"/>
        </w:rPr>
        <w:t xml:space="preserve">-values in ascending order, then divides each observed </w:t>
      </w:r>
      <w:r w:rsidRPr="00BC41A6">
        <w:rPr>
          <w:rFonts w:ascii="Arial" w:hAnsi="Arial" w:cs="Arial"/>
          <w:i/>
        </w:rPr>
        <w:t>p</w:t>
      </w:r>
      <w:r>
        <w:rPr>
          <w:rFonts w:ascii="Arial" w:hAnsi="Arial" w:cs="Arial"/>
        </w:rPr>
        <w:t xml:space="preserve">-value by its percentile rank to get an estimate false-discovery rate. Throughout this thesis, we employ Benjamini-Hochberg correction when correcting for multiple comparisons across a number of statistical tests (e.g. across the significance values for multiple one-sample Wilcoxon signed-rank tests), and Bonferroni family-wise error correction when controlling for multiple comparisons </w:t>
      </w:r>
      <w:r w:rsidR="00D44AC6">
        <w:rPr>
          <w:rFonts w:ascii="Arial" w:hAnsi="Arial" w:cs="Arial"/>
        </w:rPr>
        <w:t>in</w:t>
      </w:r>
      <w:r>
        <w:rPr>
          <w:rFonts w:ascii="Arial" w:hAnsi="Arial" w:cs="Arial"/>
        </w:rPr>
        <w:t xml:space="preserve"> a related analysis (such as </w:t>
      </w:r>
      <w:r>
        <w:rPr>
          <w:rFonts w:ascii="Arial" w:hAnsi="Arial" w:cs="Arial"/>
        </w:rPr>
        <w:lastRenderedPageBreak/>
        <w:t xml:space="preserve">across post-hoc testing </w:t>
      </w:r>
      <w:r w:rsidR="00D44AC6">
        <w:rPr>
          <w:rFonts w:ascii="Arial" w:hAnsi="Arial" w:cs="Arial"/>
        </w:rPr>
        <w:t>in</w:t>
      </w:r>
      <w:r>
        <w:rPr>
          <w:rFonts w:ascii="Arial" w:hAnsi="Arial" w:cs="Arial"/>
        </w:rPr>
        <w:t xml:space="preserve"> a repeated measures ANOVA). These methods help to reduce the likelihood of making a type 1 error </w:t>
      </w:r>
      <w:r w:rsidR="00D44AC6">
        <w:rPr>
          <w:rFonts w:ascii="Arial" w:hAnsi="Arial" w:cs="Arial"/>
        </w:rPr>
        <w:t>in</w:t>
      </w:r>
      <w:r>
        <w:rPr>
          <w:rFonts w:ascii="Arial" w:hAnsi="Arial" w:cs="Arial"/>
        </w:rPr>
        <w:t xml:space="preserve"> our data analysis (i.e. concluding a significant effect when one does not truly exist). </w:t>
      </w:r>
    </w:p>
    <w:p w14:paraId="3C0F6D21" w14:textId="77777777" w:rsidR="00C33D52" w:rsidRPr="0060614D" w:rsidRDefault="00C33D52" w:rsidP="00C33D52">
      <w:pPr>
        <w:spacing w:line="480" w:lineRule="auto"/>
        <w:rPr>
          <w:rFonts w:ascii="Arial" w:hAnsi="Arial" w:cs="Arial"/>
        </w:rPr>
      </w:pPr>
    </w:p>
    <w:p w14:paraId="36DA722A" w14:textId="77777777" w:rsidR="00C33D52" w:rsidRPr="00225AB0" w:rsidRDefault="00C33D52" w:rsidP="000C73FA">
      <w:pPr>
        <w:spacing w:line="480" w:lineRule="auto"/>
        <w:rPr>
          <w:rFonts w:ascii="Arial" w:hAnsi="Arial" w:cs="Arial"/>
        </w:rPr>
      </w:pPr>
    </w:p>
    <w:p w14:paraId="755A93AA" w14:textId="77777777" w:rsidR="000C73FA" w:rsidRPr="00225AB0" w:rsidRDefault="000C73FA" w:rsidP="000C73FA">
      <w:pPr>
        <w:spacing w:line="480" w:lineRule="auto"/>
        <w:rPr>
          <w:rFonts w:ascii="Arial" w:hAnsi="Arial" w:cs="Arial"/>
        </w:rPr>
      </w:pPr>
    </w:p>
    <w:p w14:paraId="2EDFDBDE" w14:textId="77777777" w:rsidR="000C73FA" w:rsidRPr="00225AB0" w:rsidRDefault="000C73FA" w:rsidP="000C73FA">
      <w:pPr>
        <w:spacing w:line="480" w:lineRule="auto"/>
        <w:rPr>
          <w:rFonts w:ascii="Arial" w:hAnsi="Arial" w:cs="Arial"/>
        </w:rPr>
      </w:pPr>
    </w:p>
    <w:p w14:paraId="5D0297E8" w14:textId="77777777" w:rsidR="000C73FA" w:rsidRDefault="000C73FA" w:rsidP="000C73FA">
      <w:pPr>
        <w:spacing w:line="480" w:lineRule="auto"/>
        <w:rPr>
          <w:rFonts w:ascii="Arial" w:hAnsi="Arial" w:cs="Arial"/>
        </w:rPr>
      </w:pPr>
    </w:p>
    <w:p w14:paraId="478A8B54" w14:textId="77777777" w:rsidR="00150518" w:rsidRDefault="00150518" w:rsidP="000C73FA">
      <w:pPr>
        <w:spacing w:line="480" w:lineRule="auto"/>
        <w:rPr>
          <w:rFonts w:ascii="Arial" w:hAnsi="Arial" w:cs="Arial"/>
        </w:rPr>
      </w:pPr>
    </w:p>
    <w:p w14:paraId="290FEC82" w14:textId="77777777" w:rsidR="00150518" w:rsidRDefault="00150518" w:rsidP="000C73FA">
      <w:pPr>
        <w:spacing w:line="480" w:lineRule="auto"/>
        <w:rPr>
          <w:rFonts w:ascii="Arial" w:hAnsi="Arial" w:cs="Arial"/>
        </w:rPr>
      </w:pPr>
    </w:p>
    <w:p w14:paraId="62F10CA5" w14:textId="77777777" w:rsidR="00150518" w:rsidRDefault="00150518" w:rsidP="000C73FA">
      <w:pPr>
        <w:spacing w:line="480" w:lineRule="auto"/>
        <w:rPr>
          <w:rFonts w:ascii="Arial" w:hAnsi="Arial" w:cs="Arial"/>
        </w:rPr>
      </w:pPr>
    </w:p>
    <w:p w14:paraId="547EF27A" w14:textId="77777777" w:rsidR="00150518" w:rsidRDefault="00150518" w:rsidP="000C73FA">
      <w:pPr>
        <w:spacing w:line="480" w:lineRule="auto"/>
        <w:rPr>
          <w:rFonts w:ascii="Arial" w:hAnsi="Arial" w:cs="Arial"/>
        </w:rPr>
      </w:pPr>
    </w:p>
    <w:p w14:paraId="252918AD" w14:textId="77777777" w:rsidR="00150518" w:rsidRDefault="00150518" w:rsidP="000C73FA">
      <w:pPr>
        <w:spacing w:line="480" w:lineRule="auto"/>
        <w:rPr>
          <w:rFonts w:ascii="Arial" w:hAnsi="Arial" w:cs="Arial"/>
        </w:rPr>
      </w:pPr>
    </w:p>
    <w:p w14:paraId="34A45CF8" w14:textId="77777777" w:rsidR="00150518" w:rsidRDefault="00150518" w:rsidP="000C73FA">
      <w:pPr>
        <w:spacing w:line="480" w:lineRule="auto"/>
        <w:rPr>
          <w:rFonts w:ascii="Arial" w:hAnsi="Arial" w:cs="Arial"/>
        </w:rPr>
      </w:pPr>
    </w:p>
    <w:p w14:paraId="208F71CF" w14:textId="277D144A" w:rsidR="00150518" w:rsidRDefault="00150518" w:rsidP="000C73FA">
      <w:pPr>
        <w:spacing w:line="480" w:lineRule="auto"/>
        <w:rPr>
          <w:rFonts w:ascii="Arial" w:hAnsi="Arial" w:cs="Arial"/>
        </w:rPr>
      </w:pPr>
    </w:p>
    <w:p w14:paraId="04803241" w14:textId="45149326" w:rsidR="001404E7" w:rsidRDefault="001404E7" w:rsidP="000C73FA">
      <w:pPr>
        <w:spacing w:line="480" w:lineRule="auto"/>
        <w:rPr>
          <w:rFonts w:ascii="Arial" w:hAnsi="Arial" w:cs="Arial"/>
        </w:rPr>
      </w:pPr>
    </w:p>
    <w:p w14:paraId="415DE0BC" w14:textId="2854005D" w:rsidR="001404E7" w:rsidRDefault="001404E7" w:rsidP="000C73FA">
      <w:pPr>
        <w:spacing w:line="480" w:lineRule="auto"/>
        <w:rPr>
          <w:rFonts w:ascii="Arial" w:hAnsi="Arial" w:cs="Arial"/>
        </w:rPr>
      </w:pPr>
    </w:p>
    <w:p w14:paraId="399EB937" w14:textId="19344D1F" w:rsidR="001404E7" w:rsidRDefault="001404E7" w:rsidP="000C73FA">
      <w:pPr>
        <w:spacing w:line="480" w:lineRule="auto"/>
        <w:rPr>
          <w:rFonts w:ascii="Arial" w:hAnsi="Arial" w:cs="Arial"/>
        </w:rPr>
      </w:pPr>
    </w:p>
    <w:p w14:paraId="067F6573" w14:textId="03B9E95A" w:rsidR="001404E7" w:rsidRDefault="001404E7" w:rsidP="000C73FA">
      <w:pPr>
        <w:spacing w:line="480" w:lineRule="auto"/>
        <w:rPr>
          <w:rFonts w:ascii="Arial" w:hAnsi="Arial" w:cs="Arial"/>
        </w:rPr>
      </w:pPr>
    </w:p>
    <w:p w14:paraId="0E39CA03" w14:textId="77777777" w:rsidR="007B68C2" w:rsidRDefault="007B68C2" w:rsidP="000C73FA">
      <w:pPr>
        <w:spacing w:line="480" w:lineRule="auto"/>
        <w:rPr>
          <w:rFonts w:ascii="Arial" w:hAnsi="Arial" w:cs="Arial"/>
        </w:rPr>
      </w:pPr>
    </w:p>
    <w:p w14:paraId="3A0DD243" w14:textId="1B14C96C" w:rsidR="00150518" w:rsidRDefault="00150518" w:rsidP="000C73FA">
      <w:pPr>
        <w:spacing w:line="480" w:lineRule="auto"/>
        <w:rPr>
          <w:rFonts w:ascii="Arial" w:hAnsi="Arial" w:cs="Arial"/>
        </w:rPr>
      </w:pPr>
    </w:p>
    <w:p w14:paraId="07800589" w14:textId="0C59A2DC" w:rsidR="00AE6937" w:rsidRDefault="00AE6937" w:rsidP="000C73FA">
      <w:pPr>
        <w:spacing w:line="480" w:lineRule="auto"/>
        <w:rPr>
          <w:rFonts w:ascii="Arial" w:hAnsi="Arial" w:cs="Arial"/>
        </w:rPr>
      </w:pPr>
    </w:p>
    <w:p w14:paraId="65C98924" w14:textId="234E30CF" w:rsidR="00AE6937" w:rsidRDefault="00AE6937" w:rsidP="000C73FA">
      <w:pPr>
        <w:spacing w:line="480" w:lineRule="auto"/>
        <w:rPr>
          <w:rFonts w:ascii="Arial" w:hAnsi="Arial" w:cs="Arial"/>
        </w:rPr>
      </w:pPr>
    </w:p>
    <w:p w14:paraId="09B3314C" w14:textId="77777777" w:rsidR="00AE6937" w:rsidRPr="00225AB0" w:rsidRDefault="00AE6937" w:rsidP="000C73FA">
      <w:pPr>
        <w:spacing w:line="480" w:lineRule="auto"/>
        <w:rPr>
          <w:rFonts w:ascii="Arial" w:hAnsi="Arial" w:cs="Arial"/>
        </w:rPr>
      </w:pPr>
    </w:p>
    <w:p w14:paraId="3F4839CB" w14:textId="77777777" w:rsidR="000C73FA" w:rsidRDefault="000C73FA" w:rsidP="00150518">
      <w:pPr>
        <w:pStyle w:val="Heading1"/>
        <w:numPr>
          <w:ilvl w:val="0"/>
          <w:numId w:val="10"/>
        </w:numPr>
        <w:ind w:left="0" w:firstLine="0"/>
        <w:rPr>
          <w:rFonts w:ascii="Arial" w:hAnsi="Arial" w:cs="Arial"/>
          <w:b/>
          <w:color w:val="000000" w:themeColor="text1"/>
          <w:sz w:val="44"/>
          <w:szCs w:val="44"/>
        </w:rPr>
      </w:pPr>
      <w:bookmarkStart w:id="322" w:name="_Toc11153927"/>
      <w:bookmarkStart w:id="323" w:name="_Toc11753634"/>
      <w:bookmarkStart w:id="324" w:name="_Toc11926820"/>
      <w:bookmarkStart w:id="325" w:name="_Toc11930053"/>
      <w:bookmarkStart w:id="326" w:name="_Toc16075369"/>
      <w:bookmarkStart w:id="327" w:name="_Toc16236992"/>
      <w:r w:rsidRPr="00225AB0">
        <w:rPr>
          <w:rFonts w:ascii="Arial" w:hAnsi="Arial" w:cs="Arial"/>
          <w:b/>
          <w:color w:val="000000" w:themeColor="text1"/>
          <w:sz w:val="44"/>
          <w:szCs w:val="44"/>
        </w:rPr>
        <w:lastRenderedPageBreak/>
        <w:t xml:space="preserve">Investigating Selective </w:t>
      </w:r>
      <w:r w:rsidR="00D36AFF" w:rsidRPr="00225AB0">
        <w:rPr>
          <w:rFonts w:ascii="Arial" w:hAnsi="Arial" w:cs="Arial"/>
          <w:b/>
          <w:color w:val="000000" w:themeColor="text1"/>
          <w:sz w:val="44"/>
          <w:szCs w:val="44"/>
        </w:rPr>
        <w:t>V</w:t>
      </w:r>
      <w:r w:rsidRPr="00225AB0">
        <w:rPr>
          <w:rFonts w:ascii="Arial" w:hAnsi="Arial" w:cs="Arial"/>
          <w:b/>
          <w:color w:val="000000" w:themeColor="text1"/>
          <w:sz w:val="44"/>
          <w:szCs w:val="44"/>
        </w:rPr>
        <w:t>ersus Distributed Attentional Effects</w:t>
      </w:r>
      <w:bookmarkEnd w:id="322"/>
      <w:bookmarkEnd w:id="323"/>
      <w:bookmarkEnd w:id="324"/>
      <w:bookmarkEnd w:id="325"/>
      <w:bookmarkEnd w:id="326"/>
      <w:bookmarkEnd w:id="327"/>
      <w:r w:rsidRPr="00225AB0">
        <w:rPr>
          <w:rFonts w:ascii="Arial" w:hAnsi="Arial" w:cs="Arial"/>
          <w:b/>
          <w:color w:val="000000" w:themeColor="text1"/>
          <w:sz w:val="44"/>
          <w:szCs w:val="44"/>
        </w:rPr>
        <w:t xml:space="preserve"> </w:t>
      </w:r>
    </w:p>
    <w:p w14:paraId="50DDF856" w14:textId="77777777" w:rsidR="00CB7683" w:rsidRPr="00CB7683" w:rsidRDefault="00CB7683" w:rsidP="00CB7683"/>
    <w:p w14:paraId="6E8CE20B" w14:textId="77777777" w:rsidR="00D36AFF" w:rsidRPr="00225AB0" w:rsidRDefault="00D36AFF" w:rsidP="00D36AFF">
      <w:pPr>
        <w:rPr>
          <w:rFonts w:ascii="Arial" w:hAnsi="Arial" w:cs="Arial"/>
        </w:rPr>
      </w:pPr>
    </w:p>
    <w:p w14:paraId="2DC8A1EE" w14:textId="77777777" w:rsidR="000C73FA" w:rsidRDefault="000C73FA" w:rsidP="001811CC">
      <w:pPr>
        <w:pStyle w:val="Heading2"/>
        <w:numPr>
          <w:ilvl w:val="1"/>
          <w:numId w:val="4"/>
        </w:numPr>
        <w:rPr>
          <w:rFonts w:ascii="Arial" w:hAnsi="Arial" w:cs="Arial"/>
          <w:b/>
          <w:color w:val="000000" w:themeColor="text1"/>
          <w:sz w:val="28"/>
          <w:szCs w:val="28"/>
        </w:rPr>
      </w:pPr>
      <w:bookmarkStart w:id="328" w:name="_Toc11147981"/>
      <w:bookmarkStart w:id="329" w:name="_Toc11153928"/>
      <w:bookmarkStart w:id="330" w:name="_Toc11753635"/>
      <w:bookmarkStart w:id="331" w:name="_Toc11926821"/>
      <w:bookmarkStart w:id="332" w:name="_Toc11930054"/>
      <w:bookmarkStart w:id="333" w:name="_Toc16075370"/>
      <w:bookmarkStart w:id="334" w:name="_Toc16236993"/>
      <w:r w:rsidRPr="00CB7683">
        <w:rPr>
          <w:rFonts w:ascii="Arial" w:hAnsi="Arial" w:cs="Arial"/>
          <w:b/>
          <w:color w:val="000000" w:themeColor="text1"/>
          <w:sz w:val="28"/>
          <w:szCs w:val="28"/>
        </w:rPr>
        <w:t>Abstract</w:t>
      </w:r>
      <w:bookmarkEnd w:id="328"/>
      <w:bookmarkEnd w:id="329"/>
      <w:bookmarkEnd w:id="330"/>
      <w:bookmarkEnd w:id="331"/>
      <w:bookmarkEnd w:id="332"/>
      <w:bookmarkEnd w:id="333"/>
      <w:bookmarkEnd w:id="334"/>
    </w:p>
    <w:p w14:paraId="04F8EA87" w14:textId="77777777" w:rsidR="00CB7683" w:rsidRPr="00CB7683" w:rsidRDefault="00CB7683" w:rsidP="00CB7683"/>
    <w:p w14:paraId="5C49DFF5" w14:textId="38110EEC" w:rsidR="000C73FA" w:rsidRDefault="000C73FA" w:rsidP="000C73FA">
      <w:pPr>
        <w:spacing w:line="480" w:lineRule="auto"/>
        <w:rPr>
          <w:rFonts w:ascii="Arial" w:hAnsi="Arial" w:cs="Arial"/>
        </w:rPr>
      </w:pPr>
      <w:r w:rsidRPr="00225AB0">
        <w:rPr>
          <w:rFonts w:ascii="Arial" w:hAnsi="Arial" w:cs="Arial"/>
        </w:rPr>
        <w:t xml:space="preserve">It has been frequently noted </w:t>
      </w:r>
      <w:r w:rsidR="00D44AC6">
        <w:rPr>
          <w:rFonts w:ascii="Arial" w:hAnsi="Arial" w:cs="Arial"/>
        </w:rPr>
        <w:t>in</w:t>
      </w:r>
      <w:r w:rsidRPr="00225AB0">
        <w:rPr>
          <w:rFonts w:ascii="Arial" w:hAnsi="Arial" w:cs="Arial"/>
        </w:rPr>
        <w:t xml:space="preserve"> the literature, that task accuracy decreases, and reaction time increases with an increased attentional load. Here, we sought to replicate these well-established findings in a selective versus divided visual psychophysics paradigm, utilising a relatively novel stimulus </w:t>
      </w:r>
      <w:r w:rsidR="00D44AC6">
        <w:rPr>
          <w:rFonts w:ascii="Arial" w:hAnsi="Arial" w:cs="Arial"/>
        </w:rPr>
        <w:t>in</w:t>
      </w:r>
      <w:r w:rsidRPr="00225AB0">
        <w:rPr>
          <w:rFonts w:ascii="Arial" w:hAnsi="Arial" w:cs="Arial"/>
        </w:rPr>
        <w:t xml:space="preserve"> the attention literature, the radial frequency pattern. Participants were directed to selectively detect changes in a </w:t>
      </w:r>
      <w:r w:rsidR="005E4376">
        <w:rPr>
          <w:rFonts w:ascii="Arial" w:hAnsi="Arial" w:cs="Arial"/>
        </w:rPr>
        <w:t>single</w:t>
      </w:r>
      <w:r w:rsidRPr="00225AB0">
        <w:rPr>
          <w:rFonts w:ascii="Arial" w:hAnsi="Arial" w:cs="Arial"/>
        </w:rPr>
        <w:t xml:space="preserve"> stimulus dimension (orientation, contrast or shape) or to identify changes in any of these stimulus attributes simultaneously (divided attention). Participants had significantly lower change detection accuracy and significantly longer response times when attention was divided across multiple features versus selectively focused upon one attribute. We provide substantiation for the use of the radial frequency pattern as an effective stimulus to probe visual attention. </w:t>
      </w:r>
    </w:p>
    <w:p w14:paraId="1921AC92" w14:textId="77777777" w:rsidR="00CB7683" w:rsidRPr="00225AB0" w:rsidRDefault="00CB7683" w:rsidP="000C73FA">
      <w:pPr>
        <w:spacing w:line="480" w:lineRule="auto"/>
        <w:rPr>
          <w:rFonts w:ascii="Arial" w:hAnsi="Arial" w:cs="Arial"/>
        </w:rPr>
      </w:pPr>
    </w:p>
    <w:p w14:paraId="3BE62C77" w14:textId="77777777" w:rsidR="000C73FA" w:rsidRDefault="00CB7683" w:rsidP="001811CC">
      <w:pPr>
        <w:pStyle w:val="Heading2"/>
        <w:numPr>
          <w:ilvl w:val="1"/>
          <w:numId w:val="4"/>
        </w:numPr>
        <w:rPr>
          <w:rFonts w:ascii="Arial" w:hAnsi="Arial" w:cs="Arial"/>
          <w:b/>
          <w:color w:val="000000" w:themeColor="text1"/>
          <w:sz w:val="28"/>
          <w:szCs w:val="28"/>
        </w:rPr>
      </w:pPr>
      <w:bookmarkStart w:id="335" w:name="_Toc11147982"/>
      <w:bookmarkStart w:id="336" w:name="_Toc11153929"/>
      <w:bookmarkStart w:id="337" w:name="_Toc11753636"/>
      <w:bookmarkStart w:id="338" w:name="_Toc11926822"/>
      <w:bookmarkStart w:id="339" w:name="_Toc11930055"/>
      <w:bookmarkStart w:id="340" w:name="_Toc16075371"/>
      <w:bookmarkStart w:id="341" w:name="_Toc16236994"/>
      <w:r w:rsidRPr="00CB7683">
        <w:rPr>
          <w:rFonts w:ascii="Arial" w:hAnsi="Arial" w:cs="Arial"/>
          <w:b/>
          <w:color w:val="000000" w:themeColor="text1"/>
          <w:sz w:val="28"/>
          <w:szCs w:val="28"/>
        </w:rPr>
        <w:t>I</w:t>
      </w:r>
      <w:r w:rsidR="000C73FA" w:rsidRPr="00CB7683">
        <w:rPr>
          <w:rFonts w:ascii="Arial" w:hAnsi="Arial" w:cs="Arial"/>
          <w:b/>
          <w:color w:val="000000" w:themeColor="text1"/>
          <w:sz w:val="28"/>
          <w:szCs w:val="28"/>
        </w:rPr>
        <w:t>ntroduction</w:t>
      </w:r>
      <w:bookmarkEnd w:id="335"/>
      <w:bookmarkEnd w:id="336"/>
      <w:bookmarkEnd w:id="337"/>
      <w:bookmarkEnd w:id="338"/>
      <w:bookmarkEnd w:id="339"/>
      <w:bookmarkEnd w:id="340"/>
      <w:bookmarkEnd w:id="341"/>
    </w:p>
    <w:p w14:paraId="08449964" w14:textId="77777777" w:rsidR="00CB7683" w:rsidRPr="00CB7683" w:rsidRDefault="00CB7683" w:rsidP="00CB7683"/>
    <w:p w14:paraId="4ABD41BB" w14:textId="3199B3EB" w:rsidR="000C73FA" w:rsidRPr="00225AB0" w:rsidRDefault="000C73FA" w:rsidP="000C73FA">
      <w:pPr>
        <w:spacing w:line="480" w:lineRule="auto"/>
        <w:rPr>
          <w:rFonts w:ascii="Arial" w:hAnsi="Arial" w:cs="Arial"/>
          <w:color w:val="000000" w:themeColor="text1"/>
        </w:rPr>
      </w:pPr>
      <w:r w:rsidRPr="00225AB0">
        <w:rPr>
          <w:rFonts w:ascii="Arial" w:hAnsi="Arial" w:cs="Arial"/>
        </w:rPr>
        <w:t xml:space="preserve">We are constantly exposed to complex, multi-faceted visual stimuli (e.g. objects with orientation, colour and motion information), hence a mechanism to weight the contextual importance of particular subsets of visual information is vital for efficient and successful interaction with our world </w:t>
      </w:r>
      <w:r w:rsidRPr="00225AB0">
        <w:rPr>
          <w:rFonts w:ascii="Arial" w:hAnsi="Arial" w:cs="Arial"/>
        </w:rPr>
        <w:fldChar w:fldCharType="begin"/>
      </w:r>
      <w:r w:rsidR="00EA4EBE">
        <w:rPr>
          <w:rFonts w:ascii="Arial" w:hAnsi="Arial" w:cs="Arial"/>
        </w:rPr>
        <w:instrText xml:space="preserve"> ADDIN ZOTERO_ITEM CSL_CITATION {"citationID":"wrANSf6L","properties":{"formattedCitation":"(M I Posner, 1994; M. I. Posner &amp; Petersen, 1990)","plainCitation":"(M I Posner, 1994; M. I. Posner &amp; Petersen, 1990)","noteIndex":0},"citationItems":[{"id":82,"uris":["http://zotero.org/groups/318634/items/CDBW7RDL"],"uri":["http://zotero.org/groups/318634/items/CDBW7RDL"],"itemData":{"id":82,"type":"article-journal","title":"The attention system of the human brain","container-title":"Annual Review of Neuroscience","page":"25-42","volume":"13","source":"PubMed","DOI":"10.1146/annurev.ne.13.030190.000325","ISSN":"0147-006X","note":"PMID: 2183676","journalAbbreviation":"Annu. Rev. Neurosci.","language":"eng","author":[{"family":"Posner","given":"M. I."},{"family":"Petersen","given":"S. E."}],"issued":{"date-parts":[["1990"]]}}},{"id":81,"uris":["http://zotero.org/groups/318634/items/UNBAI2WR"],"uri":["http://zotero.org/groups/318634/items/UNBAI2WR"],"itemData":{"id":81,"type":"article-journal","title":"Attention: the mechanisms of consciousness.","container-title":"Proceedings of the National Academy of Sciences of the United States of America","page":"7398-7403","volume":"91","issue":"16","source":"PubMed Central","abstract":"A number of recent papers and books discuss theoretical efforts toward a scientific understanding of consciousness. Progress in imaging networks of brain areas active when people perform simple tasks may provide a useful empirical background for distinguishing conscious and unconscious information processing. Attentional networks include those involved in orienting to sensory stimuli, activating ideas from memory, and maintaining the alert state. This paper reviews recent findings in relation to classical issues in the study of attention and anatomical and physical theories of the nature of consciousness.","ISSN":"0027-8424","note":"PMID: 8052596\nPMCID: PMC44408","title-short":"Attention","journalAbbreviation":"Proc Natl Acad Sci U S A","author":[{"family":"Posner","given":"M I"}],"issued":{"date-parts":[["1994",8,2]]}}}],"schema":"https://github.com/citation-style-language/schema/raw/master/csl-citation.json"} </w:instrText>
      </w:r>
      <w:r w:rsidRPr="00225AB0">
        <w:rPr>
          <w:rFonts w:ascii="Arial" w:hAnsi="Arial" w:cs="Arial"/>
        </w:rPr>
        <w:fldChar w:fldCharType="separate"/>
      </w:r>
      <w:r w:rsidR="00EA4EBE">
        <w:rPr>
          <w:rFonts w:ascii="Arial" w:hAnsi="Arial" w:cs="Arial"/>
          <w:noProof/>
        </w:rPr>
        <w:t>(Posner, 1994; Posner &amp; Petersen, 1990)</w:t>
      </w:r>
      <w:r w:rsidRPr="00225AB0">
        <w:rPr>
          <w:rFonts w:ascii="Arial" w:hAnsi="Arial" w:cs="Arial"/>
        </w:rPr>
        <w:fldChar w:fldCharType="end"/>
      </w:r>
      <w:r w:rsidRPr="00225AB0">
        <w:rPr>
          <w:rFonts w:ascii="Arial" w:hAnsi="Arial" w:cs="Arial"/>
        </w:rPr>
        <w:t xml:space="preserve">. Attention allows the selection and processing of relevant information at the expense of processing task-irrelevant information, which is filtered out. Featural attention refers to the modulation of activation when focus is directed toward a specific visual feature (e.g. vertical </w:t>
      </w:r>
      <w:r w:rsidRPr="00225AB0">
        <w:rPr>
          <w:rFonts w:ascii="Arial" w:hAnsi="Arial" w:cs="Arial"/>
        </w:rPr>
        <w:lastRenderedPageBreak/>
        <w:t xml:space="preserve">orientation, red, upwards motion), across the entire visual field </w:t>
      </w:r>
      <w:r w:rsidRPr="00225AB0">
        <w:rPr>
          <w:rFonts w:ascii="Arial" w:hAnsi="Arial" w:cs="Arial"/>
        </w:rPr>
        <w:fldChar w:fldCharType="begin"/>
      </w:r>
      <w:r w:rsidR="005B4361">
        <w:rPr>
          <w:rFonts w:ascii="Arial" w:hAnsi="Arial" w:cs="Arial"/>
        </w:rPr>
        <w:instrText xml:space="preserve"> ADDIN ZOTERO_ITEM CSL_CITATION {"citationID":"FIDOXodK","properties":{"formattedCitation":"(Saenz et al., 2002)","plainCitation":"(Saenz et al., 2002)","noteIndex":0},"citationItems":[{"id":284,"uris":["http://zotero.org/groups/318634/items/P725U984"],"uri":["http://zotero.org/groups/318634/items/P725U984"],"itemData":{"id":284,"type":"article-journal","title":"Global effects of feature-based attention in human visual cortex","container-title":"Nat Neurosci","page":"631-632","volume":"5","issue":"7","abstract":"The content of visual experience depends on how selective attention is distributed in the visual field. We used functional magnetic resonance imaging (fMRI) in humans to test whether feature-based attention can globally influence visual cortical responses to stimuli outside the attended location. Attention to a stimulus feature (color or direction of motion) increased the response of cortical visual areas to a spatially distant, ignored stimulus that shared the same feature.","author":[{"family":"Saenz","given":"M"},{"family":"Buracas","given":"G T"},{"family":"Boynton","given":"G M"}],"issued":{"date-parts":[["2002"]]}}}],"schema":"https://github.com/citation-style-language/schema/raw/master/csl-citation.json"} </w:instrText>
      </w:r>
      <w:r w:rsidRPr="00225AB0">
        <w:rPr>
          <w:rFonts w:ascii="Arial" w:hAnsi="Arial" w:cs="Arial"/>
        </w:rPr>
        <w:fldChar w:fldCharType="separate"/>
      </w:r>
      <w:r w:rsidRPr="00225AB0">
        <w:rPr>
          <w:rFonts w:ascii="Arial" w:hAnsi="Arial" w:cs="Arial"/>
          <w:noProof/>
        </w:rPr>
        <w:t>(Saenz et al., 2002)</w:t>
      </w:r>
      <w:r w:rsidRPr="00225AB0">
        <w:rPr>
          <w:rFonts w:ascii="Arial" w:hAnsi="Arial" w:cs="Arial"/>
        </w:rPr>
        <w:fldChar w:fldCharType="end"/>
      </w:r>
      <w:r w:rsidRPr="00225AB0">
        <w:rPr>
          <w:rFonts w:ascii="Arial" w:hAnsi="Arial" w:cs="Arial"/>
        </w:rPr>
        <w:t xml:space="preserve">. Featural attention is a robust phenomenon, which typically increases the activation in cortical regions responsible for the processing of the attended feature, such as increases in MT+ activation during attention to motion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{"citationID":"jGjJuCQZ","properties":{"formattedCitation":"(Beauchamp, Cox, &amp; DeYoe, 1997; Chawla et al., 1999; M. Corbetta, Miezin, Dobmeyer, Shulman, &amp; Petersen, 1991; A. C. Huk &amp; Heeger, 2000; O\\uc0\\u8217{}Craven et al., 1997; Treue &amp; Mart\\uc0\\u237{}nez Trujillo, 1999)","plainCitation":"(Beauchamp, Cox, &amp; DeYoe, 1997; Chawla et al., 1999; M. Corbetta, Miezin, Dobmeyer, Shulman, &amp; Petersen, 1991; A. C. Huk &amp; Heeger, 2000; O’Craven et al., 1997; Treue &amp; Martínez Trujillo, 1999)","dontUpdate":true,"noteIndex":0},"citationItems":[{"id":88,"uris":["http://zotero.org/groups/318634/items/2CXE5HB4"],"uri":["http://zotero.org/groups/318634/items/2CXE5HB4"],"itemData":{"id":88,"type":"article-journal","title":"Selective and divided attention during visual discriminations of shape, color, and speed: functional anatomy by positron emission tomography","container-title":"The Journal of Neuroscience: The Official Journal of the Society for Neuroscience","page":"2383-2402","volume":"11","issue":"8","source":"PubMed","abstract":"Positron emission tomography (PET) was used to identify the neural systems involved in discriminating the shape, color, and speed of a visual stimulus under conditions of selective and divided attention. Psychophysical evidence indicated that the sensitivity for discriminating subtle stimulus changes in a same-different matching task was higher when subjects selectively attended to one attribute than when they divided attention among the attributes. PET measurements of brain activity indicated that modulations of extrastriate visual activity were primarily produced by task conditions of selective attention. Attention to speed activated a region in the left inferior parietal lobule. Attention to color activated a region in the collateral sulcus and dorsolateral occipital cortex, while attention to shape activated collateral sulcus (similarly to color), fusiform and parahippocampal gyri, and temporal cortex along the superior temporal sulcus. Outside the visual system, selective and divided attention activated nonoverlapping sets of brain regions. Selective conditions activated globus pallidus, caudate nucleus, lateral orbitofrontal cortex, posterior thalamus/colliculus, and insular-premotor regions, while the divided condition activated the anterior cingulate and dorsolateral prefrontal cortex. The results in the visual system demonstrate that selective attention to different features modulates activity in distinct regions of extrastriate cortex that appear to be specialized for processing the selected feature. The disjoint pattern of activations in extravisual brain regions during selective- and divided-attention conditions also suggests that preceptual judgements involve different neural systems, depending on attentional strategies.","ISSN":"0270-6474","note":"PMID: 1869921","title-short":"Selective and divided attention during visual discriminations of shape, color, and speed","journalAbbreviation":"J. Neurosci.","language":"eng","author":[{"family":"Corbetta","given":"M."},{"family":"Miezin","given":"F. M."},{"family":"Dobmeyer","given":"S."},{"family":"Shulman","given":"G. L."},{"family":"Petersen","given":"S. E."}],"issued":{"date-parts":[["1991",8]]}}},{"id":87,"uris":["http://zotero.org/groups/318634/items/Q8GNW4J7"],"uri":["http://zotero.org/groups/318634/items/Q8GNW4J7"],"itemData":{"id":87,"type":"article-journal","title":"Graded effects of spatial and featural attention on human area MT and associated motion processing areas","container-title":"Journal of Neurophysiology","page":"516-520","volume":"78","issue":"1","source":"PubMed","abstract":"Functional magnetic resonance imaging was used to quantify the effects of changes in spatial and featural attention on brain activity in the middle temporal visual area and associated motion processing regions (hMT+) of normal human subjects. When subjects performed a discrimination task that directed their spatial attention to a peripherally presented annulus and their featural attention to the speed of points in the annulus, activity in hMT+ was maximal. If subjects were instead asked to discriminate the color of points in the annulus, the magnitude and volume of activation in hMT+ fell to 64 and 35%, respectively, of the previously observed maximum response. In another experiment, subjects were asked to direct their spatial attention away from the annulus toward the fixation point to detect a subtle change in luminance. The response magnitude and volume dropped to 40 and 9% of maximum. These experiments demonstrate that both spatial and featural attention modulate hMT+ and that their effects can work in concert to modulate cortical activity. The high degree of modulation by attention suggests that an understanding of the stimulus-driven properties of visual cortex needs to be complemented with an investigation of the effects of task-related factors on visual processing.","DOI":"10.1152/jn.1997.78.1.516","ISSN":"0022-3077","note":"PMID: 9242299","journalAbbreviation":"J. Neurophysiol.","language":"eng","author":[{"family":"Beauchamp","given":"M. S."},{"family":"Cox","given":"R. W."},{"family":"DeYoe","given":"E. A."}],"issued":{"date-parts":[["1997",7]]}}},{"id":236,"uris":["http://zotero.org/groups/318634/items/S9QHXYQ5"],"uri":["http://zotero.org/groups/318634/items/S9QHXYQ5"],"itemData":{"id":236,"type":"article-journal","title":"Voluntary attention modulates fMRI activity in human MT–MST","container-title":"Neuron","page":"591–598","volume":"18","issue":"4","source":"Google Scholar","author":[{"family":"O'Craven","given":"Kathleen M."},{"family":"Rosen","given":"Bruce R."},{"family":"Kwong","given":"Kenneth K."},{"family":"Treisman","given":"Anne"},{"family":"Savoy","given":"Robert L."}],"issued":{"date-parts":[["1997"]]}}},{"id":274,"uris":["http://zotero.org/groups/318634/items/UGNVMIQK"],"uri":["http://zotero.org/groups/318634/items/UGNVMIQK"],"itemData":{"id":274,"type":"article-journal","title":"The physiological basis of attentional modulation in extrastriate visual areas","container-title":"Nature neuroscience","page":"671","volume":"2","issue":"7","source":"Google Scholar","author":[{"family":"Chawla","given":"D."},{"family":"Rees","given":"G."},{"family":"Friston","given":"K. J."}],"issued":{"date-parts":[["1999"]]}}},{"id":202,"uris":["http://zotero.org/groups/318634/items/SMQ59N9K"],"uri":["http://zotero.org/groups/318634/items/SMQ59N9K"],"itemData":{"id":202,"type":"article-journal","title":"Feature-based attention influences motion processing gain in macaque visual cortex","container-title":"Nature","page":"575-579","volume":"399","issue":"6736","source":"PubMed","abstract":"Changes in neural responses based on spatial attention have been demonstrated in many areas of visual cortex, indicating that the neural correlate of attention is an enhanced response to stimuli at an attended location and reduced responses to stimuli elsewhere. Here we demonstrate non-spatial, feature-based attentional modulation of visual motion processing, and show that attention increases the gain of direction-selective neurons in visual cortical area MT without narrowing the direction-tuning curves. These findings place important constraints on the neural mechanisms of attention and we propose to unify the effects of spatial location, direction of motion and other features of the attended stimuli in a 'feature similarity gain model' of attention.","DOI":"10.1038/21176","ISSN":"0028-0836","note":"PMID: 10376597","journalAbbreviation":"Nature","language":"eng","author":[{"family":"Treue","given":"S."},{"family":"Martínez Trujillo","given":"J. C."}],"issued":{"date-parts":[["1999",6,10]]}}},{"id":86,"uris":["http://zotero.org/groups/318634/items/7PD29WG9"],"uri":["http://zotero.org/groups/318634/items/7PD29WG9"],"itemData":{"id":86,"type":"article-journal","title":"Task-related modulation of visual cortex","container-title":"Journal of Neurophysiology","page":"3525-3536","volume":"83","issue":"6","source":"PubMed","abstract":"We performed a series of experiments to quantify the effects of task performance on cortical activity in early visual areas. Functional magnetic resonance imaging (fMRI) was used to measure cortical activity in several cortical visual areas including primary visual cortex (V1) and the MT complex (MT+) as subjects performed a variety of threshold-level visual psychophysical tasks. Performing speed, direction, and contrast discrimination tasks produced strong modulations of cortical activity. For example, one experiment tested for selective modulations of MT+ activity as subjects alternated between performing contrast and speed discrimination tasks. MT+ responses modulated in phase with the periods of time during which subjects performed the speed discrimination task; that is, MT+ activity was higher during speed discrimination than during contrast discrimination. Task-related modulations were consistent across repeated measurements in each subject; however, significant individual differences were observed between subjects. Together, the results suggest 1) that specific changes in the cognitive/behavioral state of a subject can exert selective and reliable modulations of cortical activity in early visual cortex, even in V1; 2) that there are significant individual differences in these modulations; and 3) that visual areas and pathways that are highly sensitive to small changes in a given stimulus feature (such as contrast or speed) are selectively modulated during discrimination judgments on that feature. Increasing the gain of the relevant neuronal signals in this way may improve their signal-to-noise to help optimize task performance.","DOI":"10.1152/jn.2000.83.6.3525","ISSN":"0022-3077","note":"PMID: 10848568","journalAbbreviation":"J. Neurophysiol.","language":"eng","author":[{"family":"Huk","given":"A. C."},{"family":"Heeger","given":"D. J."}],"issued":{"date-parts":[["2000",6]]}}}],"schema":"https://github.com/citation-style-language/schema/raw/master/csl-citation.json"} </w:instrText>
      </w:r>
      <w:r w:rsidRPr="00225AB0">
        <w:rPr>
          <w:rFonts w:ascii="Arial" w:hAnsi="Arial" w:cs="Arial"/>
          <w:color w:val="000000" w:themeColor="text1"/>
        </w:rPr>
        <w:fldChar w:fldCharType="separate"/>
      </w:r>
      <w:r w:rsidR="00967B1F" w:rsidRPr="00225AB0">
        <w:rPr>
          <w:rFonts w:ascii="Arial" w:hAnsi="Arial" w:cs="Arial"/>
          <w:color w:val="000000"/>
          <w:lang w:val="en-US"/>
        </w:rPr>
        <w:t>(Beauchamp, Cox, &amp; DeYoe, 1997; Chawla et al., 1999; Corbetta, Miezin, Dobmeyer, Shulman, &amp; Petersen, 1991; Huk &amp; Heeger, 2000; O’Craven et al., 1997; Treue &amp; Martínez Trujillo, 1999)</w:t>
      </w:r>
      <w:r w:rsidRPr="00225AB0">
        <w:rPr>
          <w:rFonts w:ascii="Arial" w:hAnsi="Arial" w:cs="Arial"/>
          <w:color w:val="000000" w:themeColor="text1"/>
        </w:rPr>
        <w:fldChar w:fldCharType="end"/>
      </w:r>
      <w:r w:rsidRPr="00225AB0">
        <w:rPr>
          <w:rFonts w:ascii="Arial" w:hAnsi="Arial" w:cs="Arial"/>
          <w:color w:val="000000" w:themeColor="text1"/>
        </w:rPr>
        <w:t xml:space="preserve">, or increased V4 activity with attention towards chromatic stimuli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{"citationID":"43FIzWwC","properties":{"formattedCitation":"(Chawla et al., 1999; T. Liu, Scott D. Slotnick, Serences, &amp; Yantis, 2003; Schoenfeld et al., 2007)","plainCitation":"(Chawla et al., 1999; T. Liu, Scott D. Slotnick, Serences, &amp; Yantis, 2003; Schoenfeld et al., 2007)","dontUpdate":true,"noteIndex":0},"citationItems":[{"id":274,"uris":["http://zotero.org/groups/318634/items/UGNVMIQK"],"uri":["http://zotero.org/groups/318634/items/UGNVMIQK"],"itemData":{"id":274,"type":"article-journal","title":"The physiological basis of attentional modulation in extrastriate visual areas","container-title":"Nature neuroscience","page":"671","volume":"2","issue":"7","source":"Google Scholar","author":[{"family":"Chawla","given":"D."},{"family":"Rees","given":"G."},{"family":"Friston","given":"K. J."}],"issued":{"date-parts":[["1999"]]}}},{"id":122,"uris":["http://zotero.org/groups/318634/items/GGZJ7S7P"],"uri":["http://zotero.org/groups/318634/items/GGZJ7S7P"],"itemData":{"id":122,"type":"article-journal","title":"Cortical mechanisms of feature-based attentional control","container-title":"Cerebral cortex","page":"1334–1343","volume":"13","issue":"12","source":"Google Scholar","author":[{"family":"Liu","given":"Taosheng"},{"literal":"Scott D. Slotnick"},{"family":"Serences","given":"John T."},{"family":"Yantis","given":"Steven"}],"issued":{"date-parts":[["2003"]]}}},{"id":232,"uris":["http://zotero.org/groups/318634/items/QH8DZ4BM"],"uri":["http://zotero.org/groups/318634/items/QH8DZ4BM"],"itemData":{"id":232,"type":"article-journal","title":"Spatio-temporal analysis of feature-based attention","container-title":"Cerebral Cortex","page":"2468–2477","volume":"17","issue":"10","source":"Google Scholar","author":[{"family":"Schoenfeld","given":"Mircea Ariel"},{"family":"Hopf","given":"Jens-Max"},{"family":"Martinez","given":"A."},{"family":"Mai","given":"H. M."},{"family":"Sattler","given":"Christine"},{"family":"Gasde","given":"A."},{"family":"Heinze","given":"Hans-Jochen"},{"family":"Hillyard","given":"S. A."}],"issued":{"date-parts":[["2007"]]}}}],"schema":"https://github.com/citation-style-language/schema/raw/master/csl-citation.json"} </w:instrText>
      </w:r>
      <w:r w:rsidRPr="00225AB0">
        <w:rPr>
          <w:rFonts w:ascii="Arial" w:hAnsi="Arial" w:cs="Arial"/>
          <w:color w:val="000000" w:themeColor="text1"/>
        </w:rPr>
        <w:fldChar w:fldCharType="separate"/>
      </w:r>
      <w:r w:rsidR="00967B1F" w:rsidRPr="00225AB0">
        <w:rPr>
          <w:rFonts w:ascii="Arial" w:hAnsi="Arial" w:cs="Arial"/>
          <w:noProof/>
          <w:color w:val="000000" w:themeColor="text1"/>
        </w:rPr>
        <w:t>(Chawla et al., 1999; Liu, Slotnick, Serences, &amp; Yantis, 2003; Schoenfeld et al., 2007)</w:t>
      </w:r>
      <w:r w:rsidRPr="00225AB0">
        <w:rPr>
          <w:rFonts w:ascii="Arial" w:hAnsi="Arial" w:cs="Arial"/>
          <w:color w:val="000000" w:themeColor="text1"/>
        </w:rPr>
        <w:fldChar w:fldCharType="end"/>
      </w:r>
      <w:r w:rsidRPr="00225AB0">
        <w:rPr>
          <w:rFonts w:ascii="Arial" w:hAnsi="Arial" w:cs="Arial"/>
          <w:color w:val="000000" w:themeColor="text1"/>
        </w:rPr>
        <w:t xml:space="preserve">. </w:t>
      </w:r>
    </w:p>
    <w:p w14:paraId="598F89CF" w14:textId="77777777" w:rsidR="000C73FA" w:rsidRPr="00225AB0" w:rsidRDefault="000C73FA" w:rsidP="000C73FA">
      <w:pPr>
        <w:spacing w:line="480" w:lineRule="auto"/>
        <w:rPr>
          <w:rFonts w:ascii="Arial" w:hAnsi="Arial" w:cs="Arial"/>
          <w:color w:val="000000" w:themeColor="text1"/>
        </w:rPr>
      </w:pPr>
    </w:p>
    <w:p w14:paraId="72A6B319" w14:textId="0C1234F8" w:rsidR="000C73FA" w:rsidRPr="00225AB0" w:rsidRDefault="000C73FA" w:rsidP="000C73FA">
      <w:pPr>
        <w:spacing w:line="480" w:lineRule="auto"/>
        <w:rPr>
          <w:rFonts w:ascii="Arial" w:hAnsi="Arial" w:cs="Arial"/>
          <w:color w:val="000000" w:themeColor="text1"/>
        </w:rPr>
      </w:pPr>
      <w:r w:rsidRPr="00225AB0">
        <w:rPr>
          <w:rFonts w:ascii="Arial" w:hAnsi="Arial" w:cs="Arial"/>
          <w:color w:val="000000" w:themeColor="text1"/>
        </w:rPr>
        <w:t>Visual psychophysics experiments typically probe isolated and specific aspects of visual processing using highly-controlled visual stimuli such as Gabor patches. Here, we utilise a more recent visual stimulus, the radial frequency (RF)</w:t>
      </w:r>
      <w:r w:rsidRPr="00225AB0">
        <w:rPr>
          <w:rFonts w:ascii="Arial" w:hAnsi="Arial" w:cs="Arial"/>
        </w:rPr>
        <w:t xml:space="preserve"> </w:t>
      </w:r>
      <w:r w:rsidRPr="00225AB0">
        <w:rPr>
          <w:rFonts w:ascii="Arial" w:hAnsi="Arial" w:cs="Arial"/>
          <w:color w:val="000000" w:themeColor="text1"/>
        </w:rPr>
        <w:t xml:space="preserve">pattern </w:t>
      </w:r>
      <w:r w:rsidRPr="00225AB0">
        <w:rPr>
          <w:rFonts w:ascii="Arial" w:hAnsi="Arial" w:cs="Arial"/>
        </w:rPr>
        <w:fldChar w:fldCharType="begin"/>
      </w:r>
      <w:r w:rsidR="005B4361">
        <w:rPr>
          <w:rFonts w:ascii="Arial" w:hAnsi="Arial" w:cs="Arial"/>
        </w:rPr>
        <w:instrText xml:space="preserve"> ADDIN ZOTERO_ITEM CSL_CITATION {"citationID":"xC2UYKda","properties":{"formattedCitation":"(Frances Wilkinson, Wilson, &amp; Habak, 1998b; Wilson &amp; Wilkinson, 1997b)","plainCitation":"(Frances Wilkinson, Wilson, &amp; Habak, 1998b; Wilson &amp; Wilkinson, 1997b)","dontUpdate":true,"noteIndex":0},"citationItems":[{"id":207,"uris":["http://zotero.org/groups/318634/items/X7KGNNN5"],"uri":["http://zotero.org/groups/318634/items/X7KGNNN5"],"itemData":{"id":207,"type":"article-journal","title":"Evolving concepts of spatial channels in vision: from independence to nonlinear interactions","container-title":"Perception","page":"939-960","volume":"26","issue":"8","source":"PubMed","abstract":"By the 1960s it was evident from neuroanatomy that there were extensive recurrent interactions, both excitatory and inhibitory, among visual cortical neurons. Nevertheless, the psychophysical discovery of 'spatial-frequency channels' gave rise to a decade in which parallel, independent channels were thought to subserve early spatial vision. Recent work, however, has clearly demonstrated that early visual channels do not perform a Fourier or wavelet decomposition of the image. Instead, they interact through a variety of nonlinear pooling mechanisms. Such nonlinear interactions perform important computations in texture perception, stereopsis, and motion and form vision.","DOI":"10.1068/p260939","ISSN":"0301-0066","note":"PMID: 9509156","title-short":"Evolving concepts of spatial channels in vision","journalAbbreviation":"Perception","language":"eng","author":[{"family":"Wilson","given":"H. R."},{"family":"Wilkinson","given":"F."}],"issued":{"date-parts":[["1997"]]}}},{"id":212,"uris":["http://zotero.org/groups/318634/items/E6DHL36K"],"uri":["http://zotero.org/groups/318634/items/E6DHL36K"],"itemData":{"id":212,"type":"article-journal","title":"Detection and recognition of radial frequency patterns 1","container-title":"Vision research","page":"3555–3568","volume":"38","issue":"22","source":"Google Scholar","author":[{"family":"Wilkinson","given":"Frances"},{"family":"Wilson","given":"Hugh R."},{"family":"Habak","given":"Claudine"}],"issued":{"date-parts":[["1998"]]}}}],"schema":"https://github.com/citation-style-language/schema/raw/master/csl-citation.json"}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(Wilkinson, Wilson, &amp; Habak, 1998</w:t>
      </w:r>
      <w:r w:rsidR="00C22D84">
        <w:rPr>
          <w:rFonts w:ascii="Arial" w:hAnsi="Arial" w:cs="Arial"/>
          <w:noProof/>
        </w:rPr>
        <w:t>;</w:t>
      </w:r>
      <w:r w:rsidR="00967B1F" w:rsidRPr="00225AB0">
        <w:rPr>
          <w:rFonts w:ascii="Arial" w:hAnsi="Arial" w:cs="Arial"/>
          <w:noProof/>
        </w:rPr>
        <w:t xml:space="preserve"> Wilson &amp; Wilkinson, 1997)</w:t>
      </w:r>
      <w:r w:rsidRPr="00225AB0">
        <w:rPr>
          <w:rFonts w:ascii="Arial" w:hAnsi="Arial" w:cs="Arial"/>
        </w:rPr>
        <w:fldChar w:fldCharType="end"/>
      </w:r>
      <w:r w:rsidRPr="00225AB0">
        <w:rPr>
          <w:rFonts w:ascii="Arial" w:hAnsi="Arial" w:cs="Arial"/>
        </w:rPr>
        <w:t>.</w:t>
      </w:r>
      <w:r w:rsidRPr="00225AB0">
        <w:rPr>
          <w:rFonts w:ascii="Arial" w:hAnsi="Arial" w:cs="Arial"/>
          <w:color w:val="000000" w:themeColor="text1"/>
        </w:rPr>
        <w:t xml:space="preserve"> Whilst, like the Gabor patch, the RF pattern is a highly-controlled low-level visual stimulus, it possess a relative advantage, allowing investigation into shape processing with manipulation of radial amplitude modulation and shape perimeter (for example; </w:t>
      </w:r>
      <w:r w:rsidRPr="00225AB0">
        <w:rPr>
          <w:rFonts w:ascii="Arial" w:hAnsi="Arial" w:cs="Arial"/>
        </w:rPr>
        <w:fldChar w:fldCharType="begin"/>
      </w:r>
      <w:r w:rsidR="005B4361">
        <w:rPr>
          <w:rFonts w:ascii="Arial" w:hAnsi="Arial" w:cs="Arial"/>
        </w:rPr>
        <w:instrText xml:space="preserve"> ADDIN ZOTERO_ITEM CSL_CITATION {"citationID":"1ORVS9pY","properties":{"formattedCitation":"(Wilkinson et al., 1998; Ivanov and Mullen, 2012; Bell et al., 2014; Lawrence et al., 2016)","plainCitation":"(Wilkinson et al., 1998; Ivanov and Mullen, 2012; Bell et al., 2014; Lawrence et al., 2016)","dontUpdate":true,"noteIndex":0},"citationItems":[{"id":212,"uris":["http://zotero.org/groups/318634/items/E6DHL36K"],"uri":["http://zotero.org/groups/318634/items/E6DHL36K"],"itemData":{"id":212,"type":"article-journal","title":"Detection and recognition of radial frequency patterns 1","container-title":"Vision research","page":"3555–3568","volume":"38","issue":"22","source":"Google Scholar","author":[{"family":"Wilkinson","given":"Frances"},{"family":"Wilson","given":"Hugh R."},{"family":"Habak","given":"Claudine"}],"issued":{"date-parts":[["1998"]]}}},{"id":243,"uris":["http://zotero.org/groups/318634/items/AVCHMRX7"],"uri":["http://zotero.org/groups/318634/items/AVCHMRX7"],"itemData":{"id":243,"type":"article-journal","title":"The role of local features in shape discrimination of contour- and surface-defined radial frequency patterns at low contrast","container-title":"Vision Research","page":"1-10","volume":"52","issue":"1","source":"PubMed","abstract":"Shape processing involves a progression from local to global analysis. A key aspect of this is the binding of distributed local features into an overall form followed by the extraction of the shape independently of its local contrast and spatial scales, so enabling the shape to be encoded based on its proportions without reference to its exact size or retinal location. Here we use contour- and surface-defined radial frequency (RF) patterns in a shape discrimination task, previously thought to reflect a global processing stage that has reached contrast and scale invariance. We compare performance across different spatial scales for a wide range of RF patterns (contour spatial frequencies of 0.7-10.0cpd, pattern radii of 0.5-10.5°), and sharp- and smooth-edged surface-RF patterns, all at low contrast (5× detection threshold). We show that shape discrimination thresholds for RF patterns have a complex series of dependencies on stimulus size (radius), contour spatial frequency (thickness) and contrast, with no scale invariance. Our results are at odds with earlier work showing no effect of radius and spatial frequency on discrimination thresholds. We show that this discrepancy can be accounted for by a differential effect of contrast on shape discrimination, with shape invariance only stabilizing at higher contrasts (10-20× threshold).","DOI":"10.1016/j.visres.2011.10.002","ISSN":"1878-5646","note":"PMID: 22037304","journalAbbreviation":"Vision Res.","language":"eng","author":[{"family":"Ivanov","given":"Iliya V."},{"family":"Mullen","given":"Kathy T."}],"issued":{"date-parts":[["2012",1,1]]}}},{"id":89,"uris":["http://zotero.org/groups/318634/items/R5GLRDR6"],"uri":["http://zotero.org/groups/318634/items/R5GLRDR6"],"itemData":{"id":89,"type":"article-journal","title":"Global shape processing involves feature-selective and feature-agnostic coding mechanisms","container-title":"Journal of Vision","volume":"14","issue":"11","source":"PubMed","abstract":"Recent research and modeling proposes that a closed shape is accurately described by both the curvature and angular location of its parts relative to the shape center, implying that the shape is coded along with its overall orientation. We tested this proposition. Radial frequency (RF) patterns were employed as stimuli as they can represent a range of familiar closed shapes and are processed globally. We measured a RF amplitude aftereffect (RFAAE) as a function of the shape orientation difference between adapt and test patterns of the same RF. For RF3 and RF4, RFAAEs were largest when adapt and test patterns were the same orientation, and then linearly decreased as the adaptor was rotated away from the test. RFAAEs did not, however, reach zero, instead plateauing significantly above zero. On the other hand, when adapt and test were of opposite luminance polarity, RFAAEs, although lower than same luminance-polarity RFAAEs, were invariant to differences between adapt and test orientations. Our findings provide evidence for two global shape mechanisms: one that is selective for shape orientation and luminance polarity, and one that is agnostic to these characteristics.","DOI":"10.1167/14.11.12","ISSN":"1534-7362","note":"PMID: 25240064","journalAbbreviation":"J Vis","language":"eng","author":[{"family":"Bell","given":"Jason"},{"family":"Forsyth","given":"Mimosa"},{"family":"Badcock","given":"David R."},{"family":"Kingdom","given":"Frederick A. A."}],"issued":{"date-parts":[["2014",9,19]]}}},{"id":59,"uris":["http://zotero.org/groups/318634/items/8JEHJBX5"],"uri":["http://zotero.org/groups/318634/items/8JEHJBX5"],"itemData":{"id":59,"type":"article-journal","title":"Global shape aftereffects in composite radial frequency patterns","container-title":"Journal of Vision","page":"17–17","volume":"16","issue":"7","source":"Google Scholar","author":[{"family":"Lawrence","given":"Samuel JD"},{"family":"Keefe","given":"Bruce D."},{"family":"Vernon","given":"Richard JW"},{"family":"Wade","given":"Alex R."},{"family":"McKeefry","given":"Declan J."},{"family":"Morland","given":"Antony B."}],"issued":{"date-parts":[["2016"]]}}}],"schema":"https://github.com/citation-style-language/schema/raw/master/csl-citation.json"} </w:instrText>
      </w:r>
      <w:r w:rsidRPr="00225AB0">
        <w:rPr>
          <w:rFonts w:ascii="Arial" w:hAnsi="Arial" w:cs="Arial"/>
        </w:rPr>
        <w:fldChar w:fldCharType="separate"/>
      </w:r>
      <w:r w:rsidRPr="00225AB0">
        <w:rPr>
          <w:rFonts w:ascii="Arial" w:hAnsi="Arial" w:cs="Arial"/>
          <w:noProof/>
        </w:rPr>
        <w:t>Wilkinson et al., 1998; Ivanov and Mullen, 2012; Bell et al., 2014; Lawrence et al., 2016)</w:t>
      </w:r>
      <w:r w:rsidRPr="00225AB0">
        <w:rPr>
          <w:rFonts w:ascii="Arial" w:hAnsi="Arial" w:cs="Arial"/>
        </w:rPr>
        <w:fldChar w:fldCharType="end"/>
      </w:r>
      <w:r w:rsidRPr="00225AB0">
        <w:rPr>
          <w:rFonts w:ascii="Arial" w:hAnsi="Arial" w:cs="Arial"/>
        </w:rPr>
        <w:t xml:space="preserve">. Additionally, combinations of multiple RF patterns are considered to more-closely reflect ‘real-world’ visual stimuli than other more traditional stimuli </w:t>
      </w:r>
      <w:r w:rsidRPr="00225AB0">
        <w:rPr>
          <w:rFonts w:ascii="Arial" w:hAnsi="Arial" w:cs="Arial"/>
        </w:rPr>
        <w:fldChar w:fldCharType="begin"/>
      </w:r>
      <w:r w:rsidR="005B4361">
        <w:rPr>
          <w:rFonts w:ascii="Arial" w:hAnsi="Arial" w:cs="Arial"/>
        </w:rPr>
        <w:instrText xml:space="preserve"> ADDIN ZOTERO_ITEM CSL_CITATION {"citationID":"GaMqMqNp","properties":{"formattedCitation":"(Lawrence et al., 2016)","plainCitation":"(Lawrence et al., 2016)","noteIndex":0},"citationItems":[{"id":59,"uris":["http://zotero.org/groups/318634/items/8JEHJBX5"],"uri":["http://zotero.org/groups/318634/items/8JEHJBX5"],"itemData":{"id":59,"type":"article-journal","title":"Global shape aftereffects in composite radial frequency patterns","container-title":"Journal of Vision","page":"17–17","volume":"16","issue":"7","source":"Google Scholar","author":[{"family":"Lawrence","given":"Samuel JD"},{"family":"Keefe","given":"Bruce D."},{"family":"Vernon","given":"Richard JW"},{"family":"Wade","given":"Alex R."},{"family":"McKeefry","given":"Declan J."},{"family":"Morland","given":"Antony B."}],"issued":{"date-parts":[["2016"]]}}}],"schema":"https://github.com/citation-style-language/schema/raw/master/csl-citation.json"} </w:instrText>
      </w:r>
      <w:r w:rsidRPr="00225AB0">
        <w:rPr>
          <w:rFonts w:ascii="Arial" w:hAnsi="Arial" w:cs="Arial"/>
        </w:rPr>
        <w:fldChar w:fldCharType="separate"/>
      </w:r>
      <w:r w:rsidRPr="00225AB0">
        <w:rPr>
          <w:rFonts w:ascii="Arial" w:hAnsi="Arial" w:cs="Arial"/>
          <w:noProof/>
        </w:rPr>
        <w:t>(Lawrence et al., 2016)</w:t>
      </w:r>
      <w:r w:rsidRPr="00225AB0">
        <w:rPr>
          <w:rFonts w:ascii="Arial" w:hAnsi="Arial" w:cs="Arial"/>
        </w:rPr>
        <w:fldChar w:fldCharType="end"/>
      </w:r>
      <w:r w:rsidRPr="00225AB0">
        <w:rPr>
          <w:rFonts w:ascii="Arial" w:hAnsi="Arial" w:cs="Arial"/>
        </w:rPr>
        <w:t>.</w:t>
      </w:r>
    </w:p>
    <w:p w14:paraId="0031AB50" w14:textId="77777777" w:rsidR="000C73FA" w:rsidRPr="00225AB0" w:rsidRDefault="000C73FA" w:rsidP="000C73FA">
      <w:pPr>
        <w:spacing w:line="480" w:lineRule="auto"/>
        <w:rPr>
          <w:rFonts w:ascii="Arial" w:hAnsi="Arial" w:cs="Arial"/>
          <w:color w:val="000000" w:themeColor="text1"/>
        </w:rPr>
      </w:pPr>
    </w:p>
    <w:p w14:paraId="0C85DED4" w14:textId="0176518C" w:rsidR="000C73FA" w:rsidRPr="00225AB0" w:rsidRDefault="000C73FA" w:rsidP="000C73FA">
      <w:pPr>
        <w:spacing w:line="480" w:lineRule="auto"/>
        <w:rPr>
          <w:rFonts w:ascii="Arial" w:hAnsi="Arial" w:cs="Arial"/>
          <w:color w:val="000000" w:themeColor="text1"/>
        </w:rPr>
      </w:pPr>
      <w:r w:rsidRPr="00225AB0">
        <w:rPr>
          <w:rFonts w:ascii="Arial" w:hAnsi="Arial" w:cs="Arial"/>
          <w:color w:val="000000" w:themeColor="text1"/>
        </w:rPr>
        <w:t xml:space="preserve">We planned to utilise these RF patterns as a method of probing the cortical regions and networks involved in encoding, processing and switching attention between different low-level visual features. However, very little </w:t>
      </w:r>
      <w:r w:rsidRPr="00225AB0">
        <w:rPr>
          <w:rFonts w:ascii="Arial" w:hAnsi="Arial" w:cs="Arial"/>
          <w:color w:val="000000" w:themeColor="text1"/>
        </w:rPr>
        <w:lastRenderedPageBreak/>
        <w:t xml:space="preserve">research has specifically investigated attentional mechanisms using RF pattern stimuli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{"citationID":"QTrydYop","properties":{"formattedCitation":"(Smith et al., 2009)","plainCitation":"(Smith et al., 2009)","dontUpdate":true,"noteIndex":0},"citationItems":[{"id":80,"uris":["http://zotero.org/groups/318634/items/V9EHZYI7"],"uri":["http://zotero.org/groups/318634/items/V9EHZYI7"],"itemData":{"id":80,"type":"article-journal","title":"Attention and the detection of masked radial frequency patterns: Data and model","container-title":"Vision Research","collection-title":"Visual Attention: Psychophysics, electrophysiology and neuroimaging","page":"1363-1377","volume":"49","issue":"10","source":"ScienceDirect","abstract":"A radial frequency (RF) stimulus is strongly masked by a second, surrounding RF stimulus that follows the first after a critical stimulus onset asynchrony (SOA) of around 100ms. We sought to determine whether a mask-dependent attentional cuing effect, like that found when detecting pattern-masked sinusoidal gratings, would be obtained with RF stimuli. Observers detected RF modulations in cued or miscued stimuli that were masked with a simultaneous (SIM) RF mask or a delayed (SUC) RF mask that followed it after 100ms. There were large cuing effects in the SUC condition and small cuing effects in the SIM condition, replicating previous findings. The data are well described by a model in which masks affect the informational persistence of stimuli and cues affect the rate at which stimulus information is transferred into visual short-term memory.","DOI":"10.1016/j.visres.2008.04.024","ISSN":"0042-6989","title-short":"Attention and the detection of masked radial frequency patterns","journalAbbreviation":"Vision Research","author":[{"family":"Smith","given":"Philip L."},{"family":"Lee","given":"Young-Eun"},{"family":"Wolfgang","given":"Bradley J."},{"family":"Ratcliff","given":"Roger"}],"issued":{"date-parts":[["2009",6,2]]}}}],"schema":"https://github.com/citation-style-language/schema/raw/master/csl-citation.json"}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(see Smith et al., 2009)</w:t>
      </w:r>
      <w:r w:rsidRPr="00225AB0">
        <w:rPr>
          <w:rFonts w:ascii="Arial" w:hAnsi="Arial" w:cs="Arial"/>
          <w:color w:val="000000" w:themeColor="text1"/>
        </w:rPr>
        <w:fldChar w:fldCharType="end"/>
      </w:r>
      <w:r w:rsidRPr="00225AB0">
        <w:rPr>
          <w:rFonts w:ascii="Arial" w:hAnsi="Arial" w:cs="Arial"/>
          <w:color w:val="000000" w:themeColor="text1"/>
        </w:rPr>
        <w:t xml:space="preserve">. Hence, there is little evidence to substantiate the use of RF patterns an effective stimulus to probe visual attention. As such, we conducted a psychophysics study aiming to replicate a key finding </w:t>
      </w:r>
      <w:r w:rsidR="00D44AC6">
        <w:rPr>
          <w:rFonts w:ascii="Arial" w:hAnsi="Arial" w:cs="Arial"/>
          <w:color w:val="000000" w:themeColor="text1"/>
        </w:rPr>
        <w:t>in</w:t>
      </w:r>
      <w:r w:rsidRPr="00225AB0">
        <w:rPr>
          <w:rFonts w:ascii="Arial" w:hAnsi="Arial" w:cs="Arial"/>
          <w:color w:val="000000" w:themeColor="text1"/>
        </w:rPr>
        <w:t xml:space="preserve"> the attentional literature, to assess the effectiveness of RF patterns as a stimulus to probe attention to low-level visual features.  </w:t>
      </w:r>
    </w:p>
    <w:p w14:paraId="06C2186D" w14:textId="77777777" w:rsidR="000C73FA" w:rsidRPr="00225AB0" w:rsidRDefault="000C73FA" w:rsidP="000C73FA">
      <w:pPr>
        <w:spacing w:line="480" w:lineRule="auto"/>
        <w:rPr>
          <w:rFonts w:ascii="Arial" w:hAnsi="Arial" w:cs="Arial"/>
          <w:color w:val="000000" w:themeColor="text1"/>
        </w:rPr>
      </w:pPr>
    </w:p>
    <w:p w14:paraId="5F2FD24C" w14:textId="4D0D3DB8" w:rsidR="000C73FA" w:rsidRPr="00225AB0" w:rsidRDefault="000C73FA" w:rsidP="000C73FA">
      <w:pPr>
        <w:spacing w:line="480" w:lineRule="auto"/>
        <w:rPr>
          <w:rFonts w:ascii="Arial" w:hAnsi="Arial" w:cs="Arial"/>
          <w:color w:val="000000" w:themeColor="text1"/>
        </w:rPr>
      </w:pPr>
      <w:r w:rsidRPr="00225AB0">
        <w:rPr>
          <w:rFonts w:ascii="Arial" w:hAnsi="Arial" w:cs="Arial"/>
          <w:color w:val="000000" w:themeColor="text1"/>
        </w:rPr>
        <w:t xml:space="preserve">The selective versus divided attentional paradigm compares participants change detection accuracy between conditions in which their attention is directed towards a </w:t>
      </w:r>
      <w:r w:rsidR="005E4376">
        <w:rPr>
          <w:rFonts w:ascii="Arial" w:hAnsi="Arial" w:cs="Arial"/>
          <w:color w:val="000000" w:themeColor="text1"/>
        </w:rPr>
        <w:t>single</w:t>
      </w:r>
      <w:r w:rsidRPr="00225AB0">
        <w:rPr>
          <w:rFonts w:ascii="Arial" w:hAnsi="Arial" w:cs="Arial"/>
          <w:color w:val="000000" w:themeColor="text1"/>
        </w:rPr>
        <w:t xml:space="preserve"> visual feature, versus a condition where participants must divide their attention across multiple visual features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{"citationID":"18C1ptLz","properties":{"formattedCitation":"(Maurizio Corbetta, Miezin, Dobmeyer, Shulman, &amp; Petersen, 1990)","plainCitation":"(Maurizio Corbetta, Miezin, Dobmeyer, Shulman, &amp; Petersen, 1990)","dontUpdate":true,"noteIndex":0},"citationItems":[{"id":128,"uris":["http://zotero.org/groups/318634/items/LHCBHC5P"],"uri":["http://zotero.org/groups/318634/items/LHCBHC5P"],"itemData":{"id":128,"type":"article-journal","title":"Attentional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E."}],"issued":{"date-parts":[["1990"]]}}}],"schema":"https://github.com/citation-style-language/schema/raw/master/csl-citation.json"} </w:instrText>
      </w:r>
      <w:r w:rsidRPr="00225AB0">
        <w:rPr>
          <w:rFonts w:ascii="Arial" w:hAnsi="Arial" w:cs="Arial"/>
          <w:color w:val="000000" w:themeColor="text1"/>
        </w:rPr>
        <w:fldChar w:fldCharType="separate"/>
      </w:r>
      <w:r w:rsidR="00C22D84">
        <w:rPr>
          <w:rFonts w:ascii="Arial" w:hAnsi="Arial" w:cs="Arial"/>
          <w:noProof/>
          <w:color w:val="000000" w:themeColor="text1"/>
        </w:rPr>
        <w:t>(</w:t>
      </w:r>
      <w:r w:rsidR="00967B1F" w:rsidRPr="00225AB0">
        <w:rPr>
          <w:rFonts w:ascii="Arial" w:hAnsi="Arial" w:cs="Arial"/>
          <w:noProof/>
          <w:color w:val="000000" w:themeColor="text1"/>
        </w:rPr>
        <w:t>Corbetta, Miezin, Dobmeyer, Shulman, &amp; Petersen, 1990)</w:t>
      </w:r>
      <w:r w:rsidRPr="00225AB0">
        <w:rPr>
          <w:rFonts w:ascii="Arial" w:hAnsi="Arial" w:cs="Arial"/>
          <w:color w:val="000000" w:themeColor="text1"/>
        </w:rPr>
        <w:fldChar w:fldCharType="end"/>
      </w:r>
      <w:r w:rsidRPr="00225AB0">
        <w:rPr>
          <w:rFonts w:ascii="Arial" w:hAnsi="Arial" w:cs="Arial"/>
          <w:color w:val="000000" w:themeColor="text1"/>
        </w:rPr>
        <w:t xml:space="preserve">. In their original experiment,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{"citationID":"9MBV3itj","properties":{"formattedCitation":"(Corbetta et al., 1990)","plainCitation":"(Corbetta et al., 1990)","dontUpdate":true,"noteIndex":0},"citationItems":[{"id":128,"uris":["http://zotero.org/groups/318634/items/LHCBHC5P"],"uri":["http://zotero.org/groups/318634/items/LHCBHC5P"],"itemData":{"id":128,"type":"article-journal","title":"Attentional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Corbetta et al., (1990)</w:t>
      </w:r>
      <w:r w:rsidRPr="00225AB0">
        <w:rPr>
          <w:rFonts w:ascii="Arial" w:hAnsi="Arial" w:cs="Arial"/>
          <w:color w:val="000000" w:themeColor="text1"/>
        </w:rPr>
        <w:fldChar w:fldCharType="end"/>
      </w:r>
      <w:r w:rsidRPr="00225AB0">
        <w:rPr>
          <w:rFonts w:ascii="Arial" w:hAnsi="Arial" w:cs="Arial"/>
          <w:color w:val="000000" w:themeColor="text1"/>
        </w:rPr>
        <w:t xml:space="preserve"> presented participants with consecutive frames of randomly dispersed bars moving leftwards or rightwards as a collective. The bars could vary in shape, colour and/or velocity between frames. Participants attention was directed toward a specific stimulus feature (for example, colour), and they were asked to make </w:t>
      </w:r>
      <w:r w:rsidR="00A3496F">
        <w:rPr>
          <w:rFonts w:ascii="Arial" w:hAnsi="Arial" w:cs="Arial"/>
          <w:color w:val="000000" w:themeColor="text1"/>
        </w:rPr>
        <w:t>yes/no</w:t>
      </w:r>
      <w:r w:rsidR="00A3496F" w:rsidRPr="00225AB0">
        <w:rPr>
          <w:rFonts w:ascii="Arial" w:hAnsi="Arial" w:cs="Arial"/>
          <w:color w:val="000000" w:themeColor="text1"/>
        </w:rPr>
        <w:t xml:space="preserve"> </w:t>
      </w:r>
      <w:r w:rsidRPr="00225AB0">
        <w:rPr>
          <w:rFonts w:ascii="Arial" w:hAnsi="Arial" w:cs="Arial"/>
          <w:color w:val="000000" w:themeColor="text1"/>
        </w:rPr>
        <w:t xml:space="preserve">choice judgements regarding the presence/absence of a change in the </w:t>
      </w:r>
      <w:r w:rsidRPr="00225AB0">
        <w:rPr>
          <w:rFonts w:ascii="Arial" w:hAnsi="Arial" w:cs="Arial"/>
          <w:i/>
          <w:color w:val="000000" w:themeColor="text1"/>
        </w:rPr>
        <w:t>attended</w:t>
      </w:r>
      <w:r w:rsidRPr="00225AB0">
        <w:rPr>
          <w:rFonts w:ascii="Arial" w:hAnsi="Arial" w:cs="Arial"/>
          <w:color w:val="000000" w:themeColor="text1"/>
        </w:rPr>
        <w:t xml:space="preserve"> stimulus between two frames (same/different). For example, a change in only the shape of the bars between frames in an ‘attend to colour’ trial should be reported as ‘same’, as no change in the attended feature occurred. In a separate condition, participants divided their attention across multiple stimulus dimensions, making </w:t>
      </w:r>
      <w:r w:rsidR="00A3496F">
        <w:rPr>
          <w:rFonts w:ascii="Arial" w:hAnsi="Arial" w:cs="Arial"/>
          <w:color w:val="000000" w:themeColor="text1"/>
        </w:rPr>
        <w:t>yes/no</w:t>
      </w:r>
      <w:r w:rsidRPr="00225AB0">
        <w:rPr>
          <w:rFonts w:ascii="Arial" w:hAnsi="Arial" w:cs="Arial"/>
          <w:color w:val="000000" w:themeColor="text1"/>
        </w:rPr>
        <w:t xml:space="preserve"> judgements to indicate the presence or absence of a change in at least one of the attended features between frames. </w:t>
      </w:r>
    </w:p>
    <w:p w14:paraId="48A38DD8" w14:textId="77777777" w:rsidR="000C73FA" w:rsidRPr="00225AB0" w:rsidRDefault="000C73FA" w:rsidP="000C73FA">
      <w:pPr>
        <w:spacing w:line="480" w:lineRule="auto"/>
        <w:rPr>
          <w:rFonts w:ascii="Arial" w:hAnsi="Arial" w:cs="Arial"/>
          <w:color w:val="000000" w:themeColor="text1"/>
        </w:rPr>
      </w:pPr>
    </w:p>
    <w:p w14:paraId="4585816B" w14:textId="4229824A" w:rsidR="000C73FA" w:rsidRPr="00225AB0" w:rsidRDefault="000C73FA" w:rsidP="000C73FA">
      <w:pPr>
        <w:spacing w:line="480" w:lineRule="auto"/>
        <w:rPr>
          <w:rFonts w:ascii="Arial" w:hAnsi="Arial" w:cs="Arial"/>
          <w:color w:val="000000" w:themeColor="text1"/>
        </w:rPr>
      </w:pPr>
      <w:r w:rsidRPr="00225AB0">
        <w:rPr>
          <w:rFonts w:ascii="Arial" w:hAnsi="Arial" w:cs="Arial"/>
          <w:color w:val="000000" w:themeColor="text1"/>
        </w:rPr>
        <w:lastRenderedPageBreak/>
        <w:t xml:space="preserve">It is widely noted that change detection accuracy for detecting small changes in a visual feature is greater with selective attention (directed toward a </w:t>
      </w:r>
      <w:r w:rsidR="005E4376">
        <w:rPr>
          <w:rFonts w:ascii="Arial" w:hAnsi="Arial" w:cs="Arial"/>
          <w:color w:val="000000" w:themeColor="text1"/>
        </w:rPr>
        <w:t>single</w:t>
      </w:r>
      <w:r w:rsidRPr="00225AB0">
        <w:rPr>
          <w:rFonts w:ascii="Arial" w:hAnsi="Arial" w:cs="Arial"/>
          <w:color w:val="000000" w:themeColor="text1"/>
        </w:rPr>
        <w:t xml:space="preserve"> stimulus dimension) than when presented with the same stimulus, with attention divided across multiple stimulus attributes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{"citationID":"zaGfhjCP","properties":{"formattedCitation":"(M. Corbetta et al., 1991; Maurizio Corbetta et al., 1990)","plainCitation":"(M. Corbetta et al., 1991; Maurizio Corbetta et al., 1990)","dontUpdate":true,"noteIndex":0},"citationItems":[{"id":128,"uris":["http://zotero.org/groups/318634/items/LHCBHC5P"],"uri":["http://zotero.org/groups/318634/items/LHCBHC5P"],"itemData":{"id":128,"type":"article-journal","title":"Attentional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E."}],"issued":{"date-parts":[["1990"]]}}},{"id":88,"uris":["http://zotero.org/groups/318634/items/2CXE5HB4"],"uri":["http://zotero.org/groups/318634/items/2CXE5HB4"],"itemData":{"id":88,"type":"article-journal","title":"Selective and divided attention during visual discriminations of shape, color, and speed: functional anatomy by positron emission tomography","container-title":"The Journal of Neuroscience: The Official Journal of the Society for Neuroscience","page":"2383-2402","volume":"11","issue":"8","source":"PubMed","abstract":"Positron emission tomography (PET) was used to identify the neural systems involved in discriminating the shape, color, and speed of a visual stimulus under conditions of selective and divided attention. Psychophysical evidence indicated that the sensitivity for discriminating subtle stimulus changes in a same-different matching task was higher when subjects selectively attended to one attribute than when they divided attention among the attributes. PET measurements of brain activity indicated that modulations of extrastriate visual activity were primarily produced by task conditions of selective attention. Attention to speed activated a region in the left inferior parietal lobule. Attention to color activated a region in the collateral sulcus and dorsolateral occipital cortex, while attention to shape activated collateral sulcus (similarly to color), fusiform and parahippocampal gyri, and temporal cortex along the superior temporal sulcus. Outside the visual system, selective and divided attention activated nonoverlapping sets of brain regions. Selective conditions activated globus pallidus, caudate nucleus, lateral orbitofrontal cortex, posterior thalamus/colliculus, and insular-premotor regions, while the divided condition activated the anterior cingulate and dorsolateral prefrontal cortex. The results in the visual system demonstrate that selective attention to different features modulates activity in distinct regions of extrastriate cortex that appear to be specialized for processing the selected feature. The disjoint pattern of activations in extravisual brain regions during selective- and divided-attention conditions also suggests that preceptual judgements involve different neural systems, depending on attentional strategies.","ISSN":"0270-6474","note":"PMID: 1869921","title-short":"Selective and divided attention during visual discriminations of shape, color, and speed","journalAbbreviation":"J. Neurosci.","language":"eng","author":[{"family":"Corbetta","given":"M."},{"family":"Miezin","given":"F. M."},{"family":"Dobmeyer","given":"S."},{"family":"Shulman","given":"G. L."},{"family":"Petersen","given":"S. E."}],"issued":{"date-parts":[["1991",8]]}}}],"schema":"https://github.com/citation-style-language/schema/raw/master/csl-citation.json"} </w:instrText>
      </w:r>
      <w:r w:rsidRPr="00225AB0">
        <w:rPr>
          <w:rFonts w:ascii="Arial" w:hAnsi="Arial" w:cs="Arial"/>
          <w:color w:val="000000" w:themeColor="text1"/>
        </w:rPr>
        <w:fldChar w:fldCharType="separate"/>
      </w:r>
      <w:r w:rsidR="00E2165A">
        <w:rPr>
          <w:rFonts w:ascii="Arial" w:hAnsi="Arial" w:cs="Arial"/>
          <w:noProof/>
          <w:color w:val="000000" w:themeColor="text1"/>
        </w:rPr>
        <w:t>(</w:t>
      </w:r>
      <w:r w:rsidR="00967B1F" w:rsidRPr="00225AB0">
        <w:rPr>
          <w:rFonts w:ascii="Arial" w:hAnsi="Arial" w:cs="Arial"/>
          <w:noProof/>
          <w:color w:val="000000" w:themeColor="text1"/>
        </w:rPr>
        <w:t>Corbetta et al., 1991; Corbetta et al., 1990)</w:t>
      </w:r>
      <w:r w:rsidRPr="00225AB0">
        <w:rPr>
          <w:rFonts w:ascii="Arial" w:hAnsi="Arial" w:cs="Arial"/>
          <w:color w:val="000000" w:themeColor="text1"/>
        </w:rPr>
        <w:fldChar w:fldCharType="end"/>
      </w:r>
      <w:r w:rsidRPr="00225AB0">
        <w:rPr>
          <w:rFonts w:ascii="Arial" w:hAnsi="Arial" w:cs="Arial"/>
          <w:color w:val="000000" w:themeColor="text1"/>
        </w:rPr>
        <w:t xml:space="preserve">. A longer response time has also been identified in </w:t>
      </w:r>
      <w:r w:rsidR="00E2165A">
        <w:rPr>
          <w:rFonts w:ascii="Arial" w:hAnsi="Arial" w:cs="Arial"/>
          <w:color w:val="000000" w:themeColor="text1"/>
        </w:rPr>
        <w:t>divided</w:t>
      </w:r>
      <w:r w:rsidRPr="00225AB0">
        <w:rPr>
          <w:rFonts w:ascii="Arial" w:hAnsi="Arial" w:cs="Arial"/>
          <w:color w:val="000000" w:themeColor="text1"/>
        </w:rPr>
        <w:t xml:space="preserve"> versus focused attention tasks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{"citationID":"hqLd8YtE","properties":{"formattedCitation":"(Ninio and Kahneman, 1974; Hahn et al., 2008)","plainCitation":"(Ninio and Kahneman, 1974; Hahn et al., 2008)","dontUpdate":true,"noteIndex":0},"citationItems":[{"id":76,"uris":["http://zotero.org/groups/318634/items/ZAKM3HTF"],"uri":["http://zotero.org/groups/318634/items/ZAKM3HTF"],"itemData":{"id":76,"type":"article-journal","title":"Reaction time in focused and in divided attention","container-title":"Journal of Experimental Psychology","page":"394-399","volume":"103","issue":"3","source":"APA PsycNET","abstract":"Undergraduates listened to dichotic lists of words and responded to animal names by pressing a key. Group 1 (36 Ss) performed in a condition of focused attention to one of the messages and in a condition of divided attention, where both messages were relevant. Group 2 (8 Ss) performed in focused attention and in a single-message condition. It was found that there were many more omissions in divided than in focused attention, and mean reaction time (RT) was prolonged. There was no difference in RT between focused attention and the single-message condition. The occurrence of an animal name in the irrelevant message occasionally caused errors. Results are consistent with an effort theory of attention. (18 ref) (PsycINFO Database Record (c) 2016 APA, all rights reserved)","DOI":"10.1037/h0037202","ISSN":"0022-1015(Print)","author":[{"family":"Ninio","given":"Anat"},{"family":"Kahneman","given":"Daniel"}],"issued":{"date-parts":[["1974"]]}}},{"id":79,"uris":["http://zotero.org/groups/318634/items/5A3VZA88"],"uri":["http://zotero.org/groups/318634/items/5A3VZA88"],"itemData":{"id":79,"type":"article-journal","title":"Divided versus selective attention: evidence for common processing mechanisms","container-title":"Brain research","page":"137-146","volume":"1215","source":"PubMed Central","abstract":"The current study revisited the question of whether there are brain mechanisms specific to divided attention that differ from those used in selective attention. Increased neuronal activity required to simultaneously process two stimulus dimensions as compared with each separate dimension has often been observed, but rarely has activity induced by a divided attention condition exceeded the sum of activity induced by the component tasks. Healthy participants performed a selective-divided attention paradigm while undergoing functional Magnetic Resonance Imaging (fMRI). The task required participants to make a same-different judgment about either one of two simultaneously presented stimulus dimensions, or about both dimensions. Performance accuracy was equated between tasks by dynamically adjusting the stimulus display time. Blood Oxygenation Level Dependent (BOLD) signal differences between tasks were identified by whole-brain voxel-wise comparisons and by region-specific analyses of all areas modulated by the divided attention task (DIV). No region displayed greater activation or deactivation by DIV than the sum of signal change by the two selective attention tasks. Instead, regional activity followed the tasks’ processing demands as reflected by reaction time. Only a left cerebellar region displayed a correlation between participants’ BOLD signal intensity and reaction time that was selective for DIV. The correlation was positive, reflecting slower responding with greater activation. Overall, the findings do not support the existence of functional brain activity specific to DIV. Increased activity appears to reflect additional processing demands by introducing a secondary task, but those demands do not appear to qualitatively differ from processes of selective attention.","DOI":"10.1016/j.brainres.2008.03.058","ISSN":"0006-8993","note":"PMID: 18479670\nPMCID: PMC2497334","title-short":"Divided versus selective attention","journalAbbreviation":"Brain Res","author":[{"family":"Hahn","given":"Britta"},{"family":"Wolkenberg","given":"Frank A."},{"family":"Ross","given":"Thomas J."},{"family":"Myers","given":"Carol S."},{"family":"Heishman","given":"Stephen J."},{"family":"Stein","given":"Dan J."},{"family":"Kurup","given":"Pradeep K."},{"family":"Stein","given":"Elliot A."}],"issued":{"date-parts":[["2008",6,18]]}}}],"schema":"https://github.com/citation-style-language/schema/raw/master/csl-citation.json"}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(e.g. Ninio and Kahneman, 1974; Hahn et al., 2008)</w:t>
      </w:r>
      <w:r w:rsidRPr="00225AB0">
        <w:rPr>
          <w:rFonts w:ascii="Arial" w:hAnsi="Arial" w:cs="Arial"/>
          <w:color w:val="000000" w:themeColor="text1"/>
        </w:rPr>
        <w:fldChar w:fldCharType="end"/>
      </w:r>
      <w:r w:rsidRPr="00225AB0">
        <w:rPr>
          <w:rFonts w:ascii="Arial" w:hAnsi="Arial" w:cs="Arial"/>
          <w:color w:val="000000" w:themeColor="text1"/>
        </w:rPr>
        <w:t xml:space="preserve">. This deficit likely reflects the limited processing capacity humans possess; when we divide attention across multiple features, we must split or rapidly shift our attentional focus, limiting the resources we have available for the detection of change in any </w:t>
      </w:r>
      <w:r w:rsidR="005E4376">
        <w:rPr>
          <w:rFonts w:ascii="Arial" w:hAnsi="Arial" w:cs="Arial"/>
          <w:color w:val="000000" w:themeColor="text1"/>
        </w:rPr>
        <w:t>single</w:t>
      </w:r>
      <w:r w:rsidRPr="00225AB0">
        <w:rPr>
          <w:rFonts w:ascii="Arial" w:hAnsi="Arial" w:cs="Arial"/>
          <w:color w:val="000000" w:themeColor="text1"/>
        </w:rPr>
        <w:t xml:space="preserve"> feature simultaneously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{"citationID":"IMH4r8Jk","properties":{"formattedCitation":"(Broadbent, 1958; Parasuraman, 1998; Hahn et al., 2008)","plainCitation":"(Broadbent, 1958; Parasuraman, 1998; Hahn et al., 2008)","dontUpdate":true,"noteIndex":0},"citationItems":[{"id":78,"uris":["http://zotero.org/groups/318634/items/8DGME2TB"],"uri":["http://zotero.org/groups/318634/items/8DGME2TB"],"itemData":{"id":78,"type":"book","title":"Perception and Communication","publisher":"Plenum Press","publisher-place":"London","event-place":"London","ISBN":"1-4832-2582-8","author":[{"family":"Broadbent","given":"Donald Eric"}],"issued":{"date-parts":[["1958"]]}}},{"id":77,"uris":["http://zotero.org/groups/318634/items/VEDK8JZ7"],"uri":["http://zotero.org/groups/318634/items/VEDK8JZ7"],"itemData":{"id":77,"type":"chapter","title":"The attentive brain: issues and prospects","container-title":"The Attentive Brain","publisher":"Mit Press","publisher-place":"Cambridge, Massachusetts","page":"3-15","event-place":"Cambridge, Massachusetts","ISBN":"0-262-66112-8","author":[{"family":"Parasuraman","given":"Raja"}],"issued":{"date-parts":[["1998"]]}}},{"id":79,"uris":["http://zotero.org/groups/318634/items/5A3VZA88"],"uri":["http://zotero.org/groups/318634/items/5A3VZA88"],"itemData":{"id":79,"type":"article-journal","title":"Divided versus selective attention: evidence for common processing mechanisms","container-title":"Brain research","page":"137-146","volume":"1215","source":"PubMed Central","abstract":"The current study revisited the question of whether there are brain mechanisms specific to divided attention that differ from those used in selective attention. Increased neuronal activity required to simultaneously process two stimulus dimensions as compared with each separate dimension has often been observed, but rarely has activity induced by a divided attention condition exceeded the sum of activity induced by the component tasks. Healthy participants performed a selective-divided attention paradigm while undergoing functional Magnetic Resonance Imaging (fMRI). The task required participants to make a same-different judgment about either one of two simultaneously presented stimulus dimensions, or about both dimensions. Performance accuracy was equated between tasks by dynamically adjusting the stimulus display time. Blood Oxygenation Level Dependent (BOLD) signal differences between tasks were identified by whole-brain voxel-wise comparisons and by region-specific analyses of all areas modulated by the divided attention task (DIV). No region displayed greater activation or deactivation by DIV than the sum of signal change by the two selective attention tasks. Instead, regional activity followed the tasks’ processing demands as reflected by reaction time. Only a left cerebellar region displayed a correlation between participants’ BOLD signal intensity and reaction time that was selective for DIV. The correlation was positive, reflecting slower responding with greater activation. Overall, the findings do not support the existence of functional brain activity specific to DIV. Increased activity appears to reflect additional processing demands by introducing a secondary task, but those demands do not appear to qualitatively differ from processes of selective attention.","DOI":"10.1016/j.brainres.2008.03.058","ISSN":"0006-8993","note":"PMID: 18479670\nPMCID: PMC2497334","title-short":"Divided versus selective attention","journalAbbreviation":"Brain Res","author":[{"family":"Hahn","given":"Britta"},{"family":"Wolkenberg","given":"Frank A."},{"family":"Ross","given":"Thomas J."},{"family":"Myers","given":"Carol S."},{"family":"Heishman","given":"Stephen J."},{"family":"Stein","given":"Dan J."},{"family":"Kurup","given":"Pradeep K."},{"family":"Stein","given":"Elliot A."}],"issued":{"date-parts":[["2008",6,18]]}}}],"schema":"https://github.com/citation-style-language/schema/raw/master/csl-citation.json"}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(Broadbent, 1958; Parasuraman, 1998)</w:t>
      </w:r>
      <w:r w:rsidRPr="00225AB0">
        <w:rPr>
          <w:rFonts w:ascii="Arial" w:hAnsi="Arial" w:cs="Arial"/>
          <w:color w:val="000000" w:themeColor="text1"/>
        </w:rPr>
        <w:fldChar w:fldCharType="end"/>
      </w:r>
      <w:r w:rsidRPr="00225AB0">
        <w:rPr>
          <w:rFonts w:ascii="Arial" w:hAnsi="Arial" w:cs="Arial"/>
          <w:color w:val="000000" w:themeColor="text1"/>
        </w:rPr>
        <w:t xml:space="preserve">. </w:t>
      </w:r>
    </w:p>
    <w:p w14:paraId="2DC2B991" w14:textId="77777777" w:rsidR="000C73FA" w:rsidRPr="00225AB0" w:rsidRDefault="000C73FA" w:rsidP="000C73FA">
      <w:pPr>
        <w:spacing w:line="480" w:lineRule="auto"/>
        <w:rPr>
          <w:rFonts w:ascii="Arial" w:hAnsi="Arial" w:cs="Arial"/>
          <w:color w:val="000000" w:themeColor="text1"/>
        </w:rPr>
      </w:pPr>
    </w:p>
    <w:p w14:paraId="2255C565" w14:textId="4D781FDB" w:rsidR="00455E2F" w:rsidRDefault="000C73FA" w:rsidP="000C73FA">
      <w:pPr>
        <w:spacing w:line="480" w:lineRule="auto"/>
        <w:rPr>
          <w:rFonts w:ascii="Arial" w:hAnsi="Arial" w:cs="Arial"/>
          <w:color w:val="000000" w:themeColor="text1"/>
        </w:rPr>
      </w:pPr>
      <w:r w:rsidRPr="00225AB0">
        <w:rPr>
          <w:rFonts w:ascii="Arial" w:hAnsi="Arial" w:cs="Arial"/>
          <w:color w:val="000000" w:themeColor="text1"/>
        </w:rPr>
        <w:t xml:space="preserve">We aimed to replicate the results of this well-established selective versus divided paradigm with RF patterns as a stimulus to probe feature-based attention, predicting lower sensitivity to change, and longer response times when attentional focus is divided across multiple stimulus attributes. We examine change detection across three low-level visual features of interest; orientation, contrast and shape. In this experiment, we </w:t>
      </w:r>
      <w:r w:rsidR="00C51890">
        <w:rPr>
          <w:rFonts w:ascii="Arial" w:hAnsi="Arial" w:cs="Arial"/>
          <w:color w:val="000000" w:themeColor="text1"/>
        </w:rPr>
        <w:t>used</w:t>
      </w:r>
      <w:r w:rsidR="00C51890" w:rsidRPr="00225AB0">
        <w:rPr>
          <w:rFonts w:ascii="Arial" w:hAnsi="Arial" w:cs="Arial"/>
          <w:color w:val="000000" w:themeColor="text1"/>
        </w:rPr>
        <w:t xml:space="preserve"> </w:t>
      </w:r>
      <w:r w:rsidRPr="00225AB0">
        <w:rPr>
          <w:rFonts w:ascii="Arial" w:hAnsi="Arial" w:cs="Arial"/>
          <w:color w:val="000000" w:themeColor="text1"/>
        </w:rPr>
        <w:t xml:space="preserve">participant-specific task difficulty calibration, attempting to control the level of attention </w:t>
      </w:r>
      <w:r w:rsidR="00D44AC6">
        <w:rPr>
          <w:rFonts w:ascii="Arial" w:hAnsi="Arial" w:cs="Arial"/>
          <w:color w:val="000000" w:themeColor="text1"/>
        </w:rPr>
        <w:t>in</w:t>
      </w:r>
      <w:r w:rsidRPr="00225AB0">
        <w:rPr>
          <w:rFonts w:ascii="Arial" w:hAnsi="Arial" w:cs="Arial"/>
          <w:color w:val="000000" w:themeColor="text1"/>
        </w:rPr>
        <w:t xml:space="preserve"> the </w:t>
      </w:r>
      <w:r w:rsidR="00BB51EC">
        <w:rPr>
          <w:rFonts w:ascii="Arial" w:hAnsi="Arial" w:cs="Arial"/>
          <w:color w:val="000000" w:themeColor="text1"/>
        </w:rPr>
        <w:t>“</w:t>
      </w:r>
      <w:r w:rsidRPr="00225AB0">
        <w:rPr>
          <w:rFonts w:ascii="Arial" w:hAnsi="Arial" w:cs="Arial"/>
          <w:color w:val="000000" w:themeColor="text1"/>
        </w:rPr>
        <w:t>attend orientation</w:t>
      </w:r>
      <w:r w:rsidR="00BB51EC">
        <w:rPr>
          <w:rFonts w:ascii="Arial" w:hAnsi="Arial" w:cs="Arial"/>
          <w:color w:val="000000" w:themeColor="text1"/>
        </w:rPr>
        <w:t>”</w:t>
      </w:r>
      <w:r w:rsidRPr="00225AB0">
        <w:rPr>
          <w:rFonts w:ascii="Arial" w:hAnsi="Arial" w:cs="Arial"/>
          <w:color w:val="000000" w:themeColor="text1"/>
        </w:rPr>
        <w:t xml:space="preserve">, </w:t>
      </w:r>
      <w:r w:rsidR="00BB51EC">
        <w:rPr>
          <w:rFonts w:ascii="Arial" w:hAnsi="Arial" w:cs="Arial"/>
          <w:color w:val="000000" w:themeColor="text1"/>
        </w:rPr>
        <w:t>“</w:t>
      </w:r>
      <w:r w:rsidRPr="00225AB0">
        <w:rPr>
          <w:rFonts w:ascii="Arial" w:hAnsi="Arial" w:cs="Arial"/>
          <w:color w:val="000000" w:themeColor="text1"/>
        </w:rPr>
        <w:t>attend contrast</w:t>
      </w:r>
      <w:r w:rsidR="00BB51EC">
        <w:rPr>
          <w:rFonts w:ascii="Arial" w:hAnsi="Arial" w:cs="Arial"/>
          <w:color w:val="000000" w:themeColor="text1"/>
        </w:rPr>
        <w:t>”</w:t>
      </w:r>
      <w:r w:rsidRPr="00225AB0">
        <w:rPr>
          <w:rFonts w:ascii="Arial" w:hAnsi="Arial" w:cs="Arial"/>
          <w:color w:val="000000" w:themeColor="text1"/>
        </w:rPr>
        <w:t xml:space="preserve"> and </w:t>
      </w:r>
      <w:r w:rsidR="00BB51EC">
        <w:rPr>
          <w:rFonts w:ascii="Arial" w:hAnsi="Arial" w:cs="Arial"/>
          <w:color w:val="000000" w:themeColor="text1"/>
        </w:rPr>
        <w:t>“</w:t>
      </w:r>
      <w:r w:rsidRPr="00225AB0">
        <w:rPr>
          <w:rFonts w:ascii="Arial" w:hAnsi="Arial" w:cs="Arial"/>
          <w:color w:val="000000" w:themeColor="text1"/>
        </w:rPr>
        <w:t>attend shape</w:t>
      </w:r>
      <w:r w:rsidR="00BB51EC">
        <w:rPr>
          <w:rFonts w:ascii="Arial" w:hAnsi="Arial" w:cs="Arial"/>
          <w:color w:val="000000" w:themeColor="text1"/>
        </w:rPr>
        <w:t>”</w:t>
      </w:r>
      <w:r w:rsidRPr="00225AB0">
        <w:rPr>
          <w:rFonts w:ascii="Arial" w:hAnsi="Arial" w:cs="Arial"/>
          <w:color w:val="000000" w:themeColor="text1"/>
        </w:rPr>
        <w:t xml:space="preserve"> conditions, to validate this calibration method in future experiments. We hypothesise</w:t>
      </w:r>
      <w:r w:rsidR="00BB51EC">
        <w:rPr>
          <w:rFonts w:ascii="Arial" w:hAnsi="Arial" w:cs="Arial"/>
          <w:color w:val="000000" w:themeColor="text1"/>
        </w:rPr>
        <w:t>d</w:t>
      </w:r>
      <w:r w:rsidRPr="00225AB0">
        <w:rPr>
          <w:rFonts w:ascii="Arial" w:hAnsi="Arial" w:cs="Arial"/>
          <w:color w:val="000000" w:themeColor="text1"/>
        </w:rPr>
        <w:t xml:space="preserve"> no significant difference in loglinear d’ or reaction times between the three selective attentional focus conditions. Our findings indicate participants are more accurate at detecting changes in a target feature with selective attention (directed toward a single stimulus feature) than during divided attentional focus. We find no evidence for differences in participant response </w:t>
      </w:r>
      <w:r w:rsidRPr="00225AB0">
        <w:rPr>
          <w:rFonts w:ascii="Arial" w:hAnsi="Arial" w:cs="Arial"/>
          <w:color w:val="000000" w:themeColor="text1"/>
        </w:rPr>
        <w:lastRenderedPageBreak/>
        <w:t xml:space="preserve">(loglinear d’ or reaction time) between the three selective attention conditions. </w:t>
      </w:r>
    </w:p>
    <w:p w14:paraId="4F8285BD" w14:textId="77777777" w:rsidR="00CC7DCB" w:rsidRPr="00225AB0" w:rsidRDefault="00CC7DCB" w:rsidP="000C73FA">
      <w:pPr>
        <w:spacing w:line="480" w:lineRule="auto"/>
        <w:rPr>
          <w:rFonts w:ascii="Arial" w:hAnsi="Arial" w:cs="Arial"/>
          <w:color w:val="000000" w:themeColor="text1"/>
        </w:rPr>
      </w:pPr>
    </w:p>
    <w:p w14:paraId="5D517987" w14:textId="77777777" w:rsidR="000C73FA" w:rsidRDefault="000C73FA" w:rsidP="001811CC">
      <w:pPr>
        <w:pStyle w:val="Heading2"/>
        <w:numPr>
          <w:ilvl w:val="1"/>
          <w:numId w:val="4"/>
        </w:numPr>
        <w:rPr>
          <w:rFonts w:ascii="Arial" w:hAnsi="Arial" w:cs="Arial"/>
          <w:b/>
          <w:color w:val="000000" w:themeColor="text1"/>
          <w:sz w:val="28"/>
          <w:szCs w:val="28"/>
        </w:rPr>
      </w:pPr>
      <w:bookmarkStart w:id="342" w:name="_Toc11147983"/>
      <w:bookmarkStart w:id="343" w:name="_Toc11153930"/>
      <w:bookmarkStart w:id="344" w:name="_Toc11753637"/>
      <w:bookmarkStart w:id="345" w:name="_Toc11926823"/>
      <w:bookmarkStart w:id="346" w:name="_Toc11930056"/>
      <w:bookmarkStart w:id="347" w:name="_Toc16075372"/>
      <w:bookmarkStart w:id="348" w:name="_Toc16236995"/>
      <w:r w:rsidRPr="00CB7683">
        <w:rPr>
          <w:rFonts w:ascii="Arial" w:hAnsi="Arial" w:cs="Arial"/>
          <w:b/>
          <w:color w:val="000000" w:themeColor="text1"/>
          <w:sz w:val="28"/>
          <w:szCs w:val="28"/>
        </w:rPr>
        <w:t>Methods</w:t>
      </w:r>
      <w:bookmarkEnd w:id="342"/>
      <w:bookmarkEnd w:id="343"/>
      <w:bookmarkEnd w:id="344"/>
      <w:bookmarkEnd w:id="345"/>
      <w:bookmarkEnd w:id="346"/>
      <w:bookmarkEnd w:id="347"/>
      <w:bookmarkEnd w:id="348"/>
    </w:p>
    <w:p w14:paraId="19B01007" w14:textId="77777777" w:rsidR="00CB7683" w:rsidRPr="00CB7683" w:rsidRDefault="00CB7683" w:rsidP="00CB7683"/>
    <w:p w14:paraId="1263AA2C" w14:textId="77777777" w:rsidR="000C73FA" w:rsidRDefault="000C73FA" w:rsidP="001811CC">
      <w:pPr>
        <w:pStyle w:val="Heading3"/>
        <w:numPr>
          <w:ilvl w:val="2"/>
          <w:numId w:val="4"/>
        </w:numPr>
        <w:rPr>
          <w:rFonts w:ascii="Arial" w:hAnsi="Arial" w:cs="Arial"/>
          <w:b/>
          <w:i/>
          <w:color w:val="000000" w:themeColor="text1"/>
          <w:sz w:val="28"/>
          <w:szCs w:val="28"/>
        </w:rPr>
      </w:pPr>
      <w:bookmarkStart w:id="349" w:name="_Toc11147984"/>
      <w:bookmarkStart w:id="350" w:name="_Toc11153931"/>
      <w:bookmarkStart w:id="351" w:name="_Toc11753638"/>
      <w:bookmarkStart w:id="352" w:name="_Toc11926824"/>
      <w:bookmarkStart w:id="353" w:name="_Toc11930057"/>
      <w:bookmarkStart w:id="354" w:name="_Toc16075373"/>
      <w:bookmarkStart w:id="355" w:name="_Toc16236996"/>
      <w:r w:rsidRPr="00455E2F">
        <w:rPr>
          <w:rFonts w:ascii="Arial" w:hAnsi="Arial" w:cs="Arial"/>
          <w:b/>
          <w:i/>
          <w:color w:val="000000" w:themeColor="text1"/>
          <w:sz w:val="28"/>
          <w:szCs w:val="28"/>
        </w:rPr>
        <w:t>Participants</w:t>
      </w:r>
      <w:bookmarkEnd w:id="349"/>
      <w:bookmarkEnd w:id="350"/>
      <w:bookmarkEnd w:id="351"/>
      <w:bookmarkEnd w:id="352"/>
      <w:bookmarkEnd w:id="353"/>
      <w:bookmarkEnd w:id="354"/>
      <w:bookmarkEnd w:id="355"/>
    </w:p>
    <w:p w14:paraId="1484145B" w14:textId="77777777" w:rsidR="00455E2F" w:rsidRPr="00455E2F" w:rsidRDefault="00455E2F" w:rsidP="00455E2F"/>
    <w:p w14:paraId="2A0DADA5" w14:textId="77777777" w:rsidR="000C73FA" w:rsidRPr="00225AB0" w:rsidRDefault="000C73FA" w:rsidP="000C73FA">
      <w:pPr>
        <w:spacing w:line="480" w:lineRule="auto"/>
        <w:rPr>
          <w:rFonts w:ascii="Arial" w:hAnsi="Arial" w:cs="Arial"/>
          <w:color w:val="000000" w:themeColor="text1"/>
        </w:rPr>
      </w:pPr>
      <w:r w:rsidRPr="00225AB0">
        <w:rPr>
          <w:rFonts w:ascii="Arial" w:hAnsi="Arial" w:cs="Arial"/>
          <w:color w:val="000000" w:themeColor="text1"/>
        </w:rPr>
        <w:t xml:space="preserve">24 volunteer participants (all University of York staff or postgraduate students) (17 female) were recruited for the study. All participants had normal or corrected-to-normal vision. Ethical approval for the experiment was granted by the University of York, Department of Psychology ethics board. </w:t>
      </w:r>
      <w:r w:rsidRPr="00225AB0">
        <w:rPr>
          <w:rFonts w:ascii="Arial" w:hAnsi="Arial" w:cs="Arial"/>
          <w:color w:val="0D0D0D" w:themeColor="text1" w:themeTint="F2"/>
        </w:rPr>
        <w:t>All participants provided informed consent and remained naïve regarding the specific focus of the study (differences between selective and divided attention) until after testing ended. Participants were provided with verbal instructions and had the opportunity to ask questions to clarify their understanding.</w:t>
      </w:r>
    </w:p>
    <w:p w14:paraId="69CB4A76" w14:textId="77777777" w:rsidR="000C73FA" w:rsidRPr="00225AB0" w:rsidRDefault="000C73FA" w:rsidP="000C73FA">
      <w:pPr>
        <w:spacing w:line="480" w:lineRule="auto"/>
        <w:rPr>
          <w:rFonts w:ascii="Arial" w:hAnsi="Arial" w:cs="Arial"/>
          <w:color w:val="000000" w:themeColor="text1"/>
        </w:rPr>
      </w:pPr>
    </w:p>
    <w:p w14:paraId="36F4818F" w14:textId="77777777" w:rsidR="000C73FA" w:rsidRDefault="000C73FA" w:rsidP="001811CC">
      <w:pPr>
        <w:pStyle w:val="Heading3"/>
        <w:numPr>
          <w:ilvl w:val="2"/>
          <w:numId w:val="4"/>
        </w:numPr>
        <w:rPr>
          <w:rFonts w:ascii="Arial" w:hAnsi="Arial" w:cs="Arial"/>
          <w:b/>
          <w:i/>
          <w:color w:val="000000" w:themeColor="text1"/>
          <w:sz w:val="28"/>
          <w:szCs w:val="28"/>
        </w:rPr>
      </w:pPr>
      <w:bookmarkStart w:id="356" w:name="_Toc11147985"/>
      <w:bookmarkStart w:id="357" w:name="_Toc11153932"/>
      <w:bookmarkStart w:id="358" w:name="_Toc11753639"/>
      <w:bookmarkStart w:id="359" w:name="_Toc11926825"/>
      <w:bookmarkStart w:id="360" w:name="_Toc11930058"/>
      <w:bookmarkStart w:id="361" w:name="_Toc16075374"/>
      <w:bookmarkStart w:id="362" w:name="_Toc16236997"/>
      <w:r w:rsidRPr="00455E2F">
        <w:rPr>
          <w:rFonts w:ascii="Arial" w:hAnsi="Arial" w:cs="Arial"/>
          <w:b/>
          <w:i/>
          <w:color w:val="000000" w:themeColor="text1"/>
          <w:sz w:val="28"/>
          <w:szCs w:val="28"/>
        </w:rPr>
        <w:t>Design &amp; Procedure</w:t>
      </w:r>
      <w:bookmarkEnd w:id="356"/>
      <w:bookmarkEnd w:id="357"/>
      <w:bookmarkEnd w:id="358"/>
      <w:bookmarkEnd w:id="359"/>
      <w:bookmarkEnd w:id="360"/>
      <w:bookmarkEnd w:id="361"/>
      <w:bookmarkEnd w:id="362"/>
    </w:p>
    <w:p w14:paraId="5D1B2BFB" w14:textId="77777777" w:rsidR="00455E2F" w:rsidRPr="00455E2F" w:rsidRDefault="00455E2F" w:rsidP="00455E2F"/>
    <w:p w14:paraId="76731EA3" w14:textId="77777777" w:rsidR="000C73FA" w:rsidRPr="00455E2F" w:rsidRDefault="000C73FA" w:rsidP="001811CC">
      <w:pPr>
        <w:pStyle w:val="Heading4"/>
        <w:numPr>
          <w:ilvl w:val="3"/>
          <w:numId w:val="4"/>
        </w:numPr>
        <w:rPr>
          <w:rFonts w:ascii="Arial" w:hAnsi="Arial" w:cs="Arial"/>
          <w:color w:val="000000" w:themeColor="text1"/>
          <w:sz w:val="28"/>
          <w:szCs w:val="28"/>
        </w:rPr>
      </w:pPr>
      <w:bookmarkStart w:id="363" w:name="_Toc11147986"/>
      <w:bookmarkStart w:id="364" w:name="_Toc11153933"/>
      <w:bookmarkStart w:id="365" w:name="_Toc11930059"/>
      <w:bookmarkStart w:id="366" w:name="_Toc16075375"/>
      <w:r w:rsidRPr="00455E2F">
        <w:rPr>
          <w:rFonts w:ascii="Arial" w:hAnsi="Arial" w:cs="Arial"/>
          <w:color w:val="000000" w:themeColor="text1"/>
          <w:sz w:val="28"/>
          <w:szCs w:val="28"/>
        </w:rPr>
        <w:t>Stimulus presentation</w:t>
      </w:r>
      <w:bookmarkEnd w:id="363"/>
      <w:bookmarkEnd w:id="364"/>
      <w:bookmarkEnd w:id="365"/>
      <w:bookmarkEnd w:id="366"/>
    </w:p>
    <w:p w14:paraId="396B46FB" w14:textId="38DEAF7E" w:rsidR="000C73FA" w:rsidRPr="00225AB0" w:rsidRDefault="000C73FA" w:rsidP="000C73FA">
      <w:pPr>
        <w:spacing w:line="480" w:lineRule="auto"/>
        <w:rPr>
          <w:rFonts w:ascii="Arial" w:hAnsi="Arial" w:cs="Arial"/>
        </w:rPr>
      </w:pPr>
      <w:r w:rsidRPr="00225AB0">
        <w:rPr>
          <w:rFonts w:ascii="Arial" w:hAnsi="Arial" w:cs="Arial"/>
          <w:color w:val="0D0D0D" w:themeColor="text1" w:themeTint="F2"/>
        </w:rPr>
        <w:t>Participants completed the experiment in a darkened room, at a viewing distance of 57cm from the screen. All participants completed at least one practice block (10 trials) before starting the experiment.</w:t>
      </w:r>
      <w:r w:rsidRPr="00225AB0">
        <w:rPr>
          <w:rFonts w:ascii="Arial" w:hAnsi="Arial" w:cs="Arial"/>
        </w:rPr>
        <w:t xml:space="preserve"> Visual stimuli were presented to participants on a ViewPixx 3D LCD screen system (1920 x 1080 pixels’ resolution, running at 120Hz). A Shuttle XPC SZ88RG high-end graphics system with intel Core i7-4790K processor at 4.0GHz and an NVIDIA GeForce GTX970 graphics card with 4GB DDR5 Memory were used to control the experiment. All stimuli and experimental procedures were </w:t>
      </w:r>
      <w:r w:rsidRPr="00225AB0">
        <w:rPr>
          <w:rFonts w:ascii="Arial" w:hAnsi="Arial" w:cs="Arial"/>
        </w:rPr>
        <w:lastRenderedPageBreak/>
        <w:t xml:space="preserve">controlled by Matlab 9.2.0 (2017a) in conjunction with the Psychtoolbox 3.0.12 </w:t>
      </w:r>
      <w:r w:rsidRPr="00225AB0">
        <w:rPr>
          <w:rFonts w:ascii="Arial" w:hAnsi="Arial" w:cs="Arial"/>
        </w:rPr>
        <w:fldChar w:fldCharType="begin"/>
      </w:r>
      <w:r w:rsidR="005B4361">
        <w:rPr>
          <w:rFonts w:ascii="Arial" w:hAnsi="Arial" w:cs="Arial"/>
        </w:rPr>
        <w:instrText xml:space="preserve"> ADDIN ZOTERO_ITEM CSL_CITATION {"citationID":"64zKQ4if","properties":{"formattedCitation":"(Brainard, 1997; Pelli, 1997)","plainCitation":"(Brainard, 1997; Pelli, 1997)","noteIndex":0},"citationItems":[{"id":266,"uris":["http://zotero.org/groups/318634/items/DPFM722D"],"uri":["http://zotero.org/groups/318634/items/DPFM722D"],"itemData":{"id":266,"type":"article-journal","title":"The psychophysics toolbox","container-title":"Spatial vision","page":"433–436","volume":"10","source":"Google Scholar","author":[{"family":"Brainard","given":"David H."}],"issued":{"date-parts":[["1997"]]}}},{"id":235,"uris":["http://zotero.org/groups/318634/items/I9QQF3XD"],"uri":["http://zotero.org/groups/318634/items/I9QQF3XD"],"itemData":{"id":235,"type":"article-journal","title":"The VideoToolbox software for visual psychophysics: Transforming numbers into movies","container-title":"Spatial vision","page":"437–442","volume":"10","issue":"4","source":"Google Scholar","title-short":"The VideoToolbox software for visual psychophysics","author":[{"family":"Pelli","given":"Denis G."}],"issued":{"date-parts":[["1997"]]}}}],"schema":"https://github.com/citation-style-language/schema/raw/master/csl-citation.json"} </w:instrText>
      </w:r>
      <w:r w:rsidRPr="00225AB0">
        <w:rPr>
          <w:rFonts w:ascii="Arial" w:hAnsi="Arial" w:cs="Arial"/>
        </w:rPr>
        <w:fldChar w:fldCharType="separate"/>
      </w:r>
      <w:r w:rsidRPr="00225AB0">
        <w:rPr>
          <w:rFonts w:ascii="Arial" w:hAnsi="Arial" w:cs="Arial"/>
          <w:noProof/>
        </w:rPr>
        <w:t>(Brainard, 1997; Pelli, 1997)</w:t>
      </w:r>
      <w:r w:rsidRPr="00225AB0">
        <w:rPr>
          <w:rFonts w:ascii="Arial" w:hAnsi="Arial" w:cs="Arial"/>
        </w:rPr>
        <w:fldChar w:fldCharType="end"/>
      </w:r>
      <w:r w:rsidRPr="00225AB0">
        <w:rPr>
          <w:rFonts w:ascii="Arial" w:hAnsi="Arial" w:cs="Arial"/>
        </w:rPr>
        <w:t xml:space="preserve">. </w:t>
      </w:r>
    </w:p>
    <w:p w14:paraId="638ED716" w14:textId="77777777" w:rsidR="000C73FA" w:rsidRPr="00225AB0" w:rsidRDefault="000C73FA" w:rsidP="000C73FA">
      <w:pPr>
        <w:spacing w:line="480" w:lineRule="auto"/>
        <w:rPr>
          <w:rFonts w:ascii="Arial" w:hAnsi="Arial" w:cs="Arial"/>
          <w:b/>
          <w:i/>
          <w:color w:val="000000" w:themeColor="text1"/>
        </w:rPr>
      </w:pPr>
    </w:p>
    <w:p w14:paraId="79DE40E7" w14:textId="77777777" w:rsidR="000C73FA" w:rsidRPr="00455E2F" w:rsidRDefault="000C73FA" w:rsidP="001811CC">
      <w:pPr>
        <w:pStyle w:val="Heading4"/>
        <w:numPr>
          <w:ilvl w:val="3"/>
          <w:numId w:val="4"/>
        </w:numPr>
        <w:rPr>
          <w:rFonts w:ascii="Arial" w:hAnsi="Arial" w:cs="Arial"/>
          <w:color w:val="000000" w:themeColor="text1"/>
          <w:sz w:val="28"/>
          <w:szCs w:val="28"/>
        </w:rPr>
      </w:pPr>
      <w:bookmarkStart w:id="367" w:name="_Toc11147987"/>
      <w:bookmarkStart w:id="368" w:name="_Toc11153934"/>
      <w:bookmarkStart w:id="369" w:name="_Toc11930060"/>
      <w:bookmarkStart w:id="370" w:name="_Toc16075376"/>
      <w:r w:rsidRPr="00455E2F">
        <w:rPr>
          <w:rFonts w:ascii="Arial" w:hAnsi="Arial" w:cs="Arial"/>
          <w:color w:val="000000" w:themeColor="text1"/>
          <w:sz w:val="28"/>
          <w:szCs w:val="28"/>
        </w:rPr>
        <w:t>Threshold testing</w:t>
      </w:r>
      <w:bookmarkEnd w:id="367"/>
      <w:bookmarkEnd w:id="368"/>
      <w:bookmarkEnd w:id="369"/>
      <w:bookmarkEnd w:id="370"/>
    </w:p>
    <w:p w14:paraId="5E6CDCEB" w14:textId="1491E6FB" w:rsidR="000C73FA" w:rsidRPr="00225AB0" w:rsidRDefault="000C73FA" w:rsidP="000C73FA">
      <w:pPr>
        <w:spacing w:line="480" w:lineRule="auto"/>
        <w:rPr>
          <w:rFonts w:ascii="Arial" w:hAnsi="Arial" w:cs="Arial"/>
          <w:color w:val="000000" w:themeColor="text1"/>
        </w:rPr>
      </w:pPr>
      <w:r w:rsidRPr="00225AB0">
        <w:rPr>
          <w:rFonts w:ascii="Arial" w:hAnsi="Arial" w:cs="Arial"/>
          <w:color w:val="000000" w:themeColor="text1"/>
        </w:rPr>
        <w:t>Before assessing participants</w:t>
      </w:r>
      <w:r w:rsidR="00BB51EC">
        <w:rPr>
          <w:rFonts w:ascii="Arial" w:hAnsi="Arial" w:cs="Arial"/>
          <w:color w:val="000000" w:themeColor="text1"/>
        </w:rPr>
        <w:t>’</w:t>
      </w:r>
      <w:r w:rsidRPr="00225AB0">
        <w:rPr>
          <w:rFonts w:ascii="Arial" w:hAnsi="Arial" w:cs="Arial"/>
          <w:color w:val="000000" w:themeColor="text1"/>
        </w:rPr>
        <w:t xml:space="preserve"> selective versus divided attention change detection accuracies, we first had to ensure that the selective tasks were of equal difficulty, and that overall task difficulty was consistent across participants. To achieve this, we collected participants</w:t>
      </w:r>
      <w:r w:rsidR="00BB51EC">
        <w:rPr>
          <w:rFonts w:ascii="Arial" w:hAnsi="Arial" w:cs="Arial"/>
          <w:color w:val="000000" w:themeColor="text1"/>
        </w:rPr>
        <w:t>’</w:t>
      </w:r>
      <w:r w:rsidRPr="00225AB0">
        <w:rPr>
          <w:rFonts w:ascii="Arial" w:hAnsi="Arial" w:cs="Arial"/>
          <w:color w:val="000000" w:themeColor="text1"/>
        </w:rPr>
        <w:t xml:space="preserve"> </w:t>
      </w:r>
      <w:r w:rsidR="00E2165A">
        <w:rPr>
          <w:rFonts w:ascii="Arial" w:hAnsi="Arial" w:cs="Arial"/>
          <w:color w:val="000000" w:themeColor="text1"/>
        </w:rPr>
        <w:t>75% correct</w:t>
      </w:r>
      <w:r w:rsidRPr="00225AB0">
        <w:rPr>
          <w:rFonts w:ascii="Arial" w:hAnsi="Arial" w:cs="Arial"/>
          <w:color w:val="000000" w:themeColor="text1"/>
        </w:rPr>
        <w:t xml:space="preserve"> detection thresholds for each low-level visual feature of interest (orientation, contrast and shape). </w:t>
      </w:r>
    </w:p>
    <w:p w14:paraId="11641F15" w14:textId="77777777" w:rsidR="000C73FA" w:rsidRPr="00225AB0" w:rsidRDefault="000C73FA" w:rsidP="000C73FA">
      <w:pPr>
        <w:spacing w:line="480" w:lineRule="auto"/>
        <w:rPr>
          <w:rFonts w:ascii="Arial" w:hAnsi="Arial" w:cs="Arial"/>
          <w:color w:val="000000" w:themeColor="text1"/>
        </w:rPr>
      </w:pPr>
    </w:p>
    <w:p w14:paraId="490917D5" w14:textId="67DDB2FB" w:rsidR="000C73FA" w:rsidRPr="00225AB0" w:rsidRDefault="000C73FA" w:rsidP="000C73FA">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To efficiently estimate detection thresholds, we </w:t>
      </w:r>
      <w:r w:rsidR="00BB51EC">
        <w:rPr>
          <w:rFonts w:ascii="Arial" w:hAnsi="Arial" w:cs="Arial"/>
          <w:color w:val="0D0D0D" w:themeColor="text1" w:themeTint="F2"/>
        </w:rPr>
        <w:t>used</w:t>
      </w:r>
      <w:r w:rsidR="00BB51EC" w:rsidRPr="00225AB0">
        <w:rPr>
          <w:rFonts w:ascii="Arial" w:hAnsi="Arial" w:cs="Arial"/>
          <w:color w:val="0D0D0D" w:themeColor="text1" w:themeTint="F2"/>
        </w:rPr>
        <w:t xml:space="preserve"> </w:t>
      </w:r>
      <w:r w:rsidRPr="00225AB0">
        <w:rPr>
          <w:rFonts w:ascii="Arial" w:hAnsi="Arial" w:cs="Arial"/>
          <w:color w:val="0D0D0D" w:themeColor="text1" w:themeTint="F2"/>
        </w:rPr>
        <w:t xml:space="preserve">a Bayesian staircase </w:t>
      </w:r>
      <w:r w:rsidR="00BB51EC">
        <w:rPr>
          <w:rFonts w:ascii="Arial" w:hAnsi="Arial" w:cs="Arial"/>
          <w:color w:val="0D0D0D" w:themeColor="text1" w:themeTint="F2"/>
        </w:rPr>
        <w:t>procedure</w:t>
      </w:r>
      <w:r w:rsidR="00B22E1F">
        <w:rPr>
          <w:rFonts w:ascii="Arial" w:hAnsi="Arial" w:cs="Arial"/>
          <w:color w:val="0D0D0D" w:themeColor="text1" w:themeTint="F2"/>
        </w:rPr>
        <w:t xml:space="preserve">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{"citationID":"DN5TD4aj","properties":{"formattedCitation":"(Watson &amp; Pelli, 1983)","plainCitation":"(Watson &amp; Pelli, 1983)","noteIndex":0},"citationItems":[{"id":208,"uris":["http://zotero.org/groups/318634/items/JKVKSGEP"],"uri":["http://zotero.org/groups/318634/items/JKVKSGEP"],"itemData":{"id":208,"type":"article-journal","title":"QUEST: A Bayesian adaptive psychometric method","container-title":"Perception &amp; psychophysics","page":"113–120","volume":"33","issue":"2","source":"Google Scholar","title-short":"QUEST","author":[{"family":"Watson","given":"Andrew B."},{"family":"Pelli","given":"Denis G."}],"issued":{"date-parts":[["1983"]]}}}],"schema":"https://github.com/citation-style-language/schema/raw/master/csl-citation.json"}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noProof/>
          <w:color w:val="0D0D0D" w:themeColor="text1" w:themeTint="F2"/>
        </w:rPr>
        <w:t>(Watson &amp; Pelli, 1983)</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Feature-specific initial estimates of threshold (0.3 radians orientation, 30% contrast, 0.08 radial amplitude modulation/shape) were provided with 0.5-unit standard deviation. We utilised a RF pattern stimulus, a radially modulated circular contour defined by the fourth derivative of a gaussian in polar coordinates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{"citationID":"Zyu7AecQ","properties":{"formattedCitation":"(Ivanov &amp; Mullen, 2012b; Frances Wilkinson et al., 1998b; Wilson &amp; Wilkinson, 1997b)","plainCitation":"(Ivanov &amp; Mullen, 2012b; Frances Wilkinson et al., 1998b; Wilson &amp; Wilkinson, 1997b)","dontUpdate":true,"noteIndex":0},"citationItems":[{"id":207,"uris":["http://zotero.org/groups/318634/items/X7KGNNN5"],"uri":["http://zotero.org/groups/318634/items/X7KGNNN5"],"itemData":{"id":207,"type":"article-journal","title":"Evolving concepts of spatial channels in vision: from independence to nonlinear interactions","container-title":"Perception","page":"939-960","volume":"26","issue":"8","source":"PubMed","abstract":"By the 1960s it was evident from neuroanatomy that there were extensive recurrent interactions, both excitatory and inhibitory, among visual cortical neurons. Nevertheless, the psychophysical discovery of 'spatial-frequency channels' gave rise to a decade in which parallel, independent channels were thought to subserve early spatial vision. Recent work, however, has clearly demonstrated that early visual channels do not perform a Fourier or wavelet decomposition of the image. Instead, they interact through a variety of nonlinear pooling mechanisms. Such nonlinear interactions perform important computations in texture perception, stereopsis, and motion and form vision.","DOI":"10.1068/p260939","ISSN":"0301-0066","note":"PMID: 9509156","title-short":"Evolving concepts of spatial channels in vision","journalAbbreviation":"Perception","language":"eng","author":[{"family":"Wilson","given":"H. R."},{"family":"Wilkinson","given":"F."}],"issued":{"date-parts":[["1997"]]}}},{"id":212,"uris":["http://zotero.org/groups/318634/items/E6DHL36K"],"uri":["http://zotero.org/groups/318634/items/E6DHL36K"],"itemData":{"id":212,"type":"article-journal","title":"Detection and recognition of radial frequency patterns 1","container-title":"Vision research","page":"3555–3568","volume":"38","issue":"22","source":"Google Scholar","author":[{"family":"Wilkinson","given":"Frances"},{"family":"Wilson","given":"Hugh R."},{"family":"Habak","given":"Claudine"}],"issued":{"date-parts":[["1998"]]}}},{"id":243,"uris":["http://zotero.org/groups/318634/items/AVCHMRX7"],"uri":["http://zotero.org/groups/318634/items/AVCHMRX7"],"itemData":{"id":243,"type":"article-journal","title":"The role of local features in shape discrimination of contour- and surface-defined radial frequency patterns at low contrast","container-title":"Vision Research","page":"1-10","volume":"52","issue":"1","source":"PubMed","abstract":"Shape processing involves a progression from local to global analysis. A key aspect of this is the binding of distributed local features into an overall form followed by the extraction of the shape independently of its local contrast and spatial scales, so enabling the shape to be encoded based on its proportions without reference to its exact size or retinal location. Here we use contour- and surface-defined radial frequency (RF) patterns in a shape discrimination task, previously thought to reflect a global processing stage that has reached contrast and scale invariance. We compare performance across different spatial scales for a wide range of RF patterns (contour spatial frequencies of 0.7-10.0cpd, pattern radii of 0.5-10.5°), and sharp- and smooth-edged surface-RF patterns, all at low contrast (5× detection threshold). We show that shape discrimination thresholds for RF patterns have a complex series of dependencies on stimulus size (radius), contour spatial frequency (thickness) and contrast, with no scale invariance. Our results are at odds with earlier work showing no effect of radius and spatial frequency on discrimination thresholds. We show that this discrepancy can be accounted for by a differential effect of contrast on shape discrimination, with shape invariance only stabilizing at higher contrasts (10-20× threshold).","DOI":"10.1016/j.visres.2011.10.002","ISSN":"1878-5646","note":"PMID: 22037304","journalAbbreviation":"Vision Res.","language":"eng","author":[{"family":"Ivanov","given":"Iliya V."},{"family":"Mullen","given":"Kathy T."}],"issued":{"date-parts":[["2012",1,1]]}}}],"schema":"https://github.com/citation-style-language/schema/raw/master/csl-citation.json"}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noProof/>
          <w:color w:val="0D0D0D" w:themeColor="text1" w:themeTint="F2"/>
        </w:rPr>
        <w:t xml:space="preserve">(Ivanov &amp; Mullen, 2012; </w:t>
      </w:r>
      <w:r w:rsidR="00E2165A">
        <w:rPr>
          <w:rFonts w:ascii="Arial" w:hAnsi="Arial" w:cs="Arial"/>
          <w:noProof/>
          <w:color w:val="0D0D0D" w:themeColor="text1" w:themeTint="F2"/>
        </w:rPr>
        <w:t>W</w:t>
      </w:r>
      <w:r w:rsidR="00967B1F" w:rsidRPr="00225AB0">
        <w:rPr>
          <w:rFonts w:ascii="Arial" w:hAnsi="Arial" w:cs="Arial"/>
          <w:noProof/>
          <w:color w:val="0D0D0D" w:themeColor="text1" w:themeTint="F2"/>
        </w:rPr>
        <w:t>ilkinson et al., 1998; Wilson &amp; Wilkinson, 1997)</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p>
    <w:p w14:paraId="7CE430D9" w14:textId="77777777" w:rsidR="000C73FA" w:rsidRPr="00225AB0" w:rsidRDefault="000C73FA" w:rsidP="000C73FA">
      <w:pPr>
        <w:spacing w:line="480" w:lineRule="auto"/>
        <w:rPr>
          <w:rFonts w:ascii="Arial" w:hAnsi="Arial" w:cs="Arial"/>
          <w:i/>
          <w:color w:val="0D0D0D" w:themeColor="text1" w:themeTint="F2"/>
        </w:rPr>
      </w:pPr>
    </w:p>
    <w:p w14:paraId="5932F94E" w14:textId="77777777" w:rsidR="000C73FA" w:rsidRDefault="000C73FA" w:rsidP="000C73FA">
      <w:pPr>
        <w:spacing w:line="480" w:lineRule="auto"/>
        <w:rPr>
          <w:rFonts w:ascii="Arial" w:hAnsi="Arial" w:cs="Arial"/>
          <w:i/>
          <w:color w:val="0D0D0D" w:themeColor="text1" w:themeTint="F2"/>
        </w:rPr>
      </w:pPr>
      <w:r w:rsidRPr="00225AB0">
        <w:rPr>
          <w:rFonts w:ascii="Arial" w:hAnsi="Arial" w:cs="Arial"/>
          <w:color w:val="0D0D0D" w:themeColor="text1" w:themeTint="F2"/>
        </w:rPr>
        <w:t>Participants were initially presented with a visual cue, signalling the attended feature and a central white fixation letter present across trials matched the cued feature (‘O’, ‘C’ or ‘S’). Trials commenced with a 200ms presentation of a grayscale reference stimulus against a mean luminance background. The reference RF pattern stimuli had a 2.0° average radius, 0° orientation and 50% contrast (see Figure</w:t>
      </w:r>
      <w:r w:rsidR="00942659">
        <w:rPr>
          <w:rFonts w:ascii="Arial" w:hAnsi="Arial" w:cs="Arial"/>
          <w:color w:val="0D0D0D" w:themeColor="text1" w:themeTint="F2"/>
        </w:rPr>
        <w:t xml:space="preserve"> 3.1A</w:t>
      </w:r>
      <w:r w:rsidRPr="00225AB0">
        <w:rPr>
          <w:rFonts w:ascii="Arial" w:hAnsi="Arial" w:cs="Arial"/>
          <w:color w:val="0D0D0D" w:themeColor="text1" w:themeTint="F2"/>
        </w:rPr>
        <w:t>).</w:t>
      </w:r>
      <w:r w:rsidRPr="00225AB0">
        <w:rPr>
          <w:rFonts w:ascii="Arial" w:hAnsi="Arial" w:cs="Arial"/>
          <w:i/>
          <w:color w:val="0D0D0D" w:themeColor="text1" w:themeTint="F2"/>
        </w:rPr>
        <w:t xml:space="preserve"> </w:t>
      </w:r>
    </w:p>
    <w:p w14:paraId="13930493" w14:textId="77777777" w:rsidR="00CC7DCB" w:rsidRPr="00225AB0" w:rsidRDefault="00CC7DCB" w:rsidP="000C73FA">
      <w:pPr>
        <w:spacing w:line="480" w:lineRule="auto"/>
        <w:rPr>
          <w:rFonts w:ascii="Arial" w:hAnsi="Arial" w:cs="Arial"/>
          <w:color w:val="0D0D0D" w:themeColor="text1" w:themeTint="F2"/>
        </w:rPr>
      </w:pPr>
    </w:p>
    <w:p w14:paraId="0A2329B6" w14:textId="3F282BD0" w:rsidR="000C73FA" w:rsidRDefault="000C73FA" w:rsidP="000C73FA">
      <w:pPr>
        <w:spacing w:line="480" w:lineRule="auto"/>
        <w:rPr>
          <w:rFonts w:ascii="Arial" w:hAnsi="Arial" w:cs="Arial"/>
          <w:color w:val="0D0D0D" w:themeColor="text1" w:themeTint="F2"/>
        </w:rPr>
      </w:pPr>
      <w:r w:rsidRPr="00225AB0">
        <w:rPr>
          <w:rFonts w:ascii="Arial" w:hAnsi="Arial" w:cs="Arial"/>
          <w:color w:val="0D0D0D" w:themeColor="text1" w:themeTint="F2"/>
        </w:rPr>
        <w:lastRenderedPageBreak/>
        <w:t>This was followed by a 200ms inter-stimulus interval with presentation of the letter-fixation cue only. A target stimulus was then presented for 200ms, with a change in the attended visual feature derived from the initial estimate and participants</w:t>
      </w:r>
      <w:r w:rsidR="00331B19">
        <w:rPr>
          <w:rFonts w:ascii="Arial" w:hAnsi="Arial" w:cs="Arial"/>
          <w:color w:val="0D0D0D" w:themeColor="text1" w:themeTint="F2"/>
        </w:rPr>
        <w:t>’</w:t>
      </w:r>
      <w:r w:rsidRPr="00225AB0">
        <w:rPr>
          <w:rFonts w:ascii="Arial" w:hAnsi="Arial" w:cs="Arial"/>
          <w:color w:val="0D0D0D" w:themeColor="text1" w:themeTint="F2"/>
        </w:rPr>
        <w:t xml:space="preserve"> previous performance on subsequent trials. For each feature, a stimulus change could be either of two directions (with approximately equal frequency)- clockwise versus anticlockwise orientation, high contrast versus low contrast, ‘spiky’ versus smooth shape. This was followed by a central black fixation cross for 800ms, during which participants made a </w:t>
      </w:r>
      <w:r w:rsidR="00A3496F">
        <w:rPr>
          <w:rFonts w:ascii="Arial" w:hAnsi="Arial" w:cs="Arial"/>
          <w:color w:val="0D0D0D" w:themeColor="text1" w:themeTint="F2"/>
        </w:rPr>
        <w:t>yes/no</w:t>
      </w:r>
      <w:r w:rsidR="00A3496F" w:rsidRPr="00225AB0">
        <w:rPr>
          <w:rFonts w:ascii="Arial" w:hAnsi="Arial" w:cs="Arial"/>
          <w:color w:val="0D0D0D" w:themeColor="text1" w:themeTint="F2"/>
        </w:rPr>
        <w:t xml:space="preserve"> </w:t>
      </w:r>
      <w:r w:rsidRPr="00225AB0">
        <w:rPr>
          <w:rFonts w:ascii="Arial" w:hAnsi="Arial" w:cs="Arial"/>
          <w:color w:val="0D0D0D" w:themeColor="text1" w:themeTint="F2"/>
        </w:rPr>
        <w:t>judgement indicating the direction of change between the reference and target stimulus (‘A’ or ‘L’ keyboard press). Participants were informed via a toned ‘beep’ if their response was correct or incorrect. Each participant completed 50 trials (alongside 10 discarded practice trials at the start of each run) to provide an estimated 75% correct detection threshold for each feature. Each feature-specific staircase was repeated three times with participants</w:t>
      </w:r>
      <w:r w:rsidR="00331B19">
        <w:rPr>
          <w:rFonts w:ascii="Arial" w:hAnsi="Arial" w:cs="Arial"/>
          <w:color w:val="0D0D0D" w:themeColor="text1" w:themeTint="F2"/>
        </w:rPr>
        <w:t>’</w:t>
      </w:r>
      <w:r w:rsidRPr="00225AB0">
        <w:rPr>
          <w:rFonts w:ascii="Arial" w:hAnsi="Arial" w:cs="Arial"/>
          <w:color w:val="0D0D0D" w:themeColor="text1" w:themeTint="F2"/>
        </w:rPr>
        <w:t xml:space="preserve"> final </w:t>
      </w:r>
      <w:r w:rsidR="00E2165A" w:rsidRPr="00225AB0">
        <w:rPr>
          <w:rFonts w:ascii="Arial" w:hAnsi="Arial" w:cs="Arial"/>
          <w:color w:val="0D0D0D" w:themeColor="text1" w:themeTint="F2"/>
        </w:rPr>
        <w:t xml:space="preserve">detection </w:t>
      </w:r>
      <w:r w:rsidR="00E2165A">
        <w:rPr>
          <w:rFonts w:ascii="Arial" w:hAnsi="Arial" w:cs="Arial"/>
          <w:color w:val="0D0D0D" w:themeColor="text1" w:themeTint="F2"/>
        </w:rPr>
        <w:t>thresholds</w:t>
      </w:r>
      <w:r w:rsidR="003874FF" w:rsidRPr="00225AB0">
        <w:rPr>
          <w:rFonts w:ascii="Arial" w:hAnsi="Arial" w:cs="Arial"/>
          <w:color w:val="0D0D0D" w:themeColor="text1" w:themeTint="F2"/>
        </w:rPr>
        <w:t xml:space="preserve"> reflecting the average of these three repetitions. Each run lasted approximately 2 minutes.</w:t>
      </w:r>
    </w:p>
    <w:p w14:paraId="0203E856" w14:textId="77777777" w:rsidR="00CC7DCB" w:rsidRPr="00225AB0" w:rsidRDefault="00CC7DCB" w:rsidP="000C73FA">
      <w:pPr>
        <w:spacing w:line="480" w:lineRule="auto"/>
        <w:rPr>
          <w:rFonts w:ascii="Arial" w:hAnsi="Arial" w:cs="Arial"/>
          <w:color w:val="0D0D0D" w:themeColor="text1" w:themeTint="F2"/>
        </w:rPr>
      </w:pPr>
    </w:p>
    <w:p w14:paraId="6AF4EE13" w14:textId="77777777" w:rsidR="000C73FA" w:rsidRPr="00455E2F" w:rsidRDefault="000C73FA" w:rsidP="001811CC">
      <w:pPr>
        <w:pStyle w:val="Heading4"/>
        <w:numPr>
          <w:ilvl w:val="3"/>
          <w:numId w:val="4"/>
        </w:numPr>
        <w:rPr>
          <w:rFonts w:ascii="Arial" w:hAnsi="Arial" w:cs="Arial"/>
          <w:color w:val="000000" w:themeColor="text1"/>
          <w:sz w:val="28"/>
          <w:szCs w:val="28"/>
        </w:rPr>
      </w:pPr>
      <w:bookmarkStart w:id="371" w:name="_Toc11147988"/>
      <w:bookmarkStart w:id="372" w:name="_Toc11153935"/>
      <w:bookmarkStart w:id="373" w:name="_Toc11930061"/>
      <w:bookmarkStart w:id="374" w:name="_Toc16075377"/>
      <w:r w:rsidRPr="00455E2F">
        <w:rPr>
          <w:rFonts w:ascii="Arial" w:hAnsi="Arial" w:cs="Arial"/>
          <w:color w:val="000000" w:themeColor="text1"/>
          <w:sz w:val="28"/>
          <w:szCs w:val="28"/>
        </w:rPr>
        <w:t>Selective versus divided</w:t>
      </w:r>
      <w:bookmarkEnd w:id="371"/>
      <w:bookmarkEnd w:id="372"/>
      <w:bookmarkEnd w:id="373"/>
      <w:bookmarkEnd w:id="374"/>
      <w:r w:rsidRPr="00455E2F">
        <w:rPr>
          <w:rFonts w:ascii="Arial" w:hAnsi="Arial" w:cs="Arial"/>
          <w:color w:val="000000" w:themeColor="text1"/>
          <w:sz w:val="28"/>
          <w:szCs w:val="28"/>
        </w:rPr>
        <w:t xml:space="preserve"> </w:t>
      </w:r>
    </w:p>
    <w:p w14:paraId="515E5001" w14:textId="0325A23C" w:rsidR="000C73FA" w:rsidRDefault="000C73FA" w:rsidP="000C73FA">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The stimulus design and procedure employed </w:t>
      </w:r>
      <w:r w:rsidR="00D44AC6">
        <w:rPr>
          <w:rFonts w:ascii="Arial" w:hAnsi="Arial" w:cs="Arial"/>
          <w:color w:val="0D0D0D" w:themeColor="text1" w:themeTint="F2"/>
        </w:rPr>
        <w:t>in</w:t>
      </w:r>
      <w:r w:rsidRPr="00225AB0">
        <w:rPr>
          <w:rFonts w:ascii="Arial" w:hAnsi="Arial" w:cs="Arial"/>
          <w:color w:val="0D0D0D" w:themeColor="text1" w:themeTint="F2"/>
        </w:rPr>
        <w:t xml:space="preserve"> the main selective versus divided attention paradigm was very similar to the staircase design employed above. Participants were first presented with a brief instruction screen, providing a repeat of the task instructions and required keypresses. Participants were then presented with a mean luminance grey screen with white text cueing the attentional focus condition (e.g. Attend to changes in ORIENTATION (selective) or Attend to changes in ORIENTATION or CONTRAST or SHAPE (divided). Participants were presented with the same </w:t>
      </w:r>
      <w:r w:rsidRPr="00225AB0">
        <w:rPr>
          <w:rFonts w:ascii="Arial" w:hAnsi="Arial" w:cs="Arial"/>
          <w:color w:val="0D0D0D" w:themeColor="text1" w:themeTint="F2"/>
        </w:rPr>
        <w:lastRenderedPageBreak/>
        <w:t xml:space="preserve">reference RF pattern as the staircase threshold testing procedure, with a fixed 2.0° average radius, 0° orientation and 50% contrast, for 200ms. This reference RF pattern was presented with a small white letter at central fixation matching the cued featural attentional focus condition (O, C, S, or N, for orientation, contrast, radial amplitude modulation (shape) and divided attention respectively). This reference stimulus was then followed by the same central fixation letter as previous on the same </w:t>
      </w:r>
      <w:r w:rsidR="00E2165A">
        <w:rPr>
          <w:rFonts w:ascii="Arial" w:hAnsi="Arial" w:cs="Arial"/>
          <w:color w:val="0D0D0D" w:themeColor="text1" w:themeTint="F2"/>
        </w:rPr>
        <w:t>mid-grey</w:t>
      </w:r>
      <w:r w:rsidRPr="00225AB0">
        <w:rPr>
          <w:rFonts w:ascii="Arial" w:hAnsi="Arial" w:cs="Arial"/>
          <w:color w:val="0D0D0D" w:themeColor="text1" w:themeTint="F2"/>
        </w:rPr>
        <w:t xml:space="preserve"> luminance background for a 200ms inter-stimulus interval. Following this, in an important distinction from the threshold staircase procedure, a target radial frequency pattern, with the potential to alter in one, multiple or no stimulus features was presented, along with the same attention-specific fixation letter (see Figure</w:t>
      </w:r>
      <w:r w:rsidR="00942659">
        <w:rPr>
          <w:rFonts w:ascii="Arial" w:hAnsi="Arial" w:cs="Arial"/>
          <w:color w:val="0D0D0D" w:themeColor="text1" w:themeTint="F2"/>
        </w:rPr>
        <w:t xml:space="preserve"> 3.1B</w:t>
      </w:r>
      <w:r w:rsidRPr="00225AB0">
        <w:rPr>
          <w:rFonts w:ascii="Arial" w:hAnsi="Arial" w:cs="Arial"/>
          <w:color w:val="0D0D0D" w:themeColor="text1" w:themeTint="F2"/>
        </w:rPr>
        <w:t xml:space="preserve">). </w:t>
      </w:r>
    </w:p>
    <w:p w14:paraId="2A3025EF" w14:textId="77777777" w:rsidR="00CC7DCB" w:rsidRDefault="00CC7DCB" w:rsidP="000C73FA">
      <w:pPr>
        <w:spacing w:line="480" w:lineRule="auto"/>
        <w:rPr>
          <w:rFonts w:ascii="Arial" w:hAnsi="Arial" w:cs="Arial"/>
          <w:color w:val="0D0D0D" w:themeColor="text1" w:themeTint="F2"/>
        </w:rPr>
      </w:pPr>
    </w:p>
    <w:p w14:paraId="142C0710" w14:textId="77777777" w:rsidR="00CC7DCB" w:rsidRDefault="00CC7DCB" w:rsidP="000C73FA">
      <w:pPr>
        <w:spacing w:line="480" w:lineRule="auto"/>
        <w:rPr>
          <w:rFonts w:ascii="Arial" w:hAnsi="Arial" w:cs="Arial"/>
          <w:color w:val="0D0D0D" w:themeColor="text1" w:themeTint="F2"/>
        </w:rPr>
      </w:pPr>
    </w:p>
    <w:p w14:paraId="3D15076B" w14:textId="5D8D1777" w:rsidR="000C73FA" w:rsidRPr="00225AB0" w:rsidRDefault="009F3085" w:rsidP="000C73FA">
      <w:pPr>
        <w:spacing w:line="480" w:lineRule="auto"/>
        <w:rPr>
          <w:rFonts w:ascii="Arial" w:hAnsi="Arial" w:cs="Arial"/>
          <w:color w:val="0D0D0D" w:themeColor="text1" w:themeTint="F2"/>
        </w:rPr>
      </w:pPr>
      <w:r w:rsidRPr="00225AB0">
        <w:rPr>
          <w:rFonts w:ascii="Arial" w:hAnsi="Arial" w:cs="Arial"/>
          <w:noProof/>
          <w:color w:val="0D0D0D" w:themeColor="text1" w:themeTint="F2"/>
          <w:lang w:eastAsia="en-GB"/>
        </w:rPr>
        <w:lastRenderedPageBreak/>
        <mc:AlternateContent>
          <mc:Choice Requires="wps">
            <w:drawing>
              <wp:anchor distT="0" distB="0" distL="114300" distR="114300" simplePos="0" relativeHeight="251799552" behindDoc="0" locked="0" layoutInCell="1" allowOverlap="1" wp14:anchorId="08CA104B" wp14:editId="5032897A">
                <wp:simplePos x="0" y="0"/>
                <wp:positionH relativeFrom="column">
                  <wp:posOffset>-1821180</wp:posOffset>
                </wp:positionH>
                <wp:positionV relativeFrom="paragraph">
                  <wp:posOffset>1562100</wp:posOffset>
                </wp:positionV>
                <wp:extent cx="8881745" cy="5768975"/>
                <wp:effectExtent l="0" t="5715" r="2540" b="2540"/>
                <wp:wrapSquare wrapText="bothSides"/>
                <wp:docPr id="5" name="Text Box 5"/>
                <wp:cNvGraphicFramePr/>
                <a:graphic xmlns:a="http://schemas.openxmlformats.org/drawingml/2006/main">
                  <a:graphicData uri="http://schemas.microsoft.com/office/word/2010/wordprocessingShape">
                    <wps:wsp>
                      <wps:cNvSpPr txBox="1"/>
                      <wps:spPr>
                        <a:xfrm rot="16200000">
                          <a:off x="0" y="0"/>
                          <a:ext cx="8881745" cy="5768975"/>
                        </a:xfrm>
                        <a:prstGeom prst="rect">
                          <a:avLst/>
                        </a:prstGeom>
                        <a:solidFill>
                          <a:schemeClr val="lt1"/>
                        </a:solidFill>
                        <a:ln w="6350">
                          <a:noFill/>
                        </a:ln>
                      </wps:spPr>
                      <wps:txbx>
                        <w:txbxContent>
                          <w:p w14:paraId="47320009" w14:textId="77777777" w:rsidR="00C93BE0" w:rsidRDefault="00C93BE0" w:rsidP="009F3085">
                            <w:pPr>
                              <w:keepNext/>
                              <w:jc w:val="center"/>
                            </w:pPr>
                          </w:p>
                          <w:p w14:paraId="64382E03" w14:textId="77777777" w:rsidR="00C93BE0" w:rsidRDefault="00C93BE0" w:rsidP="009F3085">
                            <w:pPr>
                              <w:pStyle w:val="Caption"/>
                              <w:spacing w:line="360" w:lineRule="auto"/>
                              <w:jc w:val="both"/>
                              <w:rPr>
                                <w:rFonts w:ascii="Arial" w:hAnsi="Arial" w:cs="Arial"/>
                                <w:b/>
                                <w:i w:val="0"/>
                                <w:color w:val="000000" w:themeColor="text1"/>
                                <w:sz w:val="24"/>
                                <w:szCs w:val="24"/>
                              </w:rPr>
                            </w:pPr>
                            <w:r>
                              <w:rPr>
                                <w:noProof/>
                                <w:lang w:eastAsia="en-GB"/>
                              </w:rPr>
                              <w:drawing>
                                <wp:inline distT="0" distB="0" distL="0" distR="0" wp14:anchorId="66E0394B" wp14:editId="4302CD5C">
                                  <wp:extent cx="8225237" cy="3671887"/>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figure3.1-psychophysics_stimuli.png"/>
                                          <pic:cNvPicPr/>
                                        </pic:nvPicPr>
                                        <pic:blipFill rotWithShape="1">
                                          <a:blip r:embed="rId36">
                                            <a:extLst>
                                              <a:ext uri="{28A0092B-C50C-407E-A947-70E740481C1C}">
                                                <a14:useLocalDpi xmlns:a14="http://schemas.microsoft.com/office/drawing/2010/main" val="0"/>
                                              </a:ext>
                                            </a:extLst>
                                          </a:blip>
                                          <a:srcRect l="4977" t="6643" r="1960" b="8325"/>
                                          <a:stretch/>
                                        </pic:blipFill>
                                        <pic:spPr bwMode="auto">
                                          <a:xfrm>
                                            <a:off x="0" y="0"/>
                                            <a:ext cx="8297326" cy="3704069"/>
                                          </a:xfrm>
                                          <a:prstGeom prst="rect">
                                            <a:avLst/>
                                          </a:prstGeom>
                                          <a:ln>
                                            <a:noFill/>
                                          </a:ln>
                                          <a:extLst>
                                            <a:ext uri="{53640926-AAD7-44D8-BBD7-CCE9431645EC}">
                                              <a14:shadowObscured xmlns:a14="http://schemas.microsoft.com/office/drawing/2010/main"/>
                                            </a:ext>
                                          </a:extLst>
                                        </pic:spPr>
                                      </pic:pic>
                                    </a:graphicData>
                                  </a:graphic>
                                </wp:inline>
                              </w:drawing>
                            </w:r>
                          </w:p>
                          <w:p w14:paraId="5A4A13A3" w14:textId="4D9F455A" w:rsidR="00C93BE0" w:rsidRPr="00BE653D" w:rsidRDefault="00C93BE0" w:rsidP="009F3085">
                            <w:pPr>
                              <w:pStyle w:val="Caption"/>
                              <w:spacing w:line="360" w:lineRule="auto"/>
                              <w:jc w:val="both"/>
                              <w:rPr>
                                <w:rFonts w:ascii="Arial" w:hAnsi="Arial" w:cs="Arial"/>
                                <w:i w:val="0"/>
                                <w:color w:val="000000" w:themeColor="text1"/>
                                <w:sz w:val="24"/>
                                <w:szCs w:val="24"/>
                              </w:rPr>
                            </w:pPr>
                            <w:bookmarkStart w:id="375" w:name="_Toc12363346"/>
                            <w:bookmarkStart w:id="376" w:name="_Toc16242703"/>
                            <w:r w:rsidRPr="00F357F9">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F357F9">
                              <w:rPr>
                                <w:rFonts w:ascii="Arial" w:hAnsi="Arial" w:cs="Arial"/>
                                <w:i w:val="0"/>
                                <w:color w:val="000000" w:themeColor="text1"/>
                                <w:sz w:val="24"/>
                                <w:szCs w:val="24"/>
                              </w:rPr>
                              <w:t xml:space="preserve"> Exemplar threshold staircasing and selective versus divided trials. A) provides an example of an orientation threshold detection staircase</w:t>
                            </w:r>
                            <w:r>
                              <w:rPr>
                                <w:rFonts w:ascii="Arial" w:hAnsi="Arial" w:cs="Arial"/>
                                <w:i w:val="0"/>
                                <w:color w:val="000000" w:themeColor="text1"/>
                                <w:sz w:val="24"/>
                                <w:szCs w:val="24"/>
                              </w:rPr>
                              <w:t xml:space="preserve">. Participants viewed a reference radial frequency pattern and compared this to the presentation of a target radial frequency pattern which could alter in one of two directions for each visual feature (e.g. clockwise versus anticlockwise). Participants responded to indicate the direction of change. The difficulty of the task increased with every correct answer within a Bayesian staircase. </w:t>
                            </w:r>
                            <w:r w:rsidRPr="00F357F9">
                              <w:rPr>
                                <w:rFonts w:ascii="Arial" w:hAnsi="Arial" w:cs="Arial"/>
                                <w:i w:val="0"/>
                                <w:color w:val="000000" w:themeColor="text1"/>
                                <w:sz w:val="24"/>
                                <w:szCs w:val="24"/>
                              </w:rPr>
                              <w:t xml:space="preserve"> B) reflects an individual trial within </w:t>
                            </w:r>
                            <w:r>
                              <w:rPr>
                                <w:rFonts w:ascii="Arial" w:hAnsi="Arial" w:cs="Arial"/>
                                <w:i w:val="0"/>
                                <w:color w:val="000000" w:themeColor="text1"/>
                                <w:sz w:val="24"/>
                                <w:szCs w:val="24"/>
                              </w:rPr>
                              <w:t>the selective versus distributed paradigm. Participants made a yes/no ‘same/different’ response based on the presence/absence of a change in the attended feature(s).</w:t>
                            </w:r>
                            <w:bookmarkEnd w:id="375"/>
                            <w:bookmarkEnd w:id="37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A104B" id="Text Box 5" o:spid="_x0000_s1041" type="#_x0000_t202" style="position:absolute;margin-left:-143.4pt;margin-top:123pt;width:699.35pt;height:454.25pt;rotation:-9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" fillcolor="white [3201]" stroked="f" strokeweight=".5pt">
                <v:textbox>
                  <w:txbxContent>
                    <w:p w14:paraId="47320009" w14:textId="77777777" w:rsidR="00C93BE0" w:rsidRDefault="00C93BE0" w:rsidP="009F3085">
                      <w:pPr>
                        <w:keepNext/>
                        <w:jc w:val="center"/>
                      </w:pPr>
                    </w:p>
                    <w:p w14:paraId="64382E03" w14:textId="77777777" w:rsidR="00C93BE0" w:rsidRDefault="00C93BE0" w:rsidP="009F3085">
                      <w:pPr>
                        <w:pStyle w:val="Caption"/>
                        <w:spacing w:line="360" w:lineRule="auto"/>
                        <w:jc w:val="both"/>
                        <w:rPr>
                          <w:rFonts w:ascii="Arial" w:hAnsi="Arial" w:cs="Arial"/>
                          <w:b/>
                          <w:i w:val="0"/>
                          <w:color w:val="000000" w:themeColor="text1"/>
                          <w:sz w:val="24"/>
                          <w:szCs w:val="24"/>
                        </w:rPr>
                      </w:pPr>
                      <w:r>
                        <w:rPr>
                          <w:noProof/>
                          <w:lang w:eastAsia="en-GB"/>
                        </w:rPr>
                        <w:drawing>
                          <wp:inline distT="0" distB="0" distL="0" distR="0" wp14:anchorId="66E0394B" wp14:editId="4302CD5C">
                            <wp:extent cx="8225237" cy="3671887"/>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figure3.1-psychophysics_stimuli.png"/>
                                    <pic:cNvPicPr/>
                                  </pic:nvPicPr>
                                  <pic:blipFill rotWithShape="1">
                                    <a:blip r:embed="rId37">
                                      <a:extLst>
                                        <a:ext uri="{28A0092B-C50C-407E-A947-70E740481C1C}">
                                          <a14:useLocalDpi xmlns:a14="http://schemas.microsoft.com/office/drawing/2010/main" val="0"/>
                                        </a:ext>
                                      </a:extLst>
                                    </a:blip>
                                    <a:srcRect l="4977" t="6643" r="1960" b="8325"/>
                                    <a:stretch/>
                                  </pic:blipFill>
                                  <pic:spPr bwMode="auto">
                                    <a:xfrm>
                                      <a:off x="0" y="0"/>
                                      <a:ext cx="8297326" cy="3704069"/>
                                    </a:xfrm>
                                    <a:prstGeom prst="rect">
                                      <a:avLst/>
                                    </a:prstGeom>
                                    <a:ln>
                                      <a:noFill/>
                                    </a:ln>
                                    <a:extLst>
                                      <a:ext uri="{53640926-AAD7-44D8-BBD7-CCE9431645EC}">
                                        <a14:shadowObscured xmlns:a14="http://schemas.microsoft.com/office/drawing/2010/main"/>
                                      </a:ext>
                                    </a:extLst>
                                  </pic:spPr>
                                </pic:pic>
                              </a:graphicData>
                            </a:graphic>
                          </wp:inline>
                        </w:drawing>
                      </w:r>
                    </w:p>
                    <w:p w14:paraId="5A4A13A3" w14:textId="4D9F455A" w:rsidR="00C93BE0" w:rsidRPr="00BE653D" w:rsidRDefault="00C93BE0" w:rsidP="009F3085">
                      <w:pPr>
                        <w:pStyle w:val="Caption"/>
                        <w:spacing w:line="360" w:lineRule="auto"/>
                        <w:jc w:val="both"/>
                        <w:rPr>
                          <w:rFonts w:ascii="Arial" w:hAnsi="Arial" w:cs="Arial"/>
                          <w:i w:val="0"/>
                          <w:color w:val="000000" w:themeColor="text1"/>
                          <w:sz w:val="24"/>
                          <w:szCs w:val="24"/>
                        </w:rPr>
                      </w:pPr>
                      <w:bookmarkStart w:id="404" w:name="_Toc12363346"/>
                      <w:bookmarkStart w:id="405" w:name="_Toc16242703"/>
                      <w:r w:rsidRPr="00F357F9">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F357F9">
                        <w:rPr>
                          <w:rFonts w:ascii="Arial" w:hAnsi="Arial" w:cs="Arial"/>
                          <w:i w:val="0"/>
                          <w:color w:val="000000" w:themeColor="text1"/>
                          <w:sz w:val="24"/>
                          <w:szCs w:val="24"/>
                        </w:rPr>
                        <w:t xml:space="preserve"> Exemplar threshold staircasing and selective versus divided trials. A) provides an example of an orientation threshold detection staircase</w:t>
                      </w:r>
                      <w:r>
                        <w:rPr>
                          <w:rFonts w:ascii="Arial" w:hAnsi="Arial" w:cs="Arial"/>
                          <w:i w:val="0"/>
                          <w:color w:val="000000" w:themeColor="text1"/>
                          <w:sz w:val="24"/>
                          <w:szCs w:val="24"/>
                        </w:rPr>
                        <w:t xml:space="preserve">. Participants viewed a reference radial frequency pattern and compared this to the presentation of a target radial frequency pattern which could alter in one of two directions for each visual feature (e.g. clockwise versus anticlockwise). Participants responded to indicate the direction of change. The difficulty of the task increased with every correct answer within a Bayesian staircase. </w:t>
                      </w:r>
                      <w:r w:rsidRPr="00F357F9">
                        <w:rPr>
                          <w:rFonts w:ascii="Arial" w:hAnsi="Arial" w:cs="Arial"/>
                          <w:i w:val="0"/>
                          <w:color w:val="000000" w:themeColor="text1"/>
                          <w:sz w:val="24"/>
                          <w:szCs w:val="24"/>
                        </w:rPr>
                        <w:t xml:space="preserve"> B) reflects an individual trial within </w:t>
                      </w:r>
                      <w:r>
                        <w:rPr>
                          <w:rFonts w:ascii="Arial" w:hAnsi="Arial" w:cs="Arial"/>
                          <w:i w:val="0"/>
                          <w:color w:val="000000" w:themeColor="text1"/>
                          <w:sz w:val="24"/>
                          <w:szCs w:val="24"/>
                        </w:rPr>
                        <w:t>the selective versus distributed paradigm. Participants made a yes/no ‘same/different’ response based on the presence/absence of a change in the attended feature(s).</w:t>
                      </w:r>
                      <w:bookmarkEnd w:id="404"/>
                      <w:bookmarkEnd w:id="405"/>
                    </w:p>
                  </w:txbxContent>
                </v:textbox>
                <w10:wrap type="square"/>
              </v:shape>
            </w:pict>
          </mc:Fallback>
        </mc:AlternateContent>
      </w:r>
    </w:p>
    <w:p w14:paraId="6ACA6E4F" w14:textId="55CD78D7" w:rsidR="000C73FA" w:rsidRPr="00225AB0" w:rsidRDefault="000C73FA" w:rsidP="000C73FA">
      <w:pPr>
        <w:spacing w:line="480" w:lineRule="auto"/>
        <w:rPr>
          <w:rFonts w:ascii="Arial" w:hAnsi="Arial" w:cs="Arial"/>
          <w:color w:val="0D0D0D" w:themeColor="text1" w:themeTint="F2"/>
        </w:rPr>
      </w:pPr>
      <w:r w:rsidRPr="00225AB0">
        <w:rPr>
          <w:rFonts w:ascii="Arial" w:hAnsi="Arial" w:cs="Arial"/>
          <w:color w:val="0D0D0D" w:themeColor="text1" w:themeTint="F2"/>
        </w:rPr>
        <w:lastRenderedPageBreak/>
        <w:t xml:space="preserve">The averaged 75% correct detection thresholds of changes in each of the three stimulus features gained via previous </w:t>
      </w:r>
      <w:r w:rsidR="00B22E1F">
        <w:rPr>
          <w:rFonts w:ascii="Arial" w:hAnsi="Arial" w:cs="Arial"/>
          <w:color w:val="0D0D0D" w:themeColor="text1" w:themeTint="F2"/>
        </w:rPr>
        <w:t>B</w:t>
      </w:r>
      <w:r w:rsidR="00A3496F">
        <w:rPr>
          <w:rFonts w:ascii="Arial" w:hAnsi="Arial" w:cs="Arial"/>
          <w:color w:val="0D0D0D" w:themeColor="text1" w:themeTint="F2"/>
        </w:rPr>
        <w:t>ayesian</w:t>
      </w:r>
      <w:r w:rsidRPr="00225AB0">
        <w:rPr>
          <w:rFonts w:ascii="Arial" w:hAnsi="Arial" w:cs="Arial"/>
          <w:color w:val="0D0D0D" w:themeColor="text1" w:themeTint="F2"/>
        </w:rPr>
        <w:t xml:space="preserve"> staircases (described above) were used in this experiment to ensure the changes in stimulus features were calibrated to each participants</w:t>
      </w:r>
      <w:r w:rsidR="00331B19">
        <w:rPr>
          <w:rFonts w:ascii="Arial" w:hAnsi="Arial" w:cs="Arial"/>
          <w:color w:val="0D0D0D" w:themeColor="text1" w:themeTint="F2"/>
        </w:rPr>
        <w:t>’</w:t>
      </w:r>
      <w:r w:rsidRPr="00225AB0">
        <w:rPr>
          <w:rFonts w:ascii="Arial" w:hAnsi="Arial" w:cs="Arial"/>
          <w:color w:val="0D0D0D" w:themeColor="text1" w:themeTint="F2"/>
        </w:rPr>
        <w:t xml:space="preserve"> level of change perception and to ensure we controlled for the level of attention across participants- maintaining an equal difficultly of task for all features and participants. These 75% correct detection thresholds were doubled for each participant, and these values specified the amount change in each stimulus feature. Unlike the threshold staircases, to help ensure the task remained a manageable difficulty, stimulus features only altered in one direction (anticlockwise orientation, increased contrast and ‘spikier’ shape). </w:t>
      </w:r>
    </w:p>
    <w:p w14:paraId="72F6AFC0" w14:textId="77777777" w:rsidR="000C73FA" w:rsidRPr="00225AB0" w:rsidRDefault="000C73FA" w:rsidP="000C73FA">
      <w:pPr>
        <w:spacing w:line="480" w:lineRule="auto"/>
        <w:rPr>
          <w:rFonts w:ascii="Arial" w:hAnsi="Arial" w:cs="Arial"/>
          <w:color w:val="0D0D0D" w:themeColor="text1" w:themeTint="F2"/>
        </w:rPr>
      </w:pPr>
    </w:p>
    <w:p w14:paraId="7CC15E0B" w14:textId="46A1ADEB" w:rsidR="000C73FA" w:rsidRDefault="000C73FA" w:rsidP="000C73FA">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The frequency of these feature changes </w:t>
      </w:r>
      <w:r w:rsidR="00E2165A">
        <w:rPr>
          <w:rFonts w:ascii="Arial" w:hAnsi="Arial" w:cs="Arial"/>
          <w:color w:val="0D0D0D" w:themeColor="text1" w:themeTint="F2"/>
        </w:rPr>
        <w:t>was</w:t>
      </w:r>
      <w:r w:rsidRPr="00225AB0">
        <w:rPr>
          <w:rFonts w:ascii="Arial" w:hAnsi="Arial" w:cs="Arial"/>
          <w:color w:val="0D0D0D" w:themeColor="text1" w:themeTint="F2"/>
        </w:rPr>
        <w:t xml:space="preserve"> manipulated in two different trial types. Previous literature contains examples of constant change distributions across conditions; keeping the number of changes </w:t>
      </w:r>
      <w:r w:rsidR="00E2165A">
        <w:rPr>
          <w:rFonts w:ascii="Arial" w:hAnsi="Arial" w:cs="Arial"/>
          <w:color w:val="0D0D0D" w:themeColor="text1" w:themeTint="F2"/>
        </w:rPr>
        <w:t>consistent</w:t>
      </w:r>
      <w:r w:rsidRPr="00225AB0">
        <w:rPr>
          <w:rFonts w:ascii="Arial" w:hAnsi="Arial" w:cs="Arial"/>
          <w:color w:val="0D0D0D" w:themeColor="text1" w:themeTint="F2"/>
        </w:rPr>
        <w:t xml:space="preserve"> across selective and divided blocks </w:t>
      </w:r>
      <w:r w:rsidRPr="00225AB0">
        <w:rPr>
          <w:rFonts w:ascii="Arial" w:hAnsi="Arial" w:cs="Arial"/>
          <w:color w:val="0D0D0D" w:themeColor="text1" w:themeTint="F2"/>
        </w:rPr>
        <w:fldChar w:fldCharType="begin"/>
      </w:r>
      <w:r w:rsidR="00321AB9">
        <w:rPr>
          <w:rFonts w:ascii="Arial" w:hAnsi="Arial" w:cs="Arial"/>
          <w:color w:val="0D0D0D" w:themeColor="text1" w:themeTint="F2"/>
        </w:rPr>
        <w:instrText xml:space="preserve"> ADDIN ZOTERO_ITEM CSL_CITATION {"citationID":"qrwXgLc6","properties":{"formattedCitation":"(Hahn et al., 2008)","plainCitation":"(Hahn et al., 2008)","dontUpdate":true,"noteIndex":0},"citationItems":[{"id":79,"uris":["http://zotero.org/groups/318634/items/5A3VZA88"],"uri":["http://zotero.org/groups/318634/items/5A3VZA88"],"itemData":{"id":79,"type":"article-journal","title":"Divided versus selective attention: evidence for common processing mechanisms","container-title":"Brain research","page":"137-146","volume":"1215","source":"PubMed Central","abstract":"The current study revisited the question of whether there are brain mechanisms specific to divided attention that differ from those used in selective attention. Increased neuronal activity required to simultaneously process two stimulus dimensions as compared with each separate dimension has often been observed, but rarely has activity induced by a divided attention condition exceeded the sum of activity induced by the component tasks. Healthy participants performed a selective-divided attention paradigm while undergoing functional Magnetic Resonance Imaging (fMRI). The task required participants to make a same-different judgment about either one of two simultaneously presented stimulus dimensions, or about both dimensions. Performance accuracy was equated between tasks by dynamically adjusting the stimulus display time. Blood Oxygenation Level Dependent (BOLD) signal differences between tasks were identified by whole-brain voxel-wise comparisons and by region-specific analyses of all areas modulated by the divided attention task (DIV). No region displayed greater activation or deactivation by DIV than the sum of signal change by the two selective attention tasks. Instead, regional activity followed the tasks’ processing demands as reflected by reaction time. Only a left cerebellar region displayed a correlation between participants’ BOLD signal intensity and reaction time that was selective for DIV. The correlation was positive, reflecting slower responding with greater activation. Overall, the findings do not support the existence of functional brain activity specific to DIV. Increased activity appears to reflect additional processing demands by introducing a secondary task, but those demands do not appear to qualitatively differ from processes of selective attention.","DOI":"10.1016/j.brainres.2008.03.058","ISSN":"0006-8993","note":"PMID: 18479670\nPMCID: PMC2497334","title-short":"Divided versus selective attention","journalAbbreviation":"Brain Res","author":[{"family":"Hahn","given":"Britta"},{"family":"Wolkenberg","given":"Frank A."},{"family":"Ross","given":"Thomas J."},{"family":"Myers","given":"Carol S."},{"family":"Heishman","given":"Stephen J."},{"family":"Stein","given":"Dan J."},{"family":"Kurup","given":"Pradeep K."},{"family":"Stein","given":"Elliot A."}],"issued":{"date-parts":[["2008",6,18]]}}}],"schema":"https://github.com/citation-style-language/schema/raw/master/csl-citation.json"}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noProof/>
          <w:color w:val="0D0D0D" w:themeColor="text1" w:themeTint="F2"/>
        </w:rPr>
        <w:t>(e.g. Hahn et al., 2008)</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It also contains examples of equal response distributions; where the number of signal trials are kept constant across blocks (e.g.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{"citationID":"UzqEyGUC","properties":{"formattedCitation":"(Corbetta et al., 1990, 1991)","plainCitation":"(Corbetta et al., 1990, 1991)","dontUpdate":true,"noteIndex":0},"citationItems":[{"id":128,"uris":["http://zotero.org/groups/318634/items/LHCBHC5P"],"uri":["http://zotero.org/groups/318634/items/LHCBHC5P"],"itemData":{"id":128,"type":"article-journal","title":"Attentional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E."}],"issued":{"date-parts":[["1990"]]}}},{"id":88,"uris":["http://zotero.org/groups/318634/items/2CXE5HB4"],"uri":["http://zotero.org/groups/318634/items/2CXE5HB4"],"itemData":{"id":88,"type":"article-journal","title":"Selective and divided attention during visual discriminations of shape, color, and speed: functional anatomy by positron emission tomography","container-title":"The Journal of Neuroscience: The Official Journal of the Society for Neuroscience","page":"2383-2402","volume":"11","issue":"8","source":"PubMed","abstract":"Positron emission tomography (PET) was used to identify the neural systems involved in discriminating the shape, color, and speed of a visual stimulus under conditions of selective and divided attention. Psychophysical evidence indicated that the sensitivity for discriminating subtle stimulus changes in a same-different matching task was higher when subjects selectively attended to one attribute than when they divided attention among the attributes. PET measurements of brain activity indicated that modulations of extrastriate visual activity were primarily produced by task conditions of selective attention. Attention to speed activated a region in the left inferior parietal lobule. Attention to color activated a region in the collateral sulcus and dorsolateral occipital cortex, while attention to shape activated collateral sulcus (similarly to color), fusiform and parahippocampal gyri, and temporal cortex along the superior temporal sulcus. Outside the visual system, selective and divided attention activated nonoverlapping sets of brain regions. Selective conditions activated globus pallidus, caudate nucleus, lateral orbitofrontal cortex, posterior thalamus/colliculus, and insular-premotor regions, while the divided condition activated the anterior cingulate and dorsolateral prefrontal cortex. The results in the visual system demonstrate that selective attention to different features modulates activity in distinct regions of extrastriate cortex that appear to be specialized for processing the selected feature. The disjoint pattern of activations in extravisual brain regions during selective- and divided-attention conditions also suggests that preceptual judgements involve different neural systems, depending on attentional strategies.","ISSN":"0270-6474","note":"PMID: 1869921","title-short":"Selective and divided attention during visual discriminations of shape, color, and speed","journalAbbreviation":"J. Neurosci.","language":"eng","author":[{"family":"Corbetta","given":"M."},{"family":"Miezin","given":"F. M."},{"family":"Dobmeyer","given":"S."},{"family":"Shulman","given":"G. L."},{"family":"Petersen","given":"S. E."}],"issued":{"date-parts":[["1991",8]]}}}],"schema":"https://github.com/citation-style-language/schema/raw/master/csl-citation.json"}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Corbetta et al., 1990)</w:t>
      </w:r>
      <w:r w:rsidRPr="00225AB0">
        <w:rPr>
          <w:rFonts w:ascii="Arial" w:hAnsi="Arial" w:cs="Arial"/>
          <w:color w:val="000000" w:themeColor="text1"/>
        </w:rPr>
        <w:fldChar w:fldCharType="end"/>
      </w:r>
      <w:r w:rsidRPr="00225AB0">
        <w:rPr>
          <w:rFonts w:ascii="Arial" w:hAnsi="Arial" w:cs="Arial"/>
          <w:color w:val="000000" w:themeColor="text1"/>
        </w:rPr>
        <w:t>.</w:t>
      </w:r>
      <w:r w:rsidRPr="00225AB0">
        <w:rPr>
          <w:rFonts w:ascii="Arial" w:hAnsi="Arial" w:cs="Arial"/>
          <w:color w:val="0D0D0D" w:themeColor="text1" w:themeTint="F2"/>
        </w:rPr>
        <w:t xml:space="preserve"> Both equal and unequal change conditions were tested in this experiment. The unequal change condition involved keeping the number of stimulus changes constant across selective and divided featural attention blocks. In these blocks, the probability of change in any stimulus feature was 20%, regardless of the attentional focus block. In selective attention blocks, where participants are required to respond to changes in only one stimulus feature (e.g. respond to orientation), approximately 20% of trials require a ‘different’ response from the participant. However, </w:t>
      </w:r>
      <w:r w:rsidR="00D44AC6">
        <w:rPr>
          <w:rFonts w:ascii="Arial" w:hAnsi="Arial" w:cs="Arial"/>
          <w:color w:val="0D0D0D" w:themeColor="text1" w:themeTint="F2"/>
        </w:rPr>
        <w:t>in</w:t>
      </w:r>
      <w:r w:rsidRPr="00225AB0">
        <w:rPr>
          <w:rFonts w:ascii="Arial" w:hAnsi="Arial" w:cs="Arial"/>
          <w:color w:val="0D0D0D" w:themeColor="text1" w:themeTint="F2"/>
        </w:rPr>
        <w:t xml:space="preserve"> the divided attention condition, where </w:t>
      </w:r>
      <w:r w:rsidRPr="00225AB0">
        <w:rPr>
          <w:rFonts w:ascii="Arial" w:hAnsi="Arial" w:cs="Arial"/>
          <w:color w:val="0D0D0D" w:themeColor="text1" w:themeTint="F2"/>
        </w:rPr>
        <w:lastRenderedPageBreak/>
        <w:t xml:space="preserve">participants are asked to respond to changes in any stimulus feature, participants should respond ‘different’ on approximately 60% of trials, hence the number of trials containing a signal are not equal across selective and distributed attention blocks. </w:t>
      </w:r>
    </w:p>
    <w:p w14:paraId="2141D198" w14:textId="77777777" w:rsidR="003874FF" w:rsidRPr="00225AB0" w:rsidRDefault="003874FF" w:rsidP="000C73FA">
      <w:pPr>
        <w:spacing w:line="480" w:lineRule="auto"/>
        <w:rPr>
          <w:rFonts w:ascii="Arial" w:hAnsi="Arial" w:cs="Arial"/>
          <w:color w:val="0D0D0D" w:themeColor="text1" w:themeTint="F2"/>
        </w:rPr>
      </w:pPr>
    </w:p>
    <w:p w14:paraId="751288F6" w14:textId="77777777" w:rsidR="000C73FA" w:rsidRPr="00225AB0" w:rsidRDefault="000C73FA" w:rsidP="000C73FA">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Conversely, the equal change condition involved keeping the number of signal trials constant across the different attentional blocks. In the selective attention conditions, the number of potential trials to respond to was still approximately 20%, as the change in any one stimulus feature remains at 20% probability, so although 60% of trials were changing in stimulus feature, only 20% of changes matched the feature of attentional focus. However, in the divided conditions, each stimulus had a 6.66% probability of change, such that overall, the number of changes in all stimulus features (the number of trials requiring a ‘different’ response) was approximately 20%, matching the number of signal trials in the selective conditions- an equal distribution of stimulus changes requiring a response across the conditions.  </w:t>
      </w:r>
    </w:p>
    <w:p w14:paraId="631D2FEA" w14:textId="77777777" w:rsidR="000C73FA" w:rsidRPr="00225AB0" w:rsidRDefault="000C73FA" w:rsidP="000C73FA">
      <w:pPr>
        <w:spacing w:line="480" w:lineRule="auto"/>
        <w:rPr>
          <w:rFonts w:ascii="Arial" w:hAnsi="Arial" w:cs="Arial"/>
          <w:color w:val="0D0D0D" w:themeColor="text1" w:themeTint="F2"/>
        </w:rPr>
      </w:pPr>
    </w:p>
    <w:p w14:paraId="71C4093C" w14:textId="02CF0A63" w:rsidR="000C73FA" w:rsidRPr="00225AB0" w:rsidRDefault="000C73FA" w:rsidP="000C73FA">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Regardless of the distribution of stimulus change condition, participants viewed the target RF pattern for 200ms, and were then presented with the same </w:t>
      </w:r>
      <w:r w:rsidR="005E4376">
        <w:rPr>
          <w:rFonts w:ascii="Arial" w:hAnsi="Arial" w:cs="Arial"/>
          <w:color w:val="0D0D0D" w:themeColor="text1" w:themeTint="F2"/>
        </w:rPr>
        <w:t>single</w:t>
      </w:r>
      <w:r w:rsidRPr="00225AB0">
        <w:rPr>
          <w:rFonts w:ascii="Arial" w:hAnsi="Arial" w:cs="Arial"/>
          <w:color w:val="0D0D0D" w:themeColor="text1" w:themeTint="F2"/>
        </w:rPr>
        <w:t xml:space="preserve"> central attention-specific fixation letter for 800ms, in which they were required to make same-different responses in respect of their directed attentional focus (‘A’ (different) or ‘L’ (same) keyboard responses). The attended feature was randomly allocated in each selective attention block and the order of equal and unequal change distribution runs was counterbalanced across participants. </w:t>
      </w:r>
    </w:p>
    <w:p w14:paraId="08A32BDA" w14:textId="77777777" w:rsidR="000C73FA" w:rsidRPr="00225AB0" w:rsidRDefault="000C73FA" w:rsidP="000C73FA">
      <w:pPr>
        <w:spacing w:line="480" w:lineRule="auto"/>
        <w:rPr>
          <w:rFonts w:ascii="Arial" w:hAnsi="Arial" w:cs="Arial"/>
          <w:color w:val="0D0D0D" w:themeColor="text1" w:themeTint="F2"/>
        </w:rPr>
      </w:pPr>
    </w:p>
    <w:p w14:paraId="76D5F0C8" w14:textId="77777777" w:rsidR="00CC7DCB" w:rsidRDefault="000C73FA" w:rsidP="000C73FA">
      <w:pPr>
        <w:spacing w:line="480" w:lineRule="auto"/>
        <w:rPr>
          <w:rFonts w:ascii="Arial" w:hAnsi="Arial" w:cs="Arial"/>
          <w:color w:val="0D0D0D" w:themeColor="text1" w:themeTint="F2"/>
        </w:rPr>
      </w:pPr>
      <w:r w:rsidRPr="00225AB0">
        <w:rPr>
          <w:rFonts w:ascii="Arial" w:hAnsi="Arial" w:cs="Arial"/>
          <w:color w:val="0D0D0D" w:themeColor="text1" w:themeTint="F2"/>
        </w:rPr>
        <w:lastRenderedPageBreak/>
        <w:t xml:space="preserve">Participants completed 50 trials per block, and there were 4 blocks per run (2 selective and 2 divided), hence a total of 200 trials per run (100 selective and 100 divided). At the end of each block (50 trials) participants were able to take a break and initiate the next block of testing themselves, by pressing the spacebar. In a single testing session, participants completed 4 runs (2 equal and 2 unequal), such that each participant contributed 200 selective and 200 </w:t>
      </w:r>
      <w:r w:rsidR="00E2165A">
        <w:rPr>
          <w:rFonts w:ascii="Arial" w:hAnsi="Arial" w:cs="Arial"/>
          <w:color w:val="0D0D0D" w:themeColor="text1" w:themeTint="F2"/>
        </w:rPr>
        <w:t>divided</w:t>
      </w:r>
      <w:r w:rsidRPr="00225AB0">
        <w:rPr>
          <w:rFonts w:ascii="Arial" w:hAnsi="Arial" w:cs="Arial"/>
          <w:color w:val="0D0D0D" w:themeColor="text1" w:themeTint="F2"/>
        </w:rPr>
        <w:t xml:space="preserve"> trials for equal and unequal change distribution conditions respectively. Each run lasted 5 minutes, such that an entire testing session lasted approximately 30 minutes. After completing all 4 runs, participants were debriefed as to the aims of the experiment. </w:t>
      </w:r>
    </w:p>
    <w:p w14:paraId="08831767" w14:textId="77777777" w:rsidR="00455E2F" w:rsidRPr="00225AB0" w:rsidRDefault="00455E2F" w:rsidP="000C73FA">
      <w:pPr>
        <w:spacing w:line="480" w:lineRule="auto"/>
        <w:rPr>
          <w:rFonts w:ascii="Arial" w:hAnsi="Arial" w:cs="Arial"/>
          <w:color w:val="0D0D0D" w:themeColor="text1" w:themeTint="F2"/>
        </w:rPr>
      </w:pPr>
    </w:p>
    <w:p w14:paraId="28258FE1" w14:textId="77777777" w:rsidR="000C73FA" w:rsidRDefault="000C73FA" w:rsidP="001811CC">
      <w:pPr>
        <w:pStyle w:val="Heading2"/>
        <w:numPr>
          <w:ilvl w:val="1"/>
          <w:numId w:val="4"/>
        </w:numPr>
        <w:rPr>
          <w:rFonts w:ascii="Arial" w:hAnsi="Arial" w:cs="Arial"/>
          <w:b/>
          <w:color w:val="000000" w:themeColor="text1"/>
          <w:sz w:val="28"/>
          <w:szCs w:val="28"/>
        </w:rPr>
      </w:pPr>
      <w:bookmarkStart w:id="377" w:name="_Toc11147989"/>
      <w:bookmarkStart w:id="378" w:name="_Toc11153936"/>
      <w:bookmarkStart w:id="379" w:name="_Toc11753640"/>
      <w:bookmarkStart w:id="380" w:name="_Toc11926826"/>
      <w:bookmarkStart w:id="381" w:name="_Toc11930062"/>
      <w:bookmarkStart w:id="382" w:name="_Toc16075378"/>
      <w:bookmarkStart w:id="383" w:name="_Toc16236998"/>
      <w:r w:rsidRPr="00455E2F">
        <w:rPr>
          <w:rFonts w:ascii="Arial" w:hAnsi="Arial" w:cs="Arial"/>
          <w:b/>
          <w:color w:val="000000" w:themeColor="text1"/>
          <w:sz w:val="28"/>
          <w:szCs w:val="28"/>
        </w:rPr>
        <w:t>Results</w:t>
      </w:r>
      <w:bookmarkEnd w:id="377"/>
      <w:bookmarkEnd w:id="378"/>
      <w:bookmarkEnd w:id="379"/>
      <w:bookmarkEnd w:id="380"/>
      <w:bookmarkEnd w:id="381"/>
      <w:bookmarkEnd w:id="382"/>
      <w:bookmarkEnd w:id="383"/>
    </w:p>
    <w:p w14:paraId="440D6CD3" w14:textId="77777777" w:rsidR="00455E2F" w:rsidRPr="00455E2F" w:rsidRDefault="00455E2F" w:rsidP="00455E2F"/>
    <w:p w14:paraId="5214BC6F" w14:textId="10C13014" w:rsidR="000C73FA" w:rsidRPr="00225AB0" w:rsidRDefault="000C73FA" w:rsidP="000C73FA">
      <w:pPr>
        <w:spacing w:line="480" w:lineRule="auto"/>
        <w:rPr>
          <w:rFonts w:ascii="Arial" w:hAnsi="Arial" w:cs="Arial"/>
        </w:rPr>
      </w:pPr>
      <w:r w:rsidRPr="00225AB0">
        <w:rPr>
          <w:rFonts w:ascii="Arial" w:hAnsi="Arial" w:cs="Arial"/>
        </w:rPr>
        <w:t xml:space="preserve">As a result of the complete randomisation of selective feature blocks, some participants were missing data from a </w:t>
      </w:r>
      <w:r w:rsidR="005E4376">
        <w:rPr>
          <w:rFonts w:ascii="Arial" w:hAnsi="Arial" w:cs="Arial"/>
        </w:rPr>
        <w:t>single</w:t>
      </w:r>
      <w:r w:rsidRPr="00225AB0">
        <w:rPr>
          <w:rFonts w:ascii="Arial" w:hAnsi="Arial" w:cs="Arial"/>
        </w:rPr>
        <w:t xml:space="preserve"> selective attentional focus condition. For these participants, we created simulated response blocks via bootstrapping, selecting 50 trials with replacement from all trials for that condition concatenated across all participants. Hence, we select trials from multiple participants for a </w:t>
      </w:r>
      <w:r w:rsidR="005E4376">
        <w:rPr>
          <w:rFonts w:ascii="Arial" w:hAnsi="Arial" w:cs="Arial"/>
        </w:rPr>
        <w:t>single</w:t>
      </w:r>
      <w:r w:rsidRPr="00225AB0">
        <w:rPr>
          <w:rFonts w:ascii="Arial" w:hAnsi="Arial" w:cs="Arial"/>
        </w:rPr>
        <w:t xml:space="preserve"> condition and combine these to create a simulated set of block responses. This ensured every participant had response data for all three selective attentional conditions. </w:t>
      </w:r>
    </w:p>
    <w:p w14:paraId="008DC9BE" w14:textId="77777777" w:rsidR="000C73FA" w:rsidRPr="00225AB0" w:rsidRDefault="000C73FA" w:rsidP="000C73FA">
      <w:pPr>
        <w:spacing w:line="480" w:lineRule="auto"/>
        <w:rPr>
          <w:rFonts w:ascii="Arial" w:hAnsi="Arial" w:cs="Arial"/>
        </w:rPr>
      </w:pPr>
    </w:p>
    <w:p w14:paraId="5A812236" w14:textId="5FCBBDA3" w:rsidR="000C73FA" w:rsidRPr="00225AB0" w:rsidRDefault="000C73FA" w:rsidP="000C73FA">
      <w:pPr>
        <w:spacing w:line="480" w:lineRule="auto"/>
        <w:rPr>
          <w:rFonts w:ascii="Arial" w:hAnsi="Arial" w:cs="Arial"/>
        </w:rPr>
      </w:pPr>
      <w:r w:rsidRPr="00225AB0">
        <w:rPr>
          <w:rFonts w:ascii="Arial" w:hAnsi="Arial" w:cs="Arial"/>
        </w:rPr>
        <w:t xml:space="preserve">Data for each participant were concatenated across runs for the equal and unequal analyses separately. Across these 400 trials, data were split into individual attentional focus conditions (orientation, contrast, shape and divided). We removed data from any trial where the response time was less than 100ms, taken to be the minimum plausible human reaction time to the </w:t>
      </w:r>
      <w:r w:rsidRPr="00225AB0">
        <w:rPr>
          <w:rFonts w:ascii="Arial" w:hAnsi="Arial" w:cs="Arial"/>
        </w:rPr>
        <w:lastRenderedPageBreak/>
        <w:t xml:space="preserve">stimulus). This resulted in the removal of a maximum of one trial </w:t>
      </w:r>
      <w:r w:rsidR="00D44AC6">
        <w:rPr>
          <w:rFonts w:ascii="Arial" w:hAnsi="Arial" w:cs="Arial"/>
        </w:rPr>
        <w:t>in</w:t>
      </w:r>
      <w:r w:rsidRPr="00225AB0">
        <w:rPr>
          <w:rFonts w:ascii="Arial" w:hAnsi="Arial" w:cs="Arial"/>
        </w:rPr>
        <w:t xml:space="preserve"> each condition. Additionally, any trial where the participant failed to make a response was also removed from analysis. </w:t>
      </w:r>
    </w:p>
    <w:p w14:paraId="270A678F" w14:textId="77777777" w:rsidR="000C73FA" w:rsidRPr="00225AB0" w:rsidRDefault="000C73FA" w:rsidP="000C73FA">
      <w:pPr>
        <w:spacing w:line="480" w:lineRule="auto"/>
        <w:rPr>
          <w:rFonts w:ascii="Arial" w:hAnsi="Arial" w:cs="Arial"/>
        </w:rPr>
      </w:pPr>
    </w:p>
    <w:p w14:paraId="55339424" w14:textId="26370509" w:rsidR="000C73FA" w:rsidRPr="00225AB0" w:rsidRDefault="000C73FA" w:rsidP="000C73FA">
      <w:pPr>
        <w:spacing w:line="480" w:lineRule="auto"/>
        <w:rPr>
          <w:rFonts w:ascii="Arial" w:hAnsi="Arial" w:cs="Arial"/>
        </w:rPr>
      </w:pPr>
      <w:r w:rsidRPr="00225AB0">
        <w:rPr>
          <w:rFonts w:ascii="Arial" w:hAnsi="Arial" w:cs="Arial"/>
        </w:rPr>
        <w:t>For each condition, we then calculated the mean reaction time for (across all condition repetitions) for participant responses. We then also calculate</w:t>
      </w:r>
      <w:r w:rsidR="00E2165A">
        <w:rPr>
          <w:rFonts w:ascii="Arial" w:hAnsi="Arial" w:cs="Arial"/>
        </w:rPr>
        <w:t>d</w:t>
      </w:r>
      <w:r w:rsidRPr="00225AB0">
        <w:rPr>
          <w:rFonts w:ascii="Arial" w:hAnsi="Arial" w:cs="Arial"/>
        </w:rPr>
        <w:t xml:space="preserve"> loglinear d prime (d’) for each condition </w:t>
      </w:r>
      <w:r w:rsidRPr="00225AB0">
        <w:rPr>
          <w:rFonts w:ascii="Arial" w:hAnsi="Arial" w:cs="Arial"/>
        </w:rPr>
        <w:fldChar w:fldCharType="begin"/>
      </w:r>
      <w:r w:rsidR="005B4361">
        <w:rPr>
          <w:rFonts w:ascii="Arial" w:hAnsi="Arial" w:cs="Arial"/>
        </w:rPr>
        <w:instrText xml:space="preserve"> ADDIN ZOTERO_ITEM CSL_CITATION {"citationID":"oWeq3MKl","properties":{"formattedCitation":"(Hautus, 1995)","plainCitation":"(Hautus, 1995)","noteIndex":0},"citationItems":[{"id":75,"uris":["http://zotero.org/groups/318634/items/M8ZZEFZG"],"uri":["http://zotero.org/groups/318634/items/M8ZZEFZG"],"itemData":{"id":75,"type":"article-journal","title":"Corrections for extreme proportions and their biasing effects on estimated values ofd′","container-title":"Behavior Research Methods, Instruments, &amp; Computers","page":"46-51","volume":"27","issue":"1","author":[{"family":"Hautus","given":"Michael J."}],"issued":{"date-parts":[["1995"]]}}}],"schema":"https://github.com/citation-style-language/schema/raw/master/csl-citation.json"} </w:instrText>
      </w:r>
      <w:r w:rsidRPr="00225AB0">
        <w:rPr>
          <w:rFonts w:ascii="Arial" w:hAnsi="Arial" w:cs="Arial"/>
        </w:rPr>
        <w:fldChar w:fldCharType="separate"/>
      </w:r>
      <w:r w:rsidRPr="00225AB0">
        <w:rPr>
          <w:rFonts w:ascii="Arial" w:hAnsi="Arial" w:cs="Arial"/>
          <w:noProof/>
        </w:rPr>
        <w:t>(Hautus, 1995)</w:t>
      </w:r>
      <w:r w:rsidRPr="00225AB0">
        <w:rPr>
          <w:rFonts w:ascii="Arial" w:hAnsi="Arial" w:cs="Arial"/>
        </w:rPr>
        <w:fldChar w:fldCharType="end"/>
      </w:r>
      <w:r w:rsidRPr="00225AB0">
        <w:rPr>
          <w:rFonts w:ascii="Arial" w:hAnsi="Arial" w:cs="Arial"/>
        </w:rPr>
        <w:t xml:space="preserve">. We chose to use the calculation of loglinear d’ to account for the issue of an infinite d’ value in instances where the number of hits or false alarms is zero, which infrequently occurred </w:t>
      </w:r>
      <w:r w:rsidR="00D44AC6">
        <w:rPr>
          <w:rFonts w:ascii="Arial" w:hAnsi="Arial" w:cs="Arial"/>
        </w:rPr>
        <w:t>in</w:t>
      </w:r>
      <w:r w:rsidRPr="00225AB0">
        <w:rPr>
          <w:rFonts w:ascii="Arial" w:hAnsi="Arial" w:cs="Arial"/>
        </w:rPr>
        <w:t xml:space="preserve"> our dataset (as noted in </w:t>
      </w:r>
      <w:r w:rsidRPr="00225AB0">
        <w:rPr>
          <w:rFonts w:ascii="Arial" w:hAnsi="Arial" w:cs="Arial"/>
        </w:rPr>
        <w:fldChar w:fldCharType="begin"/>
      </w:r>
      <w:r w:rsidR="005B4361">
        <w:rPr>
          <w:rFonts w:ascii="Arial" w:hAnsi="Arial" w:cs="Arial"/>
        </w:rPr>
        <w:instrText xml:space="preserve"> ADDIN ZOTERO_ITEM CSL_CITATION {"citationID":"4xBvRVJg","properties":{"formattedCitation":"(Stanislaw and Todorov, 1999)","plainCitation":"(Stanislaw and Todorov, 1999)","dontUpdate":true,"noteIndex":0},"citationItems":[{"id":74,"uris":["http://zotero.org/groups/318634/items/RZDR64QB"],"uri":["http://zotero.org/groups/318634/items/RZDR64QB"],"itemData":{"id":74,"type":"article-journal","title":"Calculation of signal detection theory measures","container-title":"Behavior Research Methods, Instruments, &amp; Computers: A Journal of the Psychonomic Society, Inc","page":"137-149","volume":"31","issue":"1","source":"PubMed","abstract":"Signal detection theory (SDT) may be applied to any area of psychology in which two different types of stimuli must be discriminated. We describe several of these areas and the advantages that can be realized through the application of SDT. Three of the most popular tasks used to study discriminability are then discussed, together with the measures that SDT prescribes for quantifying performance in these tasks. Mathematical formulae for the measures are presented, as are methods for calculating the measures with lookup tables, computer software specifically developed for SDT applications, and general purpose computer software (including spreadsheets and statistical analysis software).","ISSN":"0743-3808","note":"PMID: 10495845","journalAbbreviation":"Behav Res Methods Instrum Comput","language":"eng","author":[{"family":"Stanislaw","given":"H."},{"family":"Todorov","given":"N."}],"issued":{"date-parts":[["1999",2]]}}}],"schema":"https://github.com/citation-style-language/schema/raw/master/csl-citation.json"} </w:instrText>
      </w:r>
      <w:r w:rsidRPr="00225AB0">
        <w:rPr>
          <w:rFonts w:ascii="Arial" w:hAnsi="Arial" w:cs="Arial"/>
        </w:rPr>
        <w:fldChar w:fldCharType="separate"/>
      </w:r>
      <w:r w:rsidRPr="00225AB0">
        <w:rPr>
          <w:rFonts w:ascii="Arial" w:hAnsi="Arial" w:cs="Arial"/>
          <w:noProof/>
        </w:rPr>
        <w:t>Stanislaw and Todorov, 1999)</w:t>
      </w:r>
      <w:r w:rsidRPr="00225AB0">
        <w:rPr>
          <w:rFonts w:ascii="Arial" w:hAnsi="Arial" w:cs="Arial"/>
        </w:rPr>
        <w:fldChar w:fldCharType="end"/>
      </w:r>
      <w:r w:rsidRPr="00225AB0">
        <w:rPr>
          <w:rFonts w:ascii="Arial" w:hAnsi="Arial" w:cs="Arial"/>
        </w:rPr>
        <w:t xml:space="preserve">. This involved incrementing the number of hits and false alarms for each condition by 0.5, and the number of signal and noise trials by 1. We were then able to calculate a participant accuracy score, indicated by loglinear d’ for each selective and divided attention condition. </w:t>
      </w:r>
    </w:p>
    <w:p w14:paraId="36C715F3" w14:textId="77777777" w:rsidR="000C73FA" w:rsidRPr="00225AB0" w:rsidRDefault="000C73FA" w:rsidP="000C73FA">
      <w:pPr>
        <w:spacing w:line="480" w:lineRule="auto"/>
        <w:rPr>
          <w:rFonts w:ascii="Arial" w:hAnsi="Arial" w:cs="Arial"/>
        </w:rPr>
      </w:pPr>
    </w:p>
    <w:p w14:paraId="0EA1E233" w14:textId="63A72F40" w:rsidR="000C73FA" w:rsidRPr="00225AB0" w:rsidRDefault="000C73FA" w:rsidP="000C73FA">
      <w:pPr>
        <w:spacing w:line="480" w:lineRule="auto"/>
        <w:rPr>
          <w:rFonts w:ascii="Arial" w:hAnsi="Arial" w:cs="Arial"/>
        </w:rPr>
      </w:pPr>
      <w:r w:rsidRPr="00225AB0">
        <w:rPr>
          <w:rFonts w:ascii="Arial" w:hAnsi="Arial" w:cs="Arial"/>
        </w:rPr>
        <w:t xml:space="preserve">However, </w:t>
      </w:r>
      <w:r w:rsidR="00D44AC6">
        <w:rPr>
          <w:rFonts w:ascii="Arial" w:hAnsi="Arial" w:cs="Arial"/>
        </w:rPr>
        <w:t>in</w:t>
      </w:r>
      <w:r w:rsidRPr="00225AB0">
        <w:rPr>
          <w:rFonts w:ascii="Arial" w:hAnsi="Arial" w:cs="Arial"/>
        </w:rPr>
        <w:t xml:space="preserve"> the selective versus divided attention literature, there have been two differing strategies employed regarding the distribution of stimulus change occurrences across the selective and divided attention conditions. Some researchers have employed equal numbers of possible response trials </w:t>
      </w:r>
      <w:r w:rsidR="00D44AC6">
        <w:rPr>
          <w:rFonts w:ascii="Arial" w:hAnsi="Arial" w:cs="Arial"/>
        </w:rPr>
        <w:t>in</w:t>
      </w:r>
      <w:r w:rsidRPr="00225AB0">
        <w:rPr>
          <w:rFonts w:ascii="Arial" w:hAnsi="Arial" w:cs="Arial"/>
        </w:rPr>
        <w:t xml:space="preserve"> both the selective and divided conditions, such as </w:t>
      </w:r>
      <w:r w:rsidRPr="00225AB0">
        <w:rPr>
          <w:rFonts w:ascii="Arial" w:hAnsi="Arial" w:cs="Arial"/>
        </w:rPr>
        <w:fldChar w:fldCharType="begin"/>
      </w:r>
      <w:r w:rsidR="005B4361">
        <w:rPr>
          <w:rFonts w:ascii="Arial" w:hAnsi="Arial" w:cs="Arial"/>
        </w:rPr>
        <w:instrText xml:space="preserve"> ADDIN ZOTERO_ITEM CSL_CITATION {"citationID":"j3NTY3lj","properties":{"formattedCitation":"(Corbetta et al., 1990)","plainCitation":"(Corbetta et al., 1990)","dontUpdate":true,"noteIndex":0},"citationItems":[{"id":128,"uris":["http://zotero.org/groups/318634/items/LHCBHC5P"],"uri":["http://zotero.org/groups/318634/items/LHCBHC5P"],"itemData":{"id":128,"type":"article-journal","title":"Attentional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E."}],"issued":{"date-parts":[["1990"]]}}}],"schema":"https://github.com/citation-style-language/schema/raw/master/csl-citation.json"} </w:instrText>
      </w:r>
      <w:r w:rsidRPr="00225AB0">
        <w:rPr>
          <w:rFonts w:ascii="Arial" w:hAnsi="Arial" w:cs="Arial"/>
        </w:rPr>
        <w:fldChar w:fldCharType="separate"/>
      </w:r>
      <w:r w:rsidRPr="00225AB0">
        <w:rPr>
          <w:rFonts w:ascii="Arial" w:hAnsi="Arial" w:cs="Arial"/>
          <w:noProof/>
        </w:rPr>
        <w:t>Corbetta et al., (1990)</w:t>
      </w:r>
      <w:r w:rsidRPr="00225AB0">
        <w:rPr>
          <w:rFonts w:ascii="Arial" w:hAnsi="Arial" w:cs="Arial"/>
        </w:rPr>
        <w:fldChar w:fldCharType="end"/>
      </w:r>
      <w:r w:rsidRPr="00225AB0">
        <w:rPr>
          <w:rFonts w:ascii="Arial" w:hAnsi="Arial" w:cs="Arial"/>
        </w:rPr>
        <w:t xml:space="preserve">. However, other researchers have opted to have unequal numbers of response trials between these two condition types </w:t>
      </w:r>
      <w:r w:rsidRPr="00225AB0">
        <w:rPr>
          <w:rFonts w:ascii="Arial" w:hAnsi="Arial" w:cs="Arial"/>
        </w:rPr>
        <w:fldChar w:fldCharType="begin"/>
      </w:r>
      <w:r w:rsidR="005B4361">
        <w:rPr>
          <w:rFonts w:ascii="Arial" w:hAnsi="Arial" w:cs="Arial"/>
        </w:rPr>
        <w:instrText xml:space="preserve"> ADDIN ZOTERO_ITEM CSL_CITATION {"citationID":"8gyplBf8","properties":{"formattedCitation":"(Hahn et al., 2008)","plainCitation":"(Hahn et al., 2008)","dontUpdate":true,"noteIndex":0},"citationItems":[{"id":79,"uris":["http://zotero.org/groups/318634/items/5A3VZA88"],"uri":["http://zotero.org/groups/318634/items/5A3VZA88"],"itemData":{"id":79,"type":"article-journal","title":"Divided versus selective attention: evidence for common processing mechanisms","container-title":"Brain research","page":"137-146","volume":"1215","source":"PubMed Central","abstract":"The current study revisited the question of whether there are brain mechanisms specific to divided attention that differ from those used in selective attention. Increased neuronal activity required to simultaneously process two stimulus dimensions as compared with each separate dimension has often been observed, but rarely has activity induced by a divided attention condition exceeded the sum of activity induced by the component tasks. Healthy participants performed a selective-divided attention paradigm while undergoing functional Magnetic Resonance Imaging (fMRI). The task required participants to make a same-different judgment about either one of two simultaneously presented stimulus dimensions, or about both dimensions. Performance accuracy was equated between tasks by dynamically adjusting the stimulus display time. Blood Oxygenation Level Dependent (BOLD) signal differences between tasks were identified by whole-brain voxel-wise comparisons and by region-specific analyses of all areas modulated by the divided attention task (DIV). No region displayed greater activation or deactivation by DIV than the sum of signal change by the two selective attention tasks. Instead, regional activity followed the tasks’ processing demands as reflected by reaction time. Only a left cerebellar region displayed a correlation between participants’ BOLD signal intensity and reaction time that was selective for DIV. The correlation was positive, reflecting slower responding with greater activation. Overall, the findings do not support the existence of functional brain activity specific to DIV. Increased activity appears to reflect additional processing demands by introducing a secondary task, but those demands do not appear to qualitatively differ from processes of selective attention.","DOI":"10.1016/j.brainres.2008.03.058","ISSN":"0006-8993","note":"PMID: 18479670\nPMCID: PMC2497334","title-short":"Divided versus selective attention","journalAbbreviation":"Brain Res","author":[{"family":"Hahn","given":"Britta"},{"family":"Wolkenberg","given":"Frank A."},{"family":"Ross","given":"Thomas J."},{"family":"Myers","given":"Carol S."},{"family":"Heishman","given":"Stephen J."},{"family":"Stein","given":"Dan J."},{"family":"Kurup","given":"Pradeep K."},{"family":"Stein","given":"Elliot A."}],"issued":{"date-parts":[["2008",6,18]]}}}],"schema":"https://github.com/citation-style-language/schema/raw/master/csl-citation.json"} </w:instrText>
      </w:r>
      <w:r w:rsidRPr="00225AB0">
        <w:rPr>
          <w:rFonts w:ascii="Arial" w:hAnsi="Arial" w:cs="Arial"/>
        </w:rPr>
        <w:fldChar w:fldCharType="separate"/>
      </w:r>
      <w:r w:rsidRPr="00225AB0">
        <w:rPr>
          <w:rFonts w:ascii="Arial" w:hAnsi="Arial" w:cs="Arial"/>
          <w:noProof/>
        </w:rPr>
        <w:t>(e.g. Hahn et al., 2008)</w:t>
      </w:r>
      <w:r w:rsidRPr="00225AB0">
        <w:rPr>
          <w:rFonts w:ascii="Arial" w:hAnsi="Arial" w:cs="Arial"/>
        </w:rPr>
        <w:fldChar w:fldCharType="end"/>
      </w:r>
      <w:r w:rsidRPr="00225AB0">
        <w:rPr>
          <w:rFonts w:ascii="Arial" w:hAnsi="Arial" w:cs="Arial"/>
        </w:rPr>
        <w:t xml:space="preserve">. </w:t>
      </w:r>
      <w:r w:rsidRPr="00225AB0">
        <w:rPr>
          <w:rFonts w:ascii="Arial" w:hAnsi="Arial" w:cs="Arial"/>
        </w:rPr>
        <w:lastRenderedPageBreak/>
        <w:t xml:space="preserve">Hence, we first wished to identify any differences in loglinear d’ or reaction </w:t>
      </w:r>
      <w:r w:rsidR="00194172" w:rsidRPr="00225AB0">
        <w:rPr>
          <w:rFonts w:ascii="Arial" w:hAnsi="Arial" w:cs="Arial"/>
          <w:noProof/>
          <w:lang w:eastAsia="en-GB"/>
        </w:rPr>
        <mc:AlternateContent>
          <mc:Choice Requires="wps">
            <w:drawing>
              <wp:anchor distT="0" distB="0" distL="114300" distR="114300" simplePos="0" relativeHeight="251801600" behindDoc="0" locked="0" layoutInCell="1" allowOverlap="1" wp14:anchorId="7317A12C" wp14:editId="325F53FD">
                <wp:simplePos x="0" y="0"/>
                <wp:positionH relativeFrom="column">
                  <wp:posOffset>-97155</wp:posOffset>
                </wp:positionH>
                <wp:positionV relativeFrom="paragraph">
                  <wp:posOffset>1539702</wp:posOffset>
                </wp:positionV>
                <wp:extent cx="5314950" cy="202882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5314950" cy="2028825"/>
                        </a:xfrm>
                        <a:prstGeom prst="rect">
                          <a:avLst/>
                        </a:prstGeom>
                        <a:noFill/>
                        <a:ln w="6350">
                          <a:noFill/>
                        </a:ln>
                      </wps:spPr>
                      <wps:txbx>
                        <w:txbxContent>
                          <w:p w14:paraId="0E4D1657" w14:textId="2FE10C7C" w:rsidR="00C93BE0" w:rsidRPr="00170F98" w:rsidRDefault="00C93BE0" w:rsidP="009F3085">
                            <w:pPr>
                              <w:pStyle w:val="Caption"/>
                              <w:keepNext/>
                              <w:spacing w:line="360" w:lineRule="auto"/>
                              <w:jc w:val="both"/>
                              <w:rPr>
                                <w:rFonts w:ascii="Arial" w:hAnsi="Arial" w:cs="Arial"/>
                                <w:i w:val="0"/>
                                <w:color w:val="000000" w:themeColor="text1"/>
                                <w:sz w:val="24"/>
                                <w:szCs w:val="24"/>
                              </w:rPr>
                            </w:pPr>
                            <w:bookmarkStart w:id="384" w:name="_Toc11929016"/>
                            <w:bookmarkStart w:id="385" w:name="_Toc16242687"/>
                            <w:bookmarkStart w:id="386" w:name="_Toc11926686"/>
                            <w:bookmarkStart w:id="387" w:name="_Toc11928750"/>
                            <w:r w:rsidRPr="00170F98">
                              <w:rPr>
                                <w:rFonts w:ascii="Arial" w:hAnsi="Arial" w:cs="Arial"/>
                                <w:b/>
                                <w:i w:val="0"/>
                                <w:color w:val="000000" w:themeColor="text1"/>
                                <w:sz w:val="24"/>
                                <w:szCs w:val="24"/>
                              </w:rPr>
                              <w:t xml:space="preserve">Table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Table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170F98">
                              <w:rPr>
                                <w:rFonts w:ascii="Arial" w:hAnsi="Arial" w:cs="Arial"/>
                                <w:i w:val="0"/>
                                <w:color w:val="000000" w:themeColor="text1"/>
                                <w:sz w:val="24"/>
                                <w:szCs w:val="24"/>
                              </w:rPr>
                              <w:t xml:space="preserve"> No significant difference in loglinear d prime between equal and unequal change distribution analyses for any attentional focus condition.</w:t>
                            </w:r>
                            <w:bookmarkEnd w:id="384"/>
                            <w:bookmarkEnd w:id="385"/>
                          </w:p>
                          <w:tbl>
                            <w:tblPr>
                              <w:tblStyle w:val="TableGrid"/>
                              <w:tblW w:w="8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0"/>
                              <w:gridCol w:w="1815"/>
                              <w:gridCol w:w="2054"/>
                              <w:gridCol w:w="1550"/>
                              <w:gridCol w:w="1302"/>
                            </w:tblGrid>
                            <w:tr w:rsidR="00C93BE0" w14:paraId="49AD7BF6" w14:textId="77777777" w:rsidTr="00CC7DCB">
                              <w:trPr>
                                <w:trHeight w:val="280"/>
                              </w:trPr>
                              <w:tc>
                                <w:tcPr>
                                  <w:tcW w:w="1283" w:type="dxa"/>
                                  <w:tcBorders>
                                    <w:top w:val="single" w:sz="4" w:space="0" w:color="auto"/>
                                    <w:bottom w:val="single" w:sz="4" w:space="0" w:color="auto"/>
                                  </w:tcBorders>
                                </w:tcPr>
                                <w:p w14:paraId="3E5EC113" w14:textId="77777777" w:rsidR="00C93BE0" w:rsidRDefault="00C93BE0" w:rsidP="005A0ED3">
                                  <w:pPr>
                                    <w:rPr>
                                      <w:rFonts w:ascii="Arial" w:hAnsi="Arial" w:cs="Arial"/>
                                    </w:rPr>
                                  </w:pPr>
                                </w:p>
                              </w:tc>
                              <w:tc>
                                <w:tcPr>
                                  <w:tcW w:w="1857" w:type="dxa"/>
                                  <w:tcBorders>
                                    <w:top w:val="single" w:sz="4" w:space="0" w:color="auto"/>
                                    <w:bottom w:val="single" w:sz="4" w:space="0" w:color="auto"/>
                                  </w:tcBorders>
                                </w:tcPr>
                                <w:p w14:paraId="5421DBF4" w14:textId="77777777" w:rsidR="00C93BE0" w:rsidRDefault="00C93BE0" w:rsidP="005A0ED3">
                                  <w:pPr>
                                    <w:jc w:val="center"/>
                                    <w:rPr>
                                      <w:rFonts w:ascii="Arial" w:hAnsi="Arial" w:cs="Arial"/>
                                    </w:rPr>
                                  </w:pPr>
                                  <w:r>
                                    <w:rPr>
                                      <w:rFonts w:ascii="Arial" w:hAnsi="Arial" w:cs="Arial"/>
                                    </w:rPr>
                                    <w:t>Equal mean (d’)</w:t>
                                  </w:r>
                                </w:p>
                              </w:tc>
                              <w:tc>
                                <w:tcPr>
                                  <w:tcW w:w="2093" w:type="dxa"/>
                                  <w:tcBorders>
                                    <w:top w:val="single" w:sz="4" w:space="0" w:color="auto"/>
                                    <w:bottom w:val="single" w:sz="4" w:space="0" w:color="auto"/>
                                  </w:tcBorders>
                                </w:tcPr>
                                <w:p w14:paraId="3200089E" w14:textId="77777777" w:rsidR="00C93BE0" w:rsidRDefault="00C93BE0" w:rsidP="005A0ED3">
                                  <w:pPr>
                                    <w:jc w:val="center"/>
                                    <w:rPr>
                                      <w:rFonts w:ascii="Arial" w:hAnsi="Arial" w:cs="Arial"/>
                                    </w:rPr>
                                  </w:pPr>
                                  <w:r>
                                    <w:rPr>
                                      <w:rFonts w:ascii="Arial" w:hAnsi="Arial" w:cs="Arial"/>
                                    </w:rPr>
                                    <w:t>Unequal mean (d’)</w:t>
                                  </w:r>
                                </w:p>
                              </w:tc>
                              <w:tc>
                                <w:tcPr>
                                  <w:tcW w:w="1570" w:type="dxa"/>
                                  <w:tcBorders>
                                    <w:top w:val="single" w:sz="4" w:space="0" w:color="auto"/>
                                    <w:bottom w:val="single" w:sz="4" w:space="0" w:color="auto"/>
                                  </w:tcBorders>
                                </w:tcPr>
                                <w:p w14:paraId="46575B3B" w14:textId="77777777" w:rsidR="00C93BE0" w:rsidRDefault="00C93BE0" w:rsidP="005A0ED3">
                                  <w:pPr>
                                    <w:jc w:val="center"/>
                                    <w:rPr>
                                      <w:rFonts w:ascii="Arial" w:hAnsi="Arial" w:cs="Arial"/>
                                    </w:rPr>
                                  </w:pPr>
                                  <w:r>
                                    <w:rPr>
                                      <w:rFonts w:ascii="Arial" w:hAnsi="Arial" w:cs="Arial"/>
                                    </w:rPr>
                                    <w:t>Statistic (test)</w:t>
                                  </w:r>
                                </w:p>
                              </w:tc>
                              <w:tc>
                                <w:tcPr>
                                  <w:tcW w:w="1308" w:type="dxa"/>
                                  <w:tcBorders>
                                    <w:top w:val="single" w:sz="4" w:space="0" w:color="auto"/>
                                    <w:bottom w:val="single" w:sz="4" w:space="0" w:color="auto"/>
                                  </w:tcBorders>
                                </w:tcPr>
                                <w:p w14:paraId="2053CB5D" w14:textId="77777777" w:rsidR="00C93BE0" w:rsidRPr="00F8478B" w:rsidRDefault="00C93BE0" w:rsidP="005A0ED3">
                                  <w:pPr>
                                    <w:jc w:val="center"/>
                                    <w:rPr>
                                      <w:rFonts w:ascii="Arial" w:hAnsi="Arial" w:cs="Arial"/>
                                    </w:rPr>
                                  </w:pPr>
                                  <w:r>
                                    <w:rPr>
                                      <w:rFonts w:ascii="Arial" w:hAnsi="Arial" w:cs="Arial"/>
                                    </w:rPr>
                                    <w:t xml:space="preserve">Adjusted </w:t>
                                  </w:r>
                                  <w:r>
                                    <w:rPr>
                                      <w:rFonts w:ascii="Arial" w:hAnsi="Arial" w:cs="Arial"/>
                                      <w:i/>
                                    </w:rPr>
                                    <w:t>p</w:t>
                                  </w:r>
                                </w:p>
                              </w:tc>
                            </w:tr>
                            <w:tr w:rsidR="00C93BE0" w14:paraId="173485C5" w14:textId="77777777" w:rsidTr="00CC7DCB">
                              <w:trPr>
                                <w:trHeight w:val="303"/>
                              </w:trPr>
                              <w:tc>
                                <w:tcPr>
                                  <w:tcW w:w="1283" w:type="dxa"/>
                                  <w:tcBorders>
                                    <w:top w:val="single" w:sz="4" w:space="0" w:color="auto"/>
                                  </w:tcBorders>
                                </w:tcPr>
                                <w:p w14:paraId="1F7969A8" w14:textId="77777777" w:rsidR="00C93BE0" w:rsidRDefault="00C93BE0" w:rsidP="005A0ED3">
                                  <w:pPr>
                                    <w:jc w:val="center"/>
                                    <w:rPr>
                                      <w:rFonts w:ascii="Arial" w:hAnsi="Arial" w:cs="Arial"/>
                                    </w:rPr>
                                  </w:pPr>
                                  <w:r>
                                    <w:rPr>
                                      <w:rFonts w:ascii="Arial" w:hAnsi="Arial" w:cs="Arial"/>
                                    </w:rPr>
                                    <w:t>Divided</w:t>
                                  </w:r>
                                </w:p>
                              </w:tc>
                              <w:tc>
                                <w:tcPr>
                                  <w:tcW w:w="1857" w:type="dxa"/>
                                  <w:tcBorders>
                                    <w:top w:val="single" w:sz="4" w:space="0" w:color="auto"/>
                                  </w:tcBorders>
                                </w:tcPr>
                                <w:p w14:paraId="0FD70AFB" w14:textId="77777777" w:rsidR="00C93BE0" w:rsidRDefault="00C93BE0" w:rsidP="005A0ED3">
                                  <w:pPr>
                                    <w:jc w:val="center"/>
                                    <w:rPr>
                                      <w:rFonts w:ascii="Arial" w:hAnsi="Arial" w:cs="Arial"/>
                                    </w:rPr>
                                  </w:pPr>
                                  <w:r>
                                    <w:rPr>
                                      <w:rFonts w:ascii="Arial" w:hAnsi="Arial" w:cs="Arial"/>
                                    </w:rPr>
                                    <w:t>1.20</w:t>
                                  </w:r>
                                </w:p>
                              </w:tc>
                              <w:tc>
                                <w:tcPr>
                                  <w:tcW w:w="2093" w:type="dxa"/>
                                  <w:tcBorders>
                                    <w:top w:val="single" w:sz="4" w:space="0" w:color="auto"/>
                                  </w:tcBorders>
                                </w:tcPr>
                                <w:p w14:paraId="47CCF475" w14:textId="77777777" w:rsidR="00C93BE0" w:rsidRDefault="00C93BE0" w:rsidP="005A0ED3">
                                  <w:pPr>
                                    <w:jc w:val="center"/>
                                    <w:rPr>
                                      <w:rFonts w:ascii="Arial" w:hAnsi="Arial" w:cs="Arial"/>
                                    </w:rPr>
                                  </w:pPr>
                                  <w:r>
                                    <w:rPr>
                                      <w:rFonts w:ascii="Arial" w:hAnsi="Arial" w:cs="Arial"/>
                                    </w:rPr>
                                    <w:t>1.20</w:t>
                                  </w:r>
                                </w:p>
                              </w:tc>
                              <w:tc>
                                <w:tcPr>
                                  <w:tcW w:w="1570" w:type="dxa"/>
                                  <w:tcBorders>
                                    <w:top w:val="single" w:sz="4" w:space="0" w:color="auto"/>
                                  </w:tcBorders>
                                </w:tcPr>
                                <w:p w14:paraId="1CCB0BF7" w14:textId="77777777" w:rsidR="00C93BE0" w:rsidRDefault="00C93BE0" w:rsidP="005A0ED3">
                                  <w:pPr>
                                    <w:jc w:val="center"/>
                                    <w:rPr>
                                      <w:rFonts w:ascii="Arial" w:hAnsi="Arial" w:cs="Arial"/>
                                    </w:rPr>
                                  </w:pPr>
                                  <w:r>
                                    <w:rPr>
                                      <w:rFonts w:ascii="Arial" w:hAnsi="Arial" w:cs="Arial"/>
                                    </w:rPr>
                                    <w:t>-0.03 (Z)</w:t>
                                  </w:r>
                                </w:p>
                              </w:tc>
                              <w:tc>
                                <w:tcPr>
                                  <w:tcW w:w="1308" w:type="dxa"/>
                                  <w:tcBorders>
                                    <w:top w:val="single" w:sz="4" w:space="0" w:color="auto"/>
                                  </w:tcBorders>
                                </w:tcPr>
                                <w:p w14:paraId="3496C5F1" w14:textId="77777777" w:rsidR="00C93BE0" w:rsidRDefault="00C93BE0" w:rsidP="005A0ED3">
                                  <w:pPr>
                                    <w:jc w:val="center"/>
                                    <w:rPr>
                                      <w:rFonts w:ascii="Arial" w:hAnsi="Arial" w:cs="Arial"/>
                                    </w:rPr>
                                  </w:pPr>
                                  <w:r>
                                    <w:rPr>
                                      <w:rFonts w:ascii="Arial" w:hAnsi="Arial" w:cs="Arial"/>
                                    </w:rPr>
                                    <w:t>.977</w:t>
                                  </w:r>
                                </w:p>
                              </w:tc>
                            </w:tr>
                            <w:tr w:rsidR="00C93BE0" w14:paraId="452C9E71" w14:textId="77777777" w:rsidTr="00CC7DCB">
                              <w:trPr>
                                <w:trHeight w:val="280"/>
                              </w:trPr>
                              <w:tc>
                                <w:tcPr>
                                  <w:tcW w:w="1283" w:type="dxa"/>
                                </w:tcPr>
                                <w:p w14:paraId="54FC9A87" w14:textId="77777777" w:rsidR="00C93BE0" w:rsidRDefault="00C93BE0" w:rsidP="005A0ED3">
                                  <w:pPr>
                                    <w:jc w:val="center"/>
                                    <w:rPr>
                                      <w:rFonts w:ascii="Arial" w:hAnsi="Arial" w:cs="Arial"/>
                                    </w:rPr>
                                  </w:pPr>
                                  <w:r>
                                    <w:rPr>
                                      <w:rFonts w:ascii="Arial" w:hAnsi="Arial" w:cs="Arial"/>
                                    </w:rPr>
                                    <w:t>Orientation</w:t>
                                  </w:r>
                                </w:p>
                              </w:tc>
                              <w:tc>
                                <w:tcPr>
                                  <w:tcW w:w="1857" w:type="dxa"/>
                                </w:tcPr>
                                <w:p w14:paraId="79C0FD37" w14:textId="77777777" w:rsidR="00C93BE0" w:rsidRDefault="00C93BE0" w:rsidP="005A0ED3">
                                  <w:pPr>
                                    <w:jc w:val="center"/>
                                    <w:rPr>
                                      <w:rFonts w:ascii="Arial" w:hAnsi="Arial" w:cs="Arial"/>
                                    </w:rPr>
                                  </w:pPr>
                                  <w:r>
                                    <w:rPr>
                                      <w:rFonts w:ascii="Arial" w:hAnsi="Arial" w:cs="Arial"/>
                                    </w:rPr>
                                    <w:t>1.70</w:t>
                                  </w:r>
                                </w:p>
                              </w:tc>
                              <w:tc>
                                <w:tcPr>
                                  <w:tcW w:w="2093" w:type="dxa"/>
                                </w:tcPr>
                                <w:p w14:paraId="7BBF0E74" w14:textId="77777777" w:rsidR="00C93BE0" w:rsidRDefault="00C93BE0" w:rsidP="005A0ED3">
                                  <w:pPr>
                                    <w:jc w:val="center"/>
                                    <w:rPr>
                                      <w:rFonts w:ascii="Arial" w:hAnsi="Arial" w:cs="Arial"/>
                                    </w:rPr>
                                  </w:pPr>
                                  <w:r>
                                    <w:rPr>
                                      <w:rFonts w:ascii="Arial" w:hAnsi="Arial" w:cs="Arial"/>
                                    </w:rPr>
                                    <w:t>1.63</w:t>
                                  </w:r>
                                </w:p>
                              </w:tc>
                              <w:tc>
                                <w:tcPr>
                                  <w:tcW w:w="1570" w:type="dxa"/>
                                </w:tcPr>
                                <w:p w14:paraId="6B9A727F" w14:textId="77777777" w:rsidR="00C93BE0" w:rsidRDefault="00C93BE0" w:rsidP="005A0ED3">
                                  <w:pPr>
                                    <w:jc w:val="center"/>
                                    <w:rPr>
                                      <w:rFonts w:ascii="Arial" w:hAnsi="Arial" w:cs="Arial"/>
                                    </w:rPr>
                                  </w:pPr>
                                  <w:r>
                                    <w:rPr>
                                      <w:rFonts w:ascii="Arial" w:hAnsi="Arial" w:cs="Arial"/>
                                    </w:rPr>
                                    <w:t>0.09 (Z)</w:t>
                                  </w:r>
                                </w:p>
                              </w:tc>
                              <w:tc>
                                <w:tcPr>
                                  <w:tcW w:w="1308" w:type="dxa"/>
                                </w:tcPr>
                                <w:p w14:paraId="1F2763CE" w14:textId="77777777" w:rsidR="00C93BE0" w:rsidRDefault="00C93BE0" w:rsidP="005A0ED3">
                                  <w:pPr>
                                    <w:jc w:val="center"/>
                                    <w:rPr>
                                      <w:rFonts w:ascii="Arial" w:hAnsi="Arial" w:cs="Arial"/>
                                    </w:rPr>
                                  </w:pPr>
                                  <w:r>
                                    <w:rPr>
                                      <w:rFonts w:ascii="Arial" w:hAnsi="Arial" w:cs="Arial"/>
                                    </w:rPr>
                                    <w:t>.977</w:t>
                                  </w:r>
                                </w:p>
                              </w:tc>
                            </w:tr>
                            <w:tr w:rsidR="00C93BE0" w14:paraId="48291C9D" w14:textId="77777777" w:rsidTr="00CC7DCB">
                              <w:trPr>
                                <w:trHeight w:val="303"/>
                              </w:trPr>
                              <w:tc>
                                <w:tcPr>
                                  <w:tcW w:w="1283" w:type="dxa"/>
                                </w:tcPr>
                                <w:p w14:paraId="5BC72F43" w14:textId="77777777" w:rsidR="00C93BE0" w:rsidRDefault="00C93BE0" w:rsidP="005A0ED3">
                                  <w:pPr>
                                    <w:jc w:val="center"/>
                                    <w:rPr>
                                      <w:rFonts w:ascii="Arial" w:hAnsi="Arial" w:cs="Arial"/>
                                    </w:rPr>
                                  </w:pPr>
                                  <w:r>
                                    <w:rPr>
                                      <w:rFonts w:ascii="Arial" w:hAnsi="Arial" w:cs="Arial"/>
                                    </w:rPr>
                                    <w:t>Contrast</w:t>
                                  </w:r>
                                </w:p>
                              </w:tc>
                              <w:tc>
                                <w:tcPr>
                                  <w:tcW w:w="1857" w:type="dxa"/>
                                </w:tcPr>
                                <w:p w14:paraId="036D11DB" w14:textId="77777777" w:rsidR="00C93BE0" w:rsidRDefault="00C93BE0" w:rsidP="005A0ED3">
                                  <w:pPr>
                                    <w:jc w:val="center"/>
                                    <w:rPr>
                                      <w:rFonts w:ascii="Arial" w:hAnsi="Arial" w:cs="Arial"/>
                                    </w:rPr>
                                  </w:pPr>
                                  <w:r>
                                    <w:rPr>
                                      <w:rFonts w:ascii="Arial" w:hAnsi="Arial" w:cs="Arial"/>
                                    </w:rPr>
                                    <w:t>1.72</w:t>
                                  </w:r>
                                </w:p>
                              </w:tc>
                              <w:tc>
                                <w:tcPr>
                                  <w:tcW w:w="2093" w:type="dxa"/>
                                </w:tcPr>
                                <w:p w14:paraId="0A52C359" w14:textId="77777777" w:rsidR="00C93BE0" w:rsidRDefault="00C93BE0" w:rsidP="005A0ED3">
                                  <w:pPr>
                                    <w:jc w:val="center"/>
                                    <w:rPr>
                                      <w:rFonts w:ascii="Arial" w:hAnsi="Arial" w:cs="Arial"/>
                                    </w:rPr>
                                  </w:pPr>
                                  <w:r>
                                    <w:rPr>
                                      <w:rFonts w:ascii="Arial" w:hAnsi="Arial" w:cs="Arial"/>
                                    </w:rPr>
                                    <w:t>2.07</w:t>
                                  </w:r>
                                </w:p>
                              </w:tc>
                              <w:tc>
                                <w:tcPr>
                                  <w:tcW w:w="1570" w:type="dxa"/>
                                </w:tcPr>
                                <w:p w14:paraId="241CD712" w14:textId="77777777" w:rsidR="00C93BE0" w:rsidRDefault="00C93BE0" w:rsidP="005A0ED3">
                                  <w:pPr>
                                    <w:jc w:val="center"/>
                                    <w:rPr>
                                      <w:rFonts w:ascii="Arial" w:hAnsi="Arial" w:cs="Arial"/>
                                    </w:rPr>
                                  </w:pPr>
                                  <w:r>
                                    <w:rPr>
                                      <w:rFonts w:ascii="Arial" w:hAnsi="Arial" w:cs="Arial"/>
                                    </w:rPr>
                                    <w:t>-2.05 (T)</w:t>
                                  </w:r>
                                </w:p>
                              </w:tc>
                              <w:tc>
                                <w:tcPr>
                                  <w:tcW w:w="1308" w:type="dxa"/>
                                </w:tcPr>
                                <w:p w14:paraId="017387B0" w14:textId="77777777" w:rsidR="00C93BE0" w:rsidRDefault="00C93BE0" w:rsidP="005A0ED3">
                                  <w:pPr>
                                    <w:jc w:val="center"/>
                                    <w:rPr>
                                      <w:rFonts w:ascii="Arial" w:hAnsi="Arial" w:cs="Arial"/>
                                    </w:rPr>
                                  </w:pPr>
                                  <w:r>
                                    <w:rPr>
                                      <w:rFonts w:ascii="Arial" w:hAnsi="Arial" w:cs="Arial"/>
                                    </w:rPr>
                                    <w:t>.206</w:t>
                                  </w:r>
                                </w:p>
                              </w:tc>
                            </w:tr>
                            <w:tr w:rsidR="00C93BE0" w14:paraId="586674C0" w14:textId="77777777" w:rsidTr="00CC7DCB">
                              <w:trPr>
                                <w:trHeight w:val="280"/>
                              </w:trPr>
                              <w:tc>
                                <w:tcPr>
                                  <w:tcW w:w="1283" w:type="dxa"/>
                                </w:tcPr>
                                <w:p w14:paraId="6C3B9D48" w14:textId="77777777" w:rsidR="00C93BE0" w:rsidRDefault="00C93BE0" w:rsidP="005A0ED3">
                                  <w:pPr>
                                    <w:jc w:val="center"/>
                                    <w:rPr>
                                      <w:rFonts w:ascii="Arial" w:hAnsi="Arial" w:cs="Arial"/>
                                    </w:rPr>
                                  </w:pPr>
                                  <w:r>
                                    <w:rPr>
                                      <w:rFonts w:ascii="Arial" w:hAnsi="Arial" w:cs="Arial"/>
                                    </w:rPr>
                                    <w:t>Shape</w:t>
                                  </w:r>
                                </w:p>
                              </w:tc>
                              <w:tc>
                                <w:tcPr>
                                  <w:tcW w:w="1857" w:type="dxa"/>
                                </w:tcPr>
                                <w:p w14:paraId="460DCE30" w14:textId="77777777" w:rsidR="00C93BE0" w:rsidRDefault="00C93BE0" w:rsidP="005A0ED3">
                                  <w:pPr>
                                    <w:jc w:val="center"/>
                                    <w:rPr>
                                      <w:rFonts w:ascii="Arial" w:hAnsi="Arial" w:cs="Arial"/>
                                    </w:rPr>
                                  </w:pPr>
                                  <w:r>
                                    <w:rPr>
                                      <w:rFonts w:ascii="Arial" w:hAnsi="Arial" w:cs="Arial"/>
                                    </w:rPr>
                                    <w:t>1.69</w:t>
                                  </w:r>
                                </w:p>
                              </w:tc>
                              <w:tc>
                                <w:tcPr>
                                  <w:tcW w:w="2093" w:type="dxa"/>
                                </w:tcPr>
                                <w:p w14:paraId="1AABEB2B" w14:textId="77777777" w:rsidR="00C93BE0" w:rsidRDefault="00C93BE0" w:rsidP="005A0ED3">
                                  <w:pPr>
                                    <w:jc w:val="center"/>
                                    <w:rPr>
                                      <w:rFonts w:ascii="Arial" w:hAnsi="Arial" w:cs="Arial"/>
                                    </w:rPr>
                                  </w:pPr>
                                  <w:r>
                                    <w:rPr>
                                      <w:rFonts w:ascii="Arial" w:hAnsi="Arial" w:cs="Arial"/>
                                    </w:rPr>
                                    <w:t>1.73</w:t>
                                  </w:r>
                                </w:p>
                              </w:tc>
                              <w:tc>
                                <w:tcPr>
                                  <w:tcW w:w="1570" w:type="dxa"/>
                                </w:tcPr>
                                <w:p w14:paraId="5069A165" w14:textId="77777777" w:rsidR="00C93BE0" w:rsidRDefault="00C93BE0" w:rsidP="005A0ED3">
                                  <w:pPr>
                                    <w:jc w:val="center"/>
                                    <w:rPr>
                                      <w:rFonts w:ascii="Arial" w:hAnsi="Arial" w:cs="Arial"/>
                                    </w:rPr>
                                  </w:pPr>
                                  <w:r>
                                    <w:rPr>
                                      <w:rFonts w:ascii="Arial" w:hAnsi="Arial" w:cs="Arial"/>
                                    </w:rPr>
                                    <w:t>-0.23(T)</w:t>
                                  </w:r>
                                </w:p>
                              </w:tc>
                              <w:tc>
                                <w:tcPr>
                                  <w:tcW w:w="1308" w:type="dxa"/>
                                </w:tcPr>
                                <w:p w14:paraId="7F61722F" w14:textId="77777777" w:rsidR="00C93BE0" w:rsidRDefault="00C93BE0" w:rsidP="005A0ED3">
                                  <w:pPr>
                                    <w:jc w:val="center"/>
                                    <w:rPr>
                                      <w:rFonts w:ascii="Arial" w:hAnsi="Arial" w:cs="Arial"/>
                                    </w:rPr>
                                  </w:pPr>
                                  <w:r>
                                    <w:rPr>
                                      <w:rFonts w:ascii="Arial" w:hAnsi="Arial" w:cs="Arial"/>
                                    </w:rPr>
                                    <w:t>.977</w:t>
                                  </w:r>
                                </w:p>
                              </w:tc>
                            </w:tr>
                          </w:tbl>
                          <w:p w14:paraId="6D99D75E" w14:textId="77777777" w:rsidR="00C93BE0" w:rsidRDefault="00C93BE0" w:rsidP="009F3085"/>
                          <w:p w14:paraId="41E82763" w14:textId="77777777" w:rsidR="00C93BE0" w:rsidRDefault="00C93BE0" w:rsidP="009F3085"/>
                          <w:p w14:paraId="023BCCB9" w14:textId="77777777" w:rsidR="00C93BE0" w:rsidRDefault="00C93BE0" w:rsidP="009F3085"/>
                          <w:p w14:paraId="4B297AD2" w14:textId="77777777" w:rsidR="00C93BE0" w:rsidRDefault="00C93BE0" w:rsidP="009F3085"/>
                          <w:p w14:paraId="1159AB2D" w14:textId="77777777" w:rsidR="00C93BE0" w:rsidRDefault="00C93BE0" w:rsidP="009F3085"/>
                          <w:bookmarkEnd w:id="386"/>
                          <w:bookmarkEnd w:id="387"/>
                          <w:p w14:paraId="3808A282" w14:textId="77777777" w:rsidR="00C93BE0" w:rsidRPr="00170F98" w:rsidRDefault="00C93BE0" w:rsidP="009F3085">
                            <w:pPr>
                              <w:pStyle w:val="Caption"/>
                              <w:keepNext/>
                              <w:spacing w:line="360" w:lineRule="auto"/>
                              <w:jc w:val="both"/>
                              <w:rPr>
                                <w:rFonts w:ascii="Arial" w:hAnsi="Arial" w:cs="Arial"/>
                                <w:i w:val="0"/>
                                <w:color w:val="000000" w:themeColor="text1"/>
                                <w:sz w:val="24"/>
                                <w:szCs w:val="24"/>
                              </w:rPr>
                            </w:pPr>
                          </w:p>
                          <w:p w14:paraId="3E4F21CE" w14:textId="77777777" w:rsidR="00C93BE0" w:rsidRDefault="00C93BE0" w:rsidP="009F3085"/>
                          <w:p w14:paraId="7CD0A7BC" w14:textId="77777777" w:rsidR="00C93BE0" w:rsidRDefault="00C93BE0" w:rsidP="009F3085"/>
                          <w:p w14:paraId="6BBFD792" w14:textId="77777777" w:rsidR="00C93BE0" w:rsidRDefault="00C93BE0" w:rsidP="009F3085"/>
                          <w:p w14:paraId="39BDFB0B" w14:textId="77777777" w:rsidR="00C93BE0" w:rsidRDefault="00C93BE0" w:rsidP="009F30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17A12C" id="_x0000_t202" coordsize="21600,21600" o:spt="202" path="m,l,21600r21600,l21600,xe">
                <v:stroke joinstyle="miter"/>
                <v:path gradientshapeok="t" o:connecttype="rect"/>
              </v:shapetype>
              <v:shape id="Text Box 4" o:spid="_x0000_s1042" type="#_x0000_t202" style="position:absolute;margin-left:-7.65pt;margin-top:121.25pt;width:418.5pt;height:159.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" filled="f" stroked="f" strokeweight=".5pt">
                <v:textbox>
                  <w:txbxContent>
                    <w:p w14:paraId="0E4D1657" w14:textId="2FE10C7C" w:rsidR="00C93BE0" w:rsidRPr="00170F98" w:rsidRDefault="00C93BE0" w:rsidP="009F3085">
                      <w:pPr>
                        <w:pStyle w:val="Caption"/>
                        <w:keepNext/>
                        <w:spacing w:line="360" w:lineRule="auto"/>
                        <w:jc w:val="both"/>
                        <w:rPr>
                          <w:rFonts w:ascii="Arial" w:hAnsi="Arial" w:cs="Arial"/>
                          <w:i w:val="0"/>
                          <w:color w:val="000000" w:themeColor="text1"/>
                          <w:sz w:val="24"/>
                          <w:szCs w:val="24"/>
                        </w:rPr>
                      </w:pPr>
                      <w:bookmarkStart w:id="388" w:name="_Toc11929016"/>
                      <w:bookmarkStart w:id="389" w:name="_Toc16242687"/>
                      <w:bookmarkStart w:id="390" w:name="_Toc11926686"/>
                      <w:bookmarkStart w:id="391" w:name="_Toc11928750"/>
                      <w:r w:rsidRPr="00170F98">
                        <w:rPr>
                          <w:rFonts w:ascii="Arial" w:hAnsi="Arial" w:cs="Arial"/>
                          <w:b/>
                          <w:i w:val="0"/>
                          <w:color w:val="000000" w:themeColor="text1"/>
                          <w:sz w:val="24"/>
                          <w:szCs w:val="24"/>
                        </w:rPr>
                        <w:t xml:space="preserve">Table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Table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170F98">
                        <w:rPr>
                          <w:rFonts w:ascii="Arial" w:hAnsi="Arial" w:cs="Arial"/>
                          <w:i w:val="0"/>
                          <w:color w:val="000000" w:themeColor="text1"/>
                          <w:sz w:val="24"/>
                          <w:szCs w:val="24"/>
                        </w:rPr>
                        <w:t xml:space="preserve"> No significant difference in loglinear d prime between equal and unequal change distribution analyses for any attentional focus condition.</w:t>
                      </w:r>
                      <w:bookmarkEnd w:id="388"/>
                      <w:bookmarkEnd w:id="389"/>
                    </w:p>
                    <w:tbl>
                      <w:tblPr>
                        <w:tblStyle w:val="TableGrid"/>
                        <w:tblW w:w="8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0"/>
                        <w:gridCol w:w="1815"/>
                        <w:gridCol w:w="2054"/>
                        <w:gridCol w:w="1550"/>
                        <w:gridCol w:w="1302"/>
                      </w:tblGrid>
                      <w:tr w:rsidR="00C93BE0" w14:paraId="49AD7BF6" w14:textId="77777777" w:rsidTr="00CC7DCB">
                        <w:trPr>
                          <w:trHeight w:val="280"/>
                        </w:trPr>
                        <w:tc>
                          <w:tcPr>
                            <w:tcW w:w="1283" w:type="dxa"/>
                            <w:tcBorders>
                              <w:top w:val="single" w:sz="4" w:space="0" w:color="auto"/>
                              <w:bottom w:val="single" w:sz="4" w:space="0" w:color="auto"/>
                            </w:tcBorders>
                          </w:tcPr>
                          <w:p w14:paraId="3E5EC113" w14:textId="77777777" w:rsidR="00C93BE0" w:rsidRDefault="00C93BE0" w:rsidP="005A0ED3">
                            <w:pPr>
                              <w:rPr>
                                <w:rFonts w:ascii="Arial" w:hAnsi="Arial" w:cs="Arial"/>
                              </w:rPr>
                            </w:pPr>
                          </w:p>
                        </w:tc>
                        <w:tc>
                          <w:tcPr>
                            <w:tcW w:w="1857" w:type="dxa"/>
                            <w:tcBorders>
                              <w:top w:val="single" w:sz="4" w:space="0" w:color="auto"/>
                              <w:bottom w:val="single" w:sz="4" w:space="0" w:color="auto"/>
                            </w:tcBorders>
                          </w:tcPr>
                          <w:p w14:paraId="5421DBF4" w14:textId="77777777" w:rsidR="00C93BE0" w:rsidRDefault="00C93BE0" w:rsidP="005A0ED3">
                            <w:pPr>
                              <w:jc w:val="center"/>
                              <w:rPr>
                                <w:rFonts w:ascii="Arial" w:hAnsi="Arial" w:cs="Arial"/>
                              </w:rPr>
                            </w:pPr>
                            <w:r>
                              <w:rPr>
                                <w:rFonts w:ascii="Arial" w:hAnsi="Arial" w:cs="Arial"/>
                              </w:rPr>
                              <w:t>Equal mean (d’)</w:t>
                            </w:r>
                          </w:p>
                        </w:tc>
                        <w:tc>
                          <w:tcPr>
                            <w:tcW w:w="2093" w:type="dxa"/>
                            <w:tcBorders>
                              <w:top w:val="single" w:sz="4" w:space="0" w:color="auto"/>
                              <w:bottom w:val="single" w:sz="4" w:space="0" w:color="auto"/>
                            </w:tcBorders>
                          </w:tcPr>
                          <w:p w14:paraId="3200089E" w14:textId="77777777" w:rsidR="00C93BE0" w:rsidRDefault="00C93BE0" w:rsidP="005A0ED3">
                            <w:pPr>
                              <w:jc w:val="center"/>
                              <w:rPr>
                                <w:rFonts w:ascii="Arial" w:hAnsi="Arial" w:cs="Arial"/>
                              </w:rPr>
                            </w:pPr>
                            <w:r>
                              <w:rPr>
                                <w:rFonts w:ascii="Arial" w:hAnsi="Arial" w:cs="Arial"/>
                              </w:rPr>
                              <w:t>Unequal mean (d’)</w:t>
                            </w:r>
                          </w:p>
                        </w:tc>
                        <w:tc>
                          <w:tcPr>
                            <w:tcW w:w="1570" w:type="dxa"/>
                            <w:tcBorders>
                              <w:top w:val="single" w:sz="4" w:space="0" w:color="auto"/>
                              <w:bottom w:val="single" w:sz="4" w:space="0" w:color="auto"/>
                            </w:tcBorders>
                          </w:tcPr>
                          <w:p w14:paraId="46575B3B" w14:textId="77777777" w:rsidR="00C93BE0" w:rsidRDefault="00C93BE0" w:rsidP="005A0ED3">
                            <w:pPr>
                              <w:jc w:val="center"/>
                              <w:rPr>
                                <w:rFonts w:ascii="Arial" w:hAnsi="Arial" w:cs="Arial"/>
                              </w:rPr>
                            </w:pPr>
                            <w:r>
                              <w:rPr>
                                <w:rFonts w:ascii="Arial" w:hAnsi="Arial" w:cs="Arial"/>
                              </w:rPr>
                              <w:t>Statistic (test)</w:t>
                            </w:r>
                          </w:p>
                        </w:tc>
                        <w:tc>
                          <w:tcPr>
                            <w:tcW w:w="1308" w:type="dxa"/>
                            <w:tcBorders>
                              <w:top w:val="single" w:sz="4" w:space="0" w:color="auto"/>
                              <w:bottom w:val="single" w:sz="4" w:space="0" w:color="auto"/>
                            </w:tcBorders>
                          </w:tcPr>
                          <w:p w14:paraId="2053CB5D" w14:textId="77777777" w:rsidR="00C93BE0" w:rsidRPr="00F8478B" w:rsidRDefault="00C93BE0" w:rsidP="005A0ED3">
                            <w:pPr>
                              <w:jc w:val="center"/>
                              <w:rPr>
                                <w:rFonts w:ascii="Arial" w:hAnsi="Arial" w:cs="Arial"/>
                              </w:rPr>
                            </w:pPr>
                            <w:r>
                              <w:rPr>
                                <w:rFonts w:ascii="Arial" w:hAnsi="Arial" w:cs="Arial"/>
                              </w:rPr>
                              <w:t xml:space="preserve">Adjusted </w:t>
                            </w:r>
                            <w:r>
                              <w:rPr>
                                <w:rFonts w:ascii="Arial" w:hAnsi="Arial" w:cs="Arial"/>
                                <w:i/>
                              </w:rPr>
                              <w:t>p</w:t>
                            </w:r>
                          </w:p>
                        </w:tc>
                      </w:tr>
                      <w:tr w:rsidR="00C93BE0" w14:paraId="173485C5" w14:textId="77777777" w:rsidTr="00CC7DCB">
                        <w:trPr>
                          <w:trHeight w:val="303"/>
                        </w:trPr>
                        <w:tc>
                          <w:tcPr>
                            <w:tcW w:w="1283" w:type="dxa"/>
                            <w:tcBorders>
                              <w:top w:val="single" w:sz="4" w:space="0" w:color="auto"/>
                            </w:tcBorders>
                          </w:tcPr>
                          <w:p w14:paraId="1F7969A8" w14:textId="77777777" w:rsidR="00C93BE0" w:rsidRDefault="00C93BE0" w:rsidP="005A0ED3">
                            <w:pPr>
                              <w:jc w:val="center"/>
                              <w:rPr>
                                <w:rFonts w:ascii="Arial" w:hAnsi="Arial" w:cs="Arial"/>
                              </w:rPr>
                            </w:pPr>
                            <w:r>
                              <w:rPr>
                                <w:rFonts w:ascii="Arial" w:hAnsi="Arial" w:cs="Arial"/>
                              </w:rPr>
                              <w:t>Divided</w:t>
                            </w:r>
                          </w:p>
                        </w:tc>
                        <w:tc>
                          <w:tcPr>
                            <w:tcW w:w="1857" w:type="dxa"/>
                            <w:tcBorders>
                              <w:top w:val="single" w:sz="4" w:space="0" w:color="auto"/>
                            </w:tcBorders>
                          </w:tcPr>
                          <w:p w14:paraId="0FD70AFB" w14:textId="77777777" w:rsidR="00C93BE0" w:rsidRDefault="00C93BE0" w:rsidP="005A0ED3">
                            <w:pPr>
                              <w:jc w:val="center"/>
                              <w:rPr>
                                <w:rFonts w:ascii="Arial" w:hAnsi="Arial" w:cs="Arial"/>
                              </w:rPr>
                            </w:pPr>
                            <w:r>
                              <w:rPr>
                                <w:rFonts w:ascii="Arial" w:hAnsi="Arial" w:cs="Arial"/>
                              </w:rPr>
                              <w:t>1.20</w:t>
                            </w:r>
                          </w:p>
                        </w:tc>
                        <w:tc>
                          <w:tcPr>
                            <w:tcW w:w="2093" w:type="dxa"/>
                            <w:tcBorders>
                              <w:top w:val="single" w:sz="4" w:space="0" w:color="auto"/>
                            </w:tcBorders>
                          </w:tcPr>
                          <w:p w14:paraId="47CCF475" w14:textId="77777777" w:rsidR="00C93BE0" w:rsidRDefault="00C93BE0" w:rsidP="005A0ED3">
                            <w:pPr>
                              <w:jc w:val="center"/>
                              <w:rPr>
                                <w:rFonts w:ascii="Arial" w:hAnsi="Arial" w:cs="Arial"/>
                              </w:rPr>
                            </w:pPr>
                            <w:r>
                              <w:rPr>
                                <w:rFonts w:ascii="Arial" w:hAnsi="Arial" w:cs="Arial"/>
                              </w:rPr>
                              <w:t>1.20</w:t>
                            </w:r>
                          </w:p>
                        </w:tc>
                        <w:tc>
                          <w:tcPr>
                            <w:tcW w:w="1570" w:type="dxa"/>
                            <w:tcBorders>
                              <w:top w:val="single" w:sz="4" w:space="0" w:color="auto"/>
                            </w:tcBorders>
                          </w:tcPr>
                          <w:p w14:paraId="1CCB0BF7" w14:textId="77777777" w:rsidR="00C93BE0" w:rsidRDefault="00C93BE0" w:rsidP="005A0ED3">
                            <w:pPr>
                              <w:jc w:val="center"/>
                              <w:rPr>
                                <w:rFonts w:ascii="Arial" w:hAnsi="Arial" w:cs="Arial"/>
                              </w:rPr>
                            </w:pPr>
                            <w:r>
                              <w:rPr>
                                <w:rFonts w:ascii="Arial" w:hAnsi="Arial" w:cs="Arial"/>
                              </w:rPr>
                              <w:t>-0.03 (Z)</w:t>
                            </w:r>
                          </w:p>
                        </w:tc>
                        <w:tc>
                          <w:tcPr>
                            <w:tcW w:w="1308" w:type="dxa"/>
                            <w:tcBorders>
                              <w:top w:val="single" w:sz="4" w:space="0" w:color="auto"/>
                            </w:tcBorders>
                          </w:tcPr>
                          <w:p w14:paraId="3496C5F1" w14:textId="77777777" w:rsidR="00C93BE0" w:rsidRDefault="00C93BE0" w:rsidP="005A0ED3">
                            <w:pPr>
                              <w:jc w:val="center"/>
                              <w:rPr>
                                <w:rFonts w:ascii="Arial" w:hAnsi="Arial" w:cs="Arial"/>
                              </w:rPr>
                            </w:pPr>
                            <w:r>
                              <w:rPr>
                                <w:rFonts w:ascii="Arial" w:hAnsi="Arial" w:cs="Arial"/>
                              </w:rPr>
                              <w:t>.977</w:t>
                            </w:r>
                          </w:p>
                        </w:tc>
                      </w:tr>
                      <w:tr w:rsidR="00C93BE0" w14:paraId="452C9E71" w14:textId="77777777" w:rsidTr="00CC7DCB">
                        <w:trPr>
                          <w:trHeight w:val="280"/>
                        </w:trPr>
                        <w:tc>
                          <w:tcPr>
                            <w:tcW w:w="1283" w:type="dxa"/>
                          </w:tcPr>
                          <w:p w14:paraId="54FC9A87" w14:textId="77777777" w:rsidR="00C93BE0" w:rsidRDefault="00C93BE0" w:rsidP="005A0ED3">
                            <w:pPr>
                              <w:jc w:val="center"/>
                              <w:rPr>
                                <w:rFonts w:ascii="Arial" w:hAnsi="Arial" w:cs="Arial"/>
                              </w:rPr>
                            </w:pPr>
                            <w:r>
                              <w:rPr>
                                <w:rFonts w:ascii="Arial" w:hAnsi="Arial" w:cs="Arial"/>
                              </w:rPr>
                              <w:t>Orientation</w:t>
                            </w:r>
                          </w:p>
                        </w:tc>
                        <w:tc>
                          <w:tcPr>
                            <w:tcW w:w="1857" w:type="dxa"/>
                          </w:tcPr>
                          <w:p w14:paraId="79C0FD37" w14:textId="77777777" w:rsidR="00C93BE0" w:rsidRDefault="00C93BE0" w:rsidP="005A0ED3">
                            <w:pPr>
                              <w:jc w:val="center"/>
                              <w:rPr>
                                <w:rFonts w:ascii="Arial" w:hAnsi="Arial" w:cs="Arial"/>
                              </w:rPr>
                            </w:pPr>
                            <w:r>
                              <w:rPr>
                                <w:rFonts w:ascii="Arial" w:hAnsi="Arial" w:cs="Arial"/>
                              </w:rPr>
                              <w:t>1.70</w:t>
                            </w:r>
                          </w:p>
                        </w:tc>
                        <w:tc>
                          <w:tcPr>
                            <w:tcW w:w="2093" w:type="dxa"/>
                          </w:tcPr>
                          <w:p w14:paraId="7BBF0E74" w14:textId="77777777" w:rsidR="00C93BE0" w:rsidRDefault="00C93BE0" w:rsidP="005A0ED3">
                            <w:pPr>
                              <w:jc w:val="center"/>
                              <w:rPr>
                                <w:rFonts w:ascii="Arial" w:hAnsi="Arial" w:cs="Arial"/>
                              </w:rPr>
                            </w:pPr>
                            <w:r>
                              <w:rPr>
                                <w:rFonts w:ascii="Arial" w:hAnsi="Arial" w:cs="Arial"/>
                              </w:rPr>
                              <w:t>1.63</w:t>
                            </w:r>
                          </w:p>
                        </w:tc>
                        <w:tc>
                          <w:tcPr>
                            <w:tcW w:w="1570" w:type="dxa"/>
                          </w:tcPr>
                          <w:p w14:paraId="6B9A727F" w14:textId="77777777" w:rsidR="00C93BE0" w:rsidRDefault="00C93BE0" w:rsidP="005A0ED3">
                            <w:pPr>
                              <w:jc w:val="center"/>
                              <w:rPr>
                                <w:rFonts w:ascii="Arial" w:hAnsi="Arial" w:cs="Arial"/>
                              </w:rPr>
                            </w:pPr>
                            <w:r>
                              <w:rPr>
                                <w:rFonts w:ascii="Arial" w:hAnsi="Arial" w:cs="Arial"/>
                              </w:rPr>
                              <w:t>0.09 (Z)</w:t>
                            </w:r>
                          </w:p>
                        </w:tc>
                        <w:tc>
                          <w:tcPr>
                            <w:tcW w:w="1308" w:type="dxa"/>
                          </w:tcPr>
                          <w:p w14:paraId="1F2763CE" w14:textId="77777777" w:rsidR="00C93BE0" w:rsidRDefault="00C93BE0" w:rsidP="005A0ED3">
                            <w:pPr>
                              <w:jc w:val="center"/>
                              <w:rPr>
                                <w:rFonts w:ascii="Arial" w:hAnsi="Arial" w:cs="Arial"/>
                              </w:rPr>
                            </w:pPr>
                            <w:r>
                              <w:rPr>
                                <w:rFonts w:ascii="Arial" w:hAnsi="Arial" w:cs="Arial"/>
                              </w:rPr>
                              <w:t>.977</w:t>
                            </w:r>
                          </w:p>
                        </w:tc>
                      </w:tr>
                      <w:tr w:rsidR="00C93BE0" w14:paraId="48291C9D" w14:textId="77777777" w:rsidTr="00CC7DCB">
                        <w:trPr>
                          <w:trHeight w:val="303"/>
                        </w:trPr>
                        <w:tc>
                          <w:tcPr>
                            <w:tcW w:w="1283" w:type="dxa"/>
                          </w:tcPr>
                          <w:p w14:paraId="5BC72F43" w14:textId="77777777" w:rsidR="00C93BE0" w:rsidRDefault="00C93BE0" w:rsidP="005A0ED3">
                            <w:pPr>
                              <w:jc w:val="center"/>
                              <w:rPr>
                                <w:rFonts w:ascii="Arial" w:hAnsi="Arial" w:cs="Arial"/>
                              </w:rPr>
                            </w:pPr>
                            <w:r>
                              <w:rPr>
                                <w:rFonts w:ascii="Arial" w:hAnsi="Arial" w:cs="Arial"/>
                              </w:rPr>
                              <w:t>Contrast</w:t>
                            </w:r>
                          </w:p>
                        </w:tc>
                        <w:tc>
                          <w:tcPr>
                            <w:tcW w:w="1857" w:type="dxa"/>
                          </w:tcPr>
                          <w:p w14:paraId="036D11DB" w14:textId="77777777" w:rsidR="00C93BE0" w:rsidRDefault="00C93BE0" w:rsidP="005A0ED3">
                            <w:pPr>
                              <w:jc w:val="center"/>
                              <w:rPr>
                                <w:rFonts w:ascii="Arial" w:hAnsi="Arial" w:cs="Arial"/>
                              </w:rPr>
                            </w:pPr>
                            <w:r>
                              <w:rPr>
                                <w:rFonts w:ascii="Arial" w:hAnsi="Arial" w:cs="Arial"/>
                              </w:rPr>
                              <w:t>1.72</w:t>
                            </w:r>
                          </w:p>
                        </w:tc>
                        <w:tc>
                          <w:tcPr>
                            <w:tcW w:w="2093" w:type="dxa"/>
                          </w:tcPr>
                          <w:p w14:paraId="0A52C359" w14:textId="77777777" w:rsidR="00C93BE0" w:rsidRDefault="00C93BE0" w:rsidP="005A0ED3">
                            <w:pPr>
                              <w:jc w:val="center"/>
                              <w:rPr>
                                <w:rFonts w:ascii="Arial" w:hAnsi="Arial" w:cs="Arial"/>
                              </w:rPr>
                            </w:pPr>
                            <w:r>
                              <w:rPr>
                                <w:rFonts w:ascii="Arial" w:hAnsi="Arial" w:cs="Arial"/>
                              </w:rPr>
                              <w:t>2.07</w:t>
                            </w:r>
                          </w:p>
                        </w:tc>
                        <w:tc>
                          <w:tcPr>
                            <w:tcW w:w="1570" w:type="dxa"/>
                          </w:tcPr>
                          <w:p w14:paraId="241CD712" w14:textId="77777777" w:rsidR="00C93BE0" w:rsidRDefault="00C93BE0" w:rsidP="005A0ED3">
                            <w:pPr>
                              <w:jc w:val="center"/>
                              <w:rPr>
                                <w:rFonts w:ascii="Arial" w:hAnsi="Arial" w:cs="Arial"/>
                              </w:rPr>
                            </w:pPr>
                            <w:r>
                              <w:rPr>
                                <w:rFonts w:ascii="Arial" w:hAnsi="Arial" w:cs="Arial"/>
                              </w:rPr>
                              <w:t>-2.05 (T)</w:t>
                            </w:r>
                          </w:p>
                        </w:tc>
                        <w:tc>
                          <w:tcPr>
                            <w:tcW w:w="1308" w:type="dxa"/>
                          </w:tcPr>
                          <w:p w14:paraId="017387B0" w14:textId="77777777" w:rsidR="00C93BE0" w:rsidRDefault="00C93BE0" w:rsidP="005A0ED3">
                            <w:pPr>
                              <w:jc w:val="center"/>
                              <w:rPr>
                                <w:rFonts w:ascii="Arial" w:hAnsi="Arial" w:cs="Arial"/>
                              </w:rPr>
                            </w:pPr>
                            <w:r>
                              <w:rPr>
                                <w:rFonts w:ascii="Arial" w:hAnsi="Arial" w:cs="Arial"/>
                              </w:rPr>
                              <w:t>.206</w:t>
                            </w:r>
                          </w:p>
                        </w:tc>
                      </w:tr>
                      <w:tr w:rsidR="00C93BE0" w14:paraId="586674C0" w14:textId="77777777" w:rsidTr="00CC7DCB">
                        <w:trPr>
                          <w:trHeight w:val="280"/>
                        </w:trPr>
                        <w:tc>
                          <w:tcPr>
                            <w:tcW w:w="1283" w:type="dxa"/>
                          </w:tcPr>
                          <w:p w14:paraId="6C3B9D48" w14:textId="77777777" w:rsidR="00C93BE0" w:rsidRDefault="00C93BE0" w:rsidP="005A0ED3">
                            <w:pPr>
                              <w:jc w:val="center"/>
                              <w:rPr>
                                <w:rFonts w:ascii="Arial" w:hAnsi="Arial" w:cs="Arial"/>
                              </w:rPr>
                            </w:pPr>
                            <w:r>
                              <w:rPr>
                                <w:rFonts w:ascii="Arial" w:hAnsi="Arial" w:cs="Arial"/>
                              </w:rPr>
                              <w:t>Shape</w:t>
                            </w:r>
                          </w:p>
                        </w:tc>
                        <w:tc>
                          <w:tcPr>
                            <w:tcW w:w="1857" w:type="dxa"/>
                          </w:tcPr>
                          <w:p w14:paraId="460DCE30" w14:textId="77777777" w:rsidR="00C93BE0" w:rsidRDefault="00C93BE0" w:rsidP="005A0ED3">
                            <w:pPr>
                              <w:jc w:val="center"/>
                              <w:rPr>
                                <w:rFonts w:ascii="Arial" w:hAnsi="Arial" w:cs="Arial"/>
                              </w:rPr>
                            </w:pPr>
                            <w:r>
                              <w:rPr>
                                <w:rFonts w:ascii="Arial" w:hAnsi="Arial" w:cs="Arial"/>
                              </w:rPr>
                              <w:t>1.69</w:t>
                            </w:r>
                          </w:p>
                        </w:tc>
                        <w:tc>
                          <w:tcPr>
                            <w:tcW w:w="2093" w:type="dxa"/>
                          </w:tcPr>
                          <w:p w14:paraId="1AABEB2B" w14:textId="77777777" w:rsidR="00C93BE0" w:rsidRDefault="00C93BE0" w:rsidP="005A0ED3">
                            <w:pPr>
                              <w:jc w:val="center"/>
                              <w:rPr>
                                <w:rFonts w:ascii="Arial" w:hAnsi="Arial" w:cs="Arial"/>
                              </w:rPr>
                            </w:pPr>
                            <w:r>
                              <w:rPr>
                                <w:rFonts w:ascii="Arial" w:hAnsi="Arial" w:cs="Arial"/>
                              </w:rPr>
                              <w:t>1.73</w:t>
                            </w:r>
                          </w:p>
                        </w:tc>
                        <w:tc>
                          <w:tcPr>
                            <w:tcW w:w="1570" w:type="dxa"/>
                          </w:tcPr>
                          <w:p w14:paraId="5069A165" w14:textId="77777777" w:rsidR="00C93BE0" w:rsidRDefault="00C93BE0" w:rsidP="005A0ED3">
                            <w:pPr>
                              <w:jc w:val="center"/>
                              <w:rPr>
                                <w:rFonts w:ascii="Arial" w:hAnsi="Arial" w:cs="Arial"/>
                              </w:rPr>
                            </w:pPr>
                            <w:r>
                              <w:rPr>
                                <w:rFonts w:ascii="Arial" w:hAnsi="Arial" w:cs="Arial"/>
                              </w:rPr>
                              <w:t>-0.23(T)</w:t>
                            </w:r>
                          </w:p>
                        </w:tc>
                        <w:tc>
                          <w:tcPr>
                            <w:tcW w:w="1308" w:type="dxa"/>
                          </w:tcPr>
                          <w:p w14:paraId="7F61722F" w14:textId="77777777" w:rsidR="00C93BE0" w:rsidRDefault="00C93BE0" w:rsidP="005A0ED3">
                            <w:pPr>
                              <w:jc w:val="center"/>
                              <w:rPr>
                                <w:rFonts w:ascii="Arial" w:hAnsi="Arial" w:cs="Arial"/>
                              </w:rPr>
                            </w:pPr>
                            <w:r>
                              <w:rPr>
                                <w:rFonts w:ascii="Arial" w:hAnsi="Arial" w:cs="Arial"/>
                              </w:rPr>
                              <w:t>.977</w:t>
                            </w:r>
                          </w:p>
                        </w:tc>
                      </w:tr>
                    </w:tbl>
                    <w:p w14:paraId="6D99D75E" w14:textId="77777777" w:rsidR="00C93BE0" w:rsidRDefault="00C93BE0" w:rsidP="009F3085"/>
                    <w:p w14:paraId="41E82763" w14:textId="77777777" w:rsidR="00C93BE0" w:rsidRDefault="00C93BE0" w:rsidP="009F3085"/>
                    <w:p w14:paraId="023BCCB9" w14:textId="77777777" w:rsidR="00C93BE0" w:rsidRDefault="00C93BE0" w:rsidP="009F3085"/>
                    <w:p w14:paraId="4B297AD2" w14:textId="77777777" w:rsidR="00C93BE0" w:rsidRDefault="00C93BE0" w:rsidP="009F3085"/>
                    <w:p w14:paraId="1159AB2D" w14:textId="77777777" w:rsidR="00C93BE0" w:rsidRDefault="00C93BE0" w:rsidP="009F3085"/>
                    <w:bookmarkEnd w:id="390"/>
                    <w:bookmarkEnd w:id="391"/>
                    <w:p w14:paraId="3808A282" w14:textId="77777777" w:rsidR="00C93BE0" w:rsidRPr="00170F98" w:rsidRDefault="00C93BE0" w:rsidP="009F3085">
                      <w:pPr>
                        <w:pStyle w:val="Caption"/>
                        <w:keepNext/>
                        <w:spacing w:line="360" w:lineRule="auto"/>
                        <w:jc w:val="both"/>
                        <w:rPr>
                          <w:rFonts w:ascii="Arial" w:hAnsi="Arial" w:cs="Arial"/>
                          <w:i w:val="0"/>
                          <w:color w:val="000000" w:themeColor="text1"/>
                          <w:sz w:val="24"/>
                          <w:szCs w:val="24"/>
                        </w:rPr>
                      </w:pPr>
                    </w:p>
                    <w:p w14:paraId="3E4F21CE" w14:textId="77777777" w:rsidR="00C93BE0" w:rsidRDefault="00C93BE0" w:rsidP="009F3085"/>
                    <w:p w14:paraId="7CD0A7BC" w14:textId="77777777" w:rsidR="00C93BE0" w:rsidRDefault="00C93BE0" w:rsidP="009F3085"/>
                    <w:p w14:paraId="6BBFD792" w14:textId="77777777" w:rsidR="00C93BE0" w:rsidRDefault="00C93BE0" w:rsidP="009F3085"/>
                    <w:p w14:paraId="39BDFB0B" w14:textId="77777777" w:rsidR="00C93BE0" w:rsidRDefault="00C93BE0" w:rsidP="009F3085"/>
                  </w:txbxContent>
                </v:textbox>
                <w10:wrap type="square"/>
              </v:shape>
            </w:pict>
          </mc:Fallback>
        </mc:AlternateContent>
      </w:r>
      <w:r w:rsidRPr="00225AB0">
        <w:rPr>
          <w:rFonts w:ascii="Arial" w:hAnsi="Arial" w:cs="Arial"/>
        </w:rPr>
        <w:t xml:space="preserve">time across these unequal and equal analysis pipelines. </w:t>
      </w:r>
    </w:p>
    <w:p w14:paraId="13C075B2" w14:textId="77777777" w:rsidR="003874FF" w:rsidRDefault="003874FF" w:rsidP="000C73FA">
      <w:pPr>
        <w:spacing w:line="480" w:lineRule="auto"/>
        <w:rPr>
          <w:rFonts w:ascii="Arial" w:hAnsi="Arial" w:cs="Arial"/>
        </w:rPr>
      </w:pPr>
    </w:p>
    <w:p w14:paraId="596FED6D" w14:textId="5E96616F" w:rsidR="000C73FA" w:rsidRPr="00225AB0" w:rsidRDefault="000C73FA" w:rsidP="000C73FA">
      <w:pPr>
        <w:spacing w:line="480" w:lineRule="auto"/>
        <w:rPr>
          <w:rFonts w:ascii="Arial" w:hAnsi="Arial" w:cs="Arial"/>
        </w:rPr>
      </w:pPr>
      <w:r w:rsidRPr="00225AB0">
        <w:rPr>
          <w:rFonts w:ascii="Arial" w:hAnsi="Arial" w:cs="Arial"/>
        </w:rPr>
        <w:t>We conducted multiple paired-sample t-tests, comparing equal and unequal loglinear d’ scores for the divided, orientation, contrast and shape attention conditions individually (as displayed in Table</w:t>
      </w:r>
      <w:r w:rsidR="00830F5C">
        <w:rPr>
          <w:rFonts w:ascii="Arial" w:hAnsi="Arial" w:cs="Arial"/>
        </w:rPr>
        <w:t xml:space="preserve"> 3</w:t>
      </w:r>
      <w:r w:rsidRPr="00225AB0">
        <w:rPr>
          <w:rFonts w:ascii="Arial" w:hAnsi="Arial" w:cs="Arial"/>
        </w:rPr>
        <w:t>.1).</w:t>
      </w:r>
      <w:r w:rsidR="00DA6ECD">
        <w:rPr>
          <w:rFonts w:ascii="Arial" w:hAnsi="Arial" w:cs="Arial"/>
        </w:rPr>
        <w:t xml:space="preserve"> </w:t>
      </w:r>
      <w:r w:rsidRPr="00225AB0">
        <w:rPr>
          <w:rFonts w:ascii="Arial" w:hAnsi="Arial" w:cs="Arial"/>
        </w:rPr>
        <w:t xml:space="preserve">We repeated the same analysis performing multiple paired-sample t-tests, comparing each participant’s mean reaction time </w:t>
      </w:r>
      <w:r w:rsidR="00D44AC6">
        <w:rPr>
          <w:rFonts w:ascii="Arial" w:hAnsi="Arial" w:cs="Arial"/>
        </w:rPr>
        <w:t>in</w:t>
      </w:r>
      <w:r w:rsidRPr="00225AB0">
        <w:rPr>
          <w:rFonts w:ascii="Arial" w:hAnsi="Arial" w:cs="Arial"/>
        </w:rPr>
        <w:t xml:space="preserve"> the divided, orientation, contrast and shape conditions across equal runs (see Table</w:t>
      </w:r>
      <w:r w:rsidR="00830F5C">
        <w:rPr>
          <w:rFonts w:ascii="Arial" w:hAnsi="Arial" w:cs="Arial"/>
        </w:rPr>
        <w:t xml:space="preserve"> 3</w:t>
      </w:r>
      <w:r w:rsidRPr="00225AB0">
        <w:rPr>
          <w:rFonts w:ascii="Arial" w:hAnsi="Arial" w:cs="Arial"/>
        </w:rPr>
        <w:t xml:space="preserve">.2). Of the 8 comparisons, 3 had a non-normal distribution of one of the data conditions (Shapiro-Wilk </w:t>
      </w:r>
      <w:r w:rsidRPr="00225AB0">
        <w:rPr>
          <w:rFonts w:ascii="Arial" w:hAnsi="Arial" w:cs="Arial"/>
          <w:i/>
        </w:rPr>
        <w:t>p</w:t>
      </w:r>
      <w:r w:rsidRPr="00225AB0">
        <w:rPr>
          <w:rFonts w:ascii="Arial" w:hAnsi="Arial" w:cs="Arial"/>
        </w:rPr>
        <w:t xml:space="preserve"> &lt;.05). In these instances, we instead performed the non-parametric paired-sample Wilcoxon signed-rank test. For both loglinear d’ and reaction time analyses, we performed a Benjamini-Hochberg correction on the resulting significance values (4) to control for the increased risk of a type one error with multiple comparisons. Statistical analysis revealed no significant difference in loglinear d’ between the equal and unequal run types in any attentional focus condition (</w:t>
      </w:r>
      <w:r w:rsidRPr="00225AB0">
        <w:rPr>
          <w:rFonts w:ascii="Arial" w:hAnsi="Arial" w:cs="Arial"/>
          <w:i/>
        </w:rPr>
        <w:t>p</w:t>
      </w:r>
      <w:r w:rsidRPr="00225AB0">
        <w:rPr>
          <w:rFonts w:ascii="Arial" w:hAnsi="Arial" w:cs="Arial"/>
        </w:rPr>
        <w:t xml:space="preserve"> &gt; .05). We also identified no significant differences in the mean reaction time between equal and unequal run types for any selective or divided attention condition (</w:t>
      </w:r>
      <w:r w:rsidRPr="00225AB0">
        <w:rPr>
          <w:rFonts w:ascii="Arial" w:hAnsi="Arial" w:cs="Arial"/>
          <w:i/>
        </w:rPr>
        <w:t>p</w:t>
      </w:r>
      <w:r w:rsidRPr="00225AB0">
        <w:rPr>
          <w:rFonts w:ascii="Arial" w:hAnsi="Arial" w:cs="Arial"/>
        </w:rPr>
        <w:t xml:space="preserve"> &gt; .05). </w:t>
      </w:r>
    </w:p>
    <w:p w14:paraId="7ADBBC34" w14:textId="77777777" w:rsidR="000C73FA" w:rsidRPr="00225AB0" w:rsidRDefault="000C73FA" w:rsidP="000C73FA">
      <w:pPr>
        <w:spacing w:line="480" w:lineRule="auto"/>
        <w:rPr>
          <w:rFonts w:ascii="Arial" w:hAnsi="Arial" w:cs="Arial"/>
        </w:rPr>
      </w:pPr>
    </w:p>
    <w:p w14:paraId="18E5615F" w14:textId="13A2E561" w:rsidR="00AE6937" w:rsidRDefault="00AE6937" w:rsidP="000C73FA">
      <w:pPr>
        <w:spacing w:line="480" w:lineRule="auto"/>
        <w:rPr>
          <w:rFonts w:ascii="Arial" w:hAnsi="Arial" w:cs="Arial"/>
        </w:rPr>
      </w:pPr>
      <w:r w:rsidRPr="00225AB0">
        <w:rPr>
          <w:rFonts w:ascii="Arial" w:hAnsi="Arial" w:cs="Arial"/>
          <w:noProof/>
          <w:lang w:eastAsia="en-GB"/>
        </w:rPr>
        <w:lastRenderedPageBreak/>
        <mc:AlternateContent>
          <mc:Choice Requires="wps">
            <w:drawing>
              <wp:anchor distT="0" distB="0" distL="114300" distR="114300" simplePos="0" relativeHeight="251867136" behindDoc="0" locked="0" layoutInCell="1" allowOverlap="1" wp14:anchorId="7517605D" wp14:editId="00AD4E56">
                <wp:simplePos x="0" y="0"/>
                <wp:positionH relativeFrom="column">
                  <wp:posOffset>0</wp:posOffset>
                </wp:positionH>
                <wp:positionV relativeFrom="paragraph">
                  <wp:posOffset>57420</wp:posOffset>
                </wp:positionV>
                <wp:extent cx="5300345" cy="19431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5300345" cy="1943100"/>
                        </a:xfrm>
                        <a:prstGeom prst="rect">
                          <a:avLst/>
                        </a:prstGeom>
                        <a:noFill/>
                        <a:ln w="6350">
                          <a:noFill/>
                        </a:ln>
                      </wps:spPr>
                      <wps:txbx>
                        <w:txbxContent>
                          <w:p w14:paraId="32D52964" w14:textId="77777777" w:rsidR="00AE6937" w:rsidRPr="00170F98" w:rsidRDefault="00AE6937" w:rsidP="00AE6937">
                            <w:pPr>
                              <w:pStyle w:val="Caption"/>
                              <w:keepNext/>
                              <w:spacing w:line="360" w:lineRule="auto"/>
                              <w:jc w:val="both"/>
                              <w:rPr>
                                <w:rFonts w:ascii="Arial" w:hAnsi="Arial" w:cs="Arial"/>
                                <w:i w:val="0"/>
                                <w:color w:val="000000" w:themeColor="text1"/>
                                <w:sz w:val="24"/>
                                <w:szCs w:val="24"/>
                              </w:rPr>
                            </w:pPr>
                            <w:bookmarkStart w:id="392" w:name="_Toc11929017"/>
                            <w:bookmarkStart w:id="393" w:name="_Toc16242688"/>
                            <w:bookmarkStart w:id="394" w:name="_Toc11926687"/>
                            <w:bookmarkStart w:id="395" w:name="_Toc11928751"/>
                            <w:r w:rsidRPr="00170F98">
                              <w:rPr>
                                <w:rFonts w:ascii="Arial" w:hAnsi="Arial" w:cs="Arial"/>
                                <w:b/>
                                <w:i w:val="0"/>
                                <w:color w:val="000000" w:themeColor="text1"/>
                                <w:sz w:val="24"/>
                                <w:szCs w:val="24"/>
                              </w:rPr>
                              <w:t xml:space="preserve">Table </w:t>
                            </w:r>
                            <w:r w:rsidRPr="00170F98">
                              <w:rPr>
                                <w:rFonts w:ascii="Arial" w:hAnsi="Arial" w:cs="Arial"/>
                                <w:b/>
                                <w:i w:val="0"/>
                                <w:color w:val="000000" w:themeColor="text1"/>
                                <w:sz w:val="24"/>
                                <w:szCs w:val="24"/>
                              </w:rPr>
                              <w:fldChar w:fldCharType="begin"/>
                            </w:r>
                            <w:r w:rsidRPr="00170F98">
                              <w:rPr>
                                <w:rFonts w:ascii="Arial" w:hAnsi="Arial" w:cs="Arial"/>
                                <w:b/>
                                <w:i w:val="0"/>
                                <w:color w:val="000000" w:themeColor="text1"/>
                                <w:sz w:val="24"/>
                                <w:szCs w:val="24"/>
                              </w:rPr>
                              <w:instrText xml:space="preserve"> STYLEREF 1 \s </w:instrText>
                            </w:r>
                            <w:r w:rsidRPr="00170F98">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sidRPr="00170F98">
                              <w:rPr>
                                <w:rFonts w:ascii="Arial" w:hAnsi="Arial" w:cs="Arial"/>
                                <w:b/>
                                <w:i w:val="0"/>
                                <w:color w:val="000000" w:themeColor="text1"/>
                                <w:sz w:val="24"/>
                                <w:szCs w:val="24"/>
                              </w:rPr>
                              <w:fldChar w:fldCharType="end"/>
                            </w:r>
                            <w:r w:rsidRPr="00170F98">
                              <w:rPr>
                                <w:rFonts w:ascii="Arial" w:hAnsi="Arial" w:cs="Arial"/>
                                <w:b/>
                                <w:i w:val="0"/>
                                <w:color w:val="000000" w:themeColor="text1"/>
                                <w:sz w:val="24"/>
                                <w:szCs w:val="24"/>
                              </w:rPr>
                              <w:t>.</w:t>
                            </w:r>
                            <w:r w:rsidRPr="00170F98">
                              <w:rPr>
                                <w:rFonts w:ascii="Arial" w:hAnsi="Arial" w:cs="Arial"/>
                                <w:b/>
                                <w:i w:val="0"/>
                                <w:color w:val="000000" w:themeColor="text1"/>
                                <w:sz w:val="24"/>
                                <w:szCs w:val="24"/>
                              </w:rPr>
                              <w:fldChar w:fldCharType="begin"/>
                            </w:r>
                            <w:r w:rsidRPr="00170F98">
                              <w:rPr>
                                <w:rFonts w:ascii="Arial" w:hAnsi="Arial" w:cs="Arial"/>
                                <w:b/>
                                <w:i w:val="0"/>
                                <w:color w:val="000000" w:themeColor="text1"/>
                                <w:sz w:val="24"/>
                                <w:szCs w:val="24"/>
                              </w:rPr>
                              <w:instrText xml:space="preserve"> SEQ Table \* ARABIC \s 1 </w:instrText>
                            </w:r>
                            <w:r w:rsidRPr="00170F98">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sidRPr="00170F98">
                              <w:rPr>
                                <w:rFonts w:ascii="Arial" w:hAnsi="Arial" w:cs="Arial"/>
                                <w:b/>
                                <w:i w:val="0"/>
                                <w:color w:val="000000" w:themeColor="text1"/>
                                <w:sz w:val="24"/>
                                <w:szCs w:val="24"/>
                              </w:rPr>
                              <w:fldChar w:fldCharType="end"/>
                            </w:r>
                            <w:r w:rsidRPr="00170F98">
                              <w:rPr>
                                <w:rFonts w:ascii="Arial" w:hAnsi="Arial" w:cs="Arial"/>
                                <w:i w:val="0"/>
                                <w:color w:val="000000" w:themeColor="text1"/>
                                <w:sz w:val="24"/>
                                <w:szCs w:val="24"/>
                              </w:rPr>
                              <w:t xml:space="preserve"> No significant difference in mean reaction time between equal and unequal change distribution analyses for any attentional focus condition</w:t>
                            </w:r>
                            <w:bookmarkEnd w:id="392"/>
                            <w:bookmarkEnd w:id="393"/>
                            <w:r>
                              <w:rPr>
                                <w:rFonts w:ascii="Arial" w:hAnsi="Arial" w:cs="Arial"/>
                                <w:i w:val="0"/>
                                <w:color w:val="000000" w:themeColor="text1"/>
                                <w:sz w:val="24"/>
                                <w:szCs w:val="24"/>
                              </w:rPr>
                              <w:t>.</w:t>
                            </w:r>
                          </w:p>
                          <w:tbl>
                            <w:tblPr>
                              <w:tblStyle w:val="TableGrid"/>
                              <w:tblW w:w="8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0"/>
                              <w:gridCol w:w="1838"/>
                              <w:gridCol w:w="2085"/>
                              <w:gridCol w:w="1490"/>
                              <w:gridCol w:w="1252"/>
                            </w:tblGrid>
                            <w:tr w:rsidR="00AE6937" w:rsidRPr="00F8478B" w14:paraId="3EBEF5B0" w14:textId="77777777" w:rsidTr="00CC7DCB">
                              <w:trPr>
                                <w:trHeight w:val="280"/>
                              </w:trPr>
                              <w:tc>
                                <w:tcPr>
                                  <w:tcW w:w="1259" w:type="dxa"/>
                                  <w:tcBorders>
                                    <w:top w:val="single" w:sz="4" w:space="0" w:color="auto"/>
                                    <w:bottom w:val="single" w:sz="4" w:space="0" w:color="auto"/>
                                  </w:tcBorders>
                                </w:tcPr>
                                <w:p w14:paraId="36A1BDCA" w14:textId="77777777" w:rsidR="00AE6937" w:rsidRDefault="00AE6937" w:rsidP="005A0ED3">
                                  <w:pPr>
                                    <w:rPr>
                                      <w:rFonts w:ascii="Arial" w:hAnsi="Arial" w:cs="Arial"/>
                                    </w:rPr>
                                  </w:pPr>
                                </w:p>
                              </w:tc>
                              <w:tc>
                                <w:tcPr>
                                  <w:tcW w:w="1886" w:type="dxa"/>
                                  <w:tcBorders>
                                    <w:top w:val="single" w:sz="4" w:space="0" w:color="auto"/>
                                    <w:bottom w:val="single" w:sz="4" w:space="0" w:color="auto"/>
                                  </w:tcBorders>
                                </w:tcPr>
                                <w:p w14:paraId="75FACDC3" w14:textId="77777777" w:rsidR="00AE6937" w:rsidRDefault="00AE6937" w:rsidP="005A0ED3">
                                  <w:pPr>
                                    <w:jc w:val="center"/>
                                    <w:rPr>
                                      <w:rFonts w:ascii="Arial" w:hAnsi="Arial" w:cs="Arial"/>
                                    </w:rPr>
                                  </w:pPr>
                                  <w:r>
                                    <w:rPr>
                                      <w:rFonts w:ascii="Arial" w:hAnsi="Arial" w:cs="Arial"/>
                                    </w:rPr>
                                    <w:t>Equal mean (RT)</w:t>
                                  </w:r>
                                </w:p>
                              </w:tc>
                              <w:tc>
                                <w:tcPr>
                                  <w:tcW w:w="2138" w:type="dxa"/>
                                  <w:tcBorders>
                                    <w:top w:val="single" w:sz="4" w:space="0" w:color="auto"/>
                                    <w:bottom w:val="single" w:sz="4" w:space="0" w:color="auto"/>
                                  </w:tcBorders>
                                </w:tcPr>
                                <w:p w14:paraId="31B4BACF" w14:textId="77777777" w:rsidR="00AE6937" w:rsidRDefault="00AE6937" w:rsidP="005A0ED3">
                                  <w:pPr>
                                    <w:jc w:val="center"/>
                                    <w:rPr>
                                      <w:rFonts w:ascii="Arial" w:hAnsi="Arial" w:cs="Arial"/>
                                    </w:rPr>
                                  </w:pPr>
                                  <w:r>
                                    <w:rPr>
                                      <w:rFonts w:ascii="Arial" w:hAnsi="Arial" w:cs="Arial"/>
                                    </w:rPr>
                                    <w:t>Unequal mean (RT)</w:t>
                                  </w:r>
                                </w:p>
                              </w:tc>
                              <w:tc>
                                <w:tcPr>
                                  <w:tcW w:w="1514" w:type="dxa"/>
                                  <w:tcBorders>
                                    <w:top w:val="single" w:sz="4" w:space="0" w:color="auto"/>
                                    <w:bottom w:val="single" w:sz="4" w:space="0" w:color="auto"/>
                                  </w:tcBorders>
                                </w:tcPr>
                                <w:p w14:paraId="7D6F7289" w14:textId="77777777" w:rsidR="00AE6937" w:rsidRDefault="00AE6937" w:rsidP="005A0ED3">
                                  <w:pPr>
                                    <w:jc w:val="center"/>
                                    <w:rPr>
                                      <w:rFonts w:ascii="Arial" w:hAnsi="Arial" w:cs="Arial"/>
                                    </w:rPr>
                                  </w:pPr>
                                  <w:r>
                                    <w:rPr>
                                      <w:rFonts w:ascii="Arial" w:hAnsi="Arial" w:cs="Arial"/>
                                    </w:rPr>
                                    <w:t>Statistic (test)</w:t>
                                  </w:r>
                                </w:p>
                              </w:tc>
                              <w:tc>
                                <w:tcPr>
                                  <w:tcW w:w="1258" w:type="dxa"/>
                                  <w:tcBorders>
                                    <w:top w:val="single" w:sz="4" w:space="0" w:color="auto"/>
                                    <w:bottom w:val="single" w:sz="4" w:space="0" w:color="auto"/>
                                  </w:tcBorders>
                                </w:tcPr>
                                <w:p w14:paraId="3789DBB8" w14:textId="77777777" w:rsidR="00AE6937" w:rsidRPr="00F8478B" w:rsidRDefault="00AE6937" w:rsidP="005A0ED3">
                                  <w:pPr>
                                    <w:jc w:val="center"/>
                                    <w:rPr>
                                      <w:rFonts w:ascii="Arial" w:hAnsi="Arial" w:cs="Arial"/>
                                    </w:rPr>
                                  </w:pPr>
                                  <w:r>
                                    <w:rPr>
                                      <w:rFonts w:ascii="Arial" w:hAnsi="Arial" w:cs="Arial"/>
                                    </w:rPr>
                                    <w:t xml:space="preserve">Adjusted </w:t>
                                  </w:r>
                                  <w:r>
                                    <w:rPr>
                                      <w:rFonts w:ascii="Arial" w:hAnsi="Arial" w:cs="Arial"/>
                                      <w:i/>
                                    </w:rPr>
                                    <w:t>p</w:t>
                                  </w:r>
                                </w:p>
                              </w:tc>
                            </w:tr>
                            <w:tr w:rsidR="00AE6937" w14:paraId="3866BFFB" w14:textId="77777777" w:rsidTr="00CC7DCB">
                              <w:trPr>
                                <w:trHeight w:val="303"/>
                              </w:trPr>
                              <w:tc>
                                <w:tcPr>
                                  <w:tcW w:w="1259" w:type="dxa"/>
                                  <w:tcBorders>
                                    <w:top w:val="single" w:sz="4" w:space="0" w:color="auto"/>
                                  </w:tcBorders>
                                </w:tcPr>
                                <w:p w14:paraId="3EE44498" w14:textId="77777777" w:rsidR="00AE6937" w:rsidRDefault="00AE6937" w:rsidP="005A0ED3">
                                  <w:pPr>
                                    <w:jc w:val="center"/>
                                    <w:rPr>
                                      <w:rFonts w:ascii="Arial" w:hAnsi="Arial" w:cs="Arial"/>
                                    </w:rPr>
                                  </w:pPr>
                                  <w:r>
                                    <w:rPr>
                                      <w:rFonts w:ascii="Arial" w:hAnsi="Arial" w:cs="Arial"/>
                                    </w:rPr>
                                    <w:t>Divided</w:t>
                                  </w:r>
                                </w:p>
                              </w:tc>
                              <w:tc>
                                <w:tcPr>
                                  <w:tcW w:w="1886" w:type="dxa"/>
                                  <w:tcBorders>
                                    <w:top w:val="single" w:sz="4" w:space="0" w:color="auto"/>
                                  </w:tcBorders>
                                </w:tcPr>
                                <w:p w14:paraId="56284506" w14:textId="77777777" w:rsidR="00AE6937" w:rsidRDefault="00AE6937" w:rsidP="005A0ED3">
                                  <w:pPr>
                                    <w:jc w:val="center"/>
                                    <w:rPr>
                                      <w:rFonts w:ascii="Arial" w:hAnsi="Arial" w:cs="Arial"/>
                                    </w:rPr>
                                  </w:pPr>
                                  <w:r>
                                    <w:rPr>
                                      <w:rFonts w:ascii="Arial" w:hAnsi="Arial" w:cs="Arial"/>
                                    </w:rPr>
                                    <w:t>355.22</w:t>
                                  </w:r>
                                </w:p>
                              </w:tc>
                              <w:tc>
                                <w:tcPr>
                                  <w:tcW w:w="2138" w:type="dxa"/>
                                  <w:tcBorders>
                                    <w:top w:val="single" w:sz="4" w:space="0" w:color="auto"/>
                                  </w:tcBorders>
                                </w:tcPr>
                                <w:p w14:paraId="61ECCDCC" w14:textId="77777777" w:rsidR="00AE6937" w:rsidRDefault="00AE6937" w:rsidP="005A0ED3">
                                  <w:pPr>
                                    <w:jc w:val="center"/>
                                    <w:rPr>
                                      <w:rFonts w:ascii="Arial" w:hAnsi="Arial" w:cs="Arial"/>
                                    </w:rPr>
                                  </w:pPr>
                                  <w:r>
                                    <w:rPr>
                                      <w:rFonts w:ascii="Arial" w:hAnsi="Arial" w:cs="Arial"/>
                                    </w:rPr>
                                    <w:t>371.41</w:t>
                                  </w:r>
                                </w:p>
                              </w:tc>
                              <w:tc>
                                <w:tcPr>
                                  <w:tcW w:w="1514" w:type="dxa"/>
                                  <w:tcBorders>
                                    <w:top w:val="single" w:sz="4" w:space="0" w:color="auto"/>
                                  </w:tcBorders>
                                </w:tcPr>
                                <w:p w14:paraId="549FE40C" w14:textId="77777777" w:rsidR="00AE6937" w:rsidRDefault="00AE6937" w:rsidP="005A0ED3">
                                  <w:pPr>
                                    <w:jc w:val="center"/>
                                    <w:rPr>
                                      <w:rFonts w:ascii="Arial" w:hAnsi="Arial" w:cs="Arial"/>
                                    </w:rPr>
                                  </w:pPr>
                                  <w:r>
                                    <w:rPr>
                                      <w:rFonts w:ascii="Arial" w:hAnsi="Arial" w:cs="Arial"/>
                                    </w:rPr>
                                    <w:t>-1.97 (T)</w:t>
                                  </w:r>
                                </w:p>
                              </w:tc>
                              <w:tc>
                                <w:tcPr>
                                  <w:tcW w:w="1258" w:type="dxa"/>
                                  <w:tcBorders>
                                    <w:top w:val="single" w:sz="4" w:space="0" w:color="auto"/>
                                  </w:tcBorders>
                                </w:tcPr>
                                <w:p w14:paraId="14FC9181" w14:textId="77777777" w:rsidR="00AE6937" w:rsidRDefault="00AE6937" w:rsidP="005A0ED3">
                                  <w:pPr>
                                    <w:jc w:val="center"/>
                                    <w:rPr>
                                      <w:rFonts w:ascii="Arial" w:hAnsi="Arial" w:cs="Arial"/>
                                    </w:rPr>
                                  </w:pPr>
                                  <w:r>
                                    <w:rPr>
                                      <w:rFonts w:ascii="Arial" w:hAnsi="Arial" w:cs="Arial"/>
                                    </w:rPr>
                                    <w:t>.243</w:t>
                                  </w:r>
                                </w:p>
                              </w:tc>
                            </w:tr>
                            <w:tr w:rsidR="00AE6937" w14:paraId="70E703AC" w14:textId="77777777" w:rsidTr="00CC7DCB">
                              <w:trPr>
                                <w:trHeight w:val="280"/>
                              </w:trPr>
                              <w:tc>
                                <w:tcPr>
                                  <w:tcW w:w="1259" w:type="dxa"/>
                                </w:tcPr>
                                <w:p w14:paraId="58DFC9E9" w14:textId="77777777" w:rsidR="00AE6937" w:rsidRDefault="00AE6937" w:rsidP="005A0ED3">
                                  <w:pPr>
                                    <w:jc w:val="center"/>
                                    <w:rPr>
                                      <w:rFonts w:ascii="Arial" w:hAnsi="Arial" w:cs="Arial"/>
                                    </w:rPr>
                                  </w:pPr>
                                  <w:r>
                                    <w:rPr>
                                      <w:rFonts w:ascii="Arial" w:hAnsi="Arial" w:cs="Arial"/>
                                    </w:rPr>
                                    <w:t>Orientation</w:t>
                                  </w:r>
                                </w:p>
                              </w:tc>
                              <w:tc>
                                <w:tcPr>
                                  <w:tcW w:w="1886" w:type="dxa"/>
                                </w:tcPr>
                                <w:p w14:paraId="1C51E5A9" w14:textId="77777777" w:rsidR="00AE6937" w:rsidRDefault="00AE6937" w:rsidP="005A0ED3">
                                  <w:pPr>
                                    <w:jc w:val="center"/>
                                    <w:rPr>
                                      <w:rFonts w:ascii="Arial" w:hAnsi="Arial" w:cs="Arial"/>
                                    </w:rPr>
                                  </w:pPr>
                                  <w:r>
                                    <w:rPr>
                                      <w:rFonts w:ascii="Arial" w:hAnsi="Arial" w:cs="Arial"/>
                                    </w:rPr>
                                    <w:t>324.21</w:t>
                                  </w:r>
                                </w:p>
                              </w:tc>
                              <w:tc>
                                <w:tcPr>
                                  <w:tcW w:w="2138" w:type="dxa"/>
                                </w:tcPr>
                                <w:p w14:paraId="0CE43B18" w14:textId="77777777" w:rsidR="00AE6937" w:rsidRDefault="00AE6937" w:rsidP="005A0ED3">
                                  <w:pPr>
                                    <w:jc w:val="center"/>
                                    <w:rPr>
                                      <w:rFonts w:ascii="Arial" w:hAnsi="Arial" w:cs="Arial"/>
                                    </w:rPr>
                                  </w:pPr>
                                  <w:r>
                                    <w:rPr>
                                      <w:rFonts w:ascii="Arial" w:hAnsi="Arial" w:cs="Arial"/>
                                    </w:rPr>
                                    <w:t>332.61</w:t>
                                  </w:r>
                                </w:p>
                              </w:tc>
                              <w:tc>
                                <w:tcPr>
                                  <w:tcW w:w="1514" w:type="dxa"/>
                                </w:tcPr>
                                <w:p w14:paraId="2ABBD220" w14:textId="77777777" w:rsidR="00AE6937" w:rsidRDefault="00AE6937" w:rsidP="005A0ED3">
                                  <w:pPr>
                                    <w:jc w:val="center"/>
                                    <w:rPr>
                                      <w:rFonts w:ascii="Arial" w:hAnsi="Arial" w:cs="Arial"/>
                                    </w:rPr>
                                  </w:pPr>
                                  <w:r>
                                    <w:rPr>
                                      <w:rFonts w:ascii="Arial" w:hAnsi="Arial" w:cs="Arial"/>
                                    </w:rPr>
                                    <w:t>-0.83 (T)</w:t>
                                  </w:r>
                                </w:p>
                              </w:tc>
                              <w:tc>
                                <w:tcPr>
                                  <w:tcW w:w="1258" w:type="dxa"/>
                                </w:tcPr>
                                <w:p w14:paraId="0278D744" w14:textId="77777777" w:rsidR="00AE6937" w:rsidRDefault="00AE6937" w:rsidP="005A0ED3">
                                  <w:pPr>
                                    <w:jc w:val="center"/>
                                    <w:rPr>
                                      <w:rFonts w:ascii="Arial" w:hAnsi="Arial" w:cs="Arial"/>
                                    </w:rPr>
                                  </w:pPr>
                                  <w:r>
                                    <w:rPr>
                                      <w:rFonts w:ascii="Arial" w:hAnsi="Arial" w:cs="Arial"/>
                                    </w:rPr>
                                    <w:t>.553</w:t>
                                  </w:r>
                                </w:p>
                              </w:tc>
                            </w:tr>
                            <w:tr w:rsidR="00AE6937" w14:paraId="6EFD7AA7" w14:textId="77777777" w:rsidTr="00CC7DCB">
                              <w:trPr>
                                <w:trHeight w:val="303"/>
                              </w:trPr>
                              <w:tc>
                                <w:tcPr>
                                  <w:tcW w:w="1259" w:type="dxa"/>
                                </w:tcPr>
                                <w:p w14:paraId="6984D1A0" w14:textId="77777777" w:rsidR="00AE6937" w:rsidRDefault="00AE6937" w:rsidP="005A0ED3">
                                  <w:pPr>
                                    <w:jc w:val="center"/>
                                    <w:rPr>
                                      <w:rFonts w:ascii="Arial" w:hAnsi="Arial" w:cs="Arial"/>
                                    </w:rPr>
                                  </w:pPr>
                                  <w:r>
                                    <w:rPr>
                                      <w:rFonts w:ascii="Arial" w:hAnsi="Arial" w:cs="Arial"/>
                                    </w:rPr>
                                    <w:t>Contrast</w:t>
                                  </w:r>
                                </w:p>
                              </w:tc>
                              <w:tc>
                                <w:tcPr>
                                  <w:tcW w:w="1886" w:type="dxa"/>
                                </w:tcPr>
                                <w:p w14:paraId="276AC683" w14:textId="77777777" w:rsidR="00AE6937" w:rsidRDefault="00AE6937" w:rsidP="005A0ED3">
                                  <w:pPr>
                                    <w:jc w:val="center"/>
                                    <w:rPr>
                                      <w:rFonts w:ascii="Arial" w:hAnsi="Arial" w:cs="Arial"/>
                                    </w:rPr>
                                  </w:pPr>
                                  <w:r>
                                    <w:rPr>
                                      <w:rFonts w:ascii="Arial" w:hAnsi="Arial" w:cs="Arial"/>
                                    </w:rPr>
                                    <w:t>321.78</w:t>
                                  </w:r>
                                </w:p>
                              </w:tc>
                              <w:tc>
                                <w:tcPr>
                                  <w:tcW w:w="2138" w:type="dxa"/>
                                </w:tcPr>
                                <w:p w14:paraId="464E4BD5" w14:textId="77777777" w:rsidR="00AE6937" w:rsidRDefault="00AE6937" w:rsidP="005A0ED3">
                                  <w:pPr>
                                    <w:jc w:val="center"/>
                                    <w:rPr>
                                      <w:rFonts w:ascii="Arial" w:hAnsi="Arial" w:cs="Arial"/>
                                    </w:rPr>
                                  </w:pPr>
                                  <w:r>
                                    <w:rPr>
                                      <w:rFonts w:ascii="Arial" w:hAnsi="Arial" w:cs="Arial"/>
                                    </w:rPr>
                                    <w:t>341.23</w:t>
                                  </w:r>
                                </w:p>
                              </w:tc>
                              <w:tc>
                                <w:tcPr>
                                  <w:tcW w:w="1514" w:type="dxa"/>
                                </w:tcPr>
                                <w:p w14:paraId="44C005B7" w14:textId="77777777" w:rsidR="00AE6937" w:rsidRDefault="00AE6937" w:rsidP="005A0ED3">
                                  <w:pPr>
                                    <w:jc w:val="center"/>
                                    <w:rPr>
                                      <w:rFonts w:ascii="Arial" w:hAnsi="Arial" w:cs="Arial"/>
                                    </w:rPr>
                                  </w:pPr>
                                  <w:r>
                                    <w:rPr>
                                      <w:rFonts w:ascii="Arial" w:hAnsi="Arial" w:cs="Arial"/>
                                    </w:rPr>
                                    <w:t>-1.51 (Z)</w:t>
                                  </w:r>
                                </w:p>
                              </w:tc>
                              <w:tc>
                                <w:tcPr>
                                  <w:tcW w:w="1258" w:type="dxa"/>
                                </w:tcPr>
                                <w:p w14:paraId="15A8276F" w14:textId="77777777" w:rsidR="00AE6937" w:rsidRDefault="00AE6937" w:rsidP="005A0ED3">
                                  <w:pPr>
                                    <w:jc w:val="center"/>
                                    <w:rPr>
                                      <w:rFonts w:ascii="Arial" w:hAnsi="Arial" w:cs="Arial"/>
                                    </w:rPr>
                                  </w:pPr>
                                  <w:r>
                                    <w:rPr>
                                      <w:rFonts w:ascii="Arial" w:hAnsi="Arial" w:cs="Arial"/>
                                    </w:rPr>
                                    <w:t>.260</w:t>
                                  </w:r>
                                </w:p>
                              </w:tc>
                            </w:tr>
                            <w:tr w:rsidR="00AE6937" w14:paraId="55169F99" w14:textId="77777777" w:rsidTr="00CC7DCB">
                              <w:trPr>
                                <w:trHeight w:val="280"/>
                              </w:trPr>
                              <w:tc>
                                <w:tcPr>
                                  <w:tcW w:w="1259" w:type="dxa"/>
                                </w:tcPr>
                                <w:p w14:paraId="0D5754C1" w14:textId="77777777" w:rsidR="00AE6937" w:rsidRDefault="00AE6937" w:rsidP="005A0ED3">
                                  <w:pPr>
                                    <w:jc w:val="center"/>
                                    <w:rPr>
                                      <w:rFonts w:ascii="Arial" w:hAnsi="Arial" w:cs="Arial"/>
                                    </w:rPr>
                                  </w:pPr>
                                  <w:r>
                                    <w:rPr>
                                      <w:rFonts w:ascii="Arial" w:hAnsi="Arial" w:cs="Arial"/>
                                    </w:rPr>
                                    <w:t>Shape</w:t>
                                  </w:r>
                                </w:p>
                              </w:tc>
                              <w:tc>
                                <w:tcPr>
                                  <w:tcW w:w="1886" w:type="dxa"/>
                                </w:tcPr>
                                <w:p w14:paraId="6A5B1BCB" w14:textId="77777777" w:rsidR="00AE6937" w:rsidRDefault="00AE6937" w:rsidP="005A0ED3">
                                  <w:pPr>
                                    <w:jc w:val="center"/>
                                    <w:rPr>
                                      <w:rFonts w:ascii="Arial" w:hAnsi="Arial" w:cs="Arial"/>
                                    </w:rPr>
                                  </w:pPr>
                                  <w:r>
                                    <w:rPr>
                                      <w:rFonts w:ascii="Arial" w:hAnsi="Arial" w:cs="Arial"/>
                                    </w:rPr>
                                    <w:t>345.33</w:t>
                                  </w:r>
                                </w:p>
                              </w:tc>
                              <w:tc>
                                <w:tcPr>
                                  <w:tcW w:w="2138" w:type="dxa"/>
                                </w:tcPr>
                                <w:p w14:paraId="444636FA" w14:textId="77777777" w:rsidR="00AE6937" w:rsidRDefault="00AE6937" w:rsidP="005A0ED3">
                                  <w:pPr>
                                    <w:jc w:val="center"/>
                                    <w:rPr>
                                      <w:rFonts w:ascii="Arial" w:hAnsi="Arial" w:cs="Arial"/>
                                    </w:rPr>
                                  </w:pPr>
                                  <w:r>
                                    <w:rPr>
                                      <w:rFonts w:ascii="Arial" w:hAnsi="Arial" w:cs="Arial"/>
                                    </w:rPr>
                                    <w:t>342.28</w:t>
                                  </w:r>
                                </w:p>
                              </w:tc>
                              <w:tc>
                                <w:tcPr>
                                  <w:tcW w:w="1514" w:type="dxa"/>
                                </w:tcPr>
                                <w:p w14:paraId="54B7F4CD" w14:textId="77777777" w:rsidR="00AE6937" w:rsidRDefault="00AE6937" w:rsidP="005A0ED3">
                                  <w:pPr>
                                    <w:jc w:val="center"/>
                                    <w:rPr>
                                      <w:rFonts w:ascii="Arial" w:hAnsi="Arial" w:cs="Arial"/>
                                    </w:rPr>
                                  </w:pPr>
                                  <w:r>
                                    <w:rPr>
                                      <w:rFonts w:ascii="Arial" w:hAnsi="Arial" w:cs="Arial"/>
                                    </w:rPr>
                                    <w:t>0.25 (T)</w:t>
                                  </w:r>
                                </w:p>
                              </w:tc>
                              <w:tc>
                                <w:tcPr>
                                  <w:tcW w:w="1258" w:type="dxa"/>
                                </w:tcPr>
                                <w:p w14:paraId="30375077" w14:textId="77777777" w:rsidR="00AE6937" w:rsidRDefault="00AE6937" w:rsidP="005A0ED3">
                                  <w:pPr>
                                    <w:jc w:val="center"/>
                                    <w:rPr>
                                      <w:rFonts w:ascii="Arial" w:hAnsi="Arial" w:cs="Arial"/>
                                    </w:rPr>
                                  </w:pPr>
                                  <w:r>
                                    <w:rPr>
                                      <w:rFonts w:ascii="Arial" w:hAnsi="Arial" w:cs="Arial"/>
                                    </w:rPr>
                                    <w:t>.807</w:t>
                                  </w:r>
                                </w:p>
                              </w:tc>
                            </w:tr>
                          </w:tbl>
                          <w:p w14:paraId="5FF59D87" w14:textId="77777777" w:rsidR="00AE6937" w:rsidRDefault="00AE6937" w:rsidP="00AE6937"/>
                          <w:p w14:paraId="6CA921ED" w14:textId="77777777" w:rsidR="00AE6937" w:rsidRDefault="00AE6937" w:rsidP="00AE6937"/>
                          <w:p w14:paraId="2F8771CB" w14:textId="77777777" w:rsidR="00AE6937" w:rsidRDefault="00AE6937" w:rsidP="00AE6937"/>
                          <w:bookmarkEnd w:id="394"/>
                          <w:bookmarkEnd w:id="395"/>
                          <w:p w14:paraId="7A253369" w14:textId="77777777" w:rsidR="00AE6937" w:rsidRPr="00170F98" w:rsidRDefault="00AE6937" w:rsidP="00AE6937">
                            <w:pPr>
                              <w:pStyle w:val="Caption"/>
                              <w:keepNext/>
                              <w:spacing w:line="360" w:lineRule="auto"/>
                              <w:jc w:val="both"/>
                              <w:rPr>
                                <w:rFonts w:ascii="Arial" w:hAnsi="Arial" w:cs="Arial"/>
                                <w:i w:val="0"/>
                                <w:color w:val="000000" w:themeColor="text1"/>
                                <w:sz w:val="24"/>
                                <w:szCs w:val="24"/>
                              </w:rPr>
                            </w:pPr>
                          </w:p>
                          <w:p w14:paraId="00324BF8" w14:textId="77777777" w:rsidR="00AE6937" w:rsidRDefault="00AE6937" w:rsidP="00AE6937"/>
                          <w:p w14:paraId="24991049" w14:textId="77777777" w:rsidR="00AE6937" w:rsidRDefault="00AE6937" w:rsidP="00AE6937"/>
                          <w:p w14:paraId="1F1273ED" w14:textId="77777777" w:rsidR="00AE6937" w:rsidRDefault="00AE6937" w:rsidP="00AE69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7605D" id="Text Box 6" o:spid="_x0000_s1043" type="#_x0000_t202" style="position:absolute;margin-left:0;margin-top:4.5pt;width:417.35pt;height:153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" filled="f" stroked="f" strokeweight=".5pt">
                <v:textbox>
                  <w:txbxContent>
                    <w:p w14:paraId="32D52964" w14:textId="77777777" w:rsidR="00AE6937" w:rsidRPr="00170F98" w:rsidRDefault="00AE6937" w:rsidP="00AE6937">
                      <w:pPr>
                        <w:pStyle w:val="Caption"/>
                        <w:keepNext/>
                        <w:spacing w:line="360" w:lineRule="auto"/>
                        <w:jc w:val="both"/>
                        <w:rPr>
                          <w:rFonts w:ascii="Arial" w:hAnsi="Arial" w:cs="Arial"/>
                          <w:i w:val="0"/>
                          <w:color w:val="000000" w:themeColor="text1"/>
                          <w:sz w:val="24"/>
                          <w:szCs w:val="24"/>
                        </w:rPr>
                      </w:pPr>
                      <w:bookmarkStart w:id="396" w:name="_Toc11929017"/>
                      <w:bookmarkStart w:id="397" w:name="_Toc16242688"/>
                      <w:bookmarkStart w:id="398" w:name="_Toc11926687"/>
                      <w:bookmarkStart w:id="399" w:name="_Toc11928751"/>
                      <w:r w:rsidRPr="00170F98">
                        <w:rPr>
                          <w:rFonts w:ascii="Arial" w:hAnsi="Arial" w:cs="Arial"/>
                          <w:b/>
                          <w:i w:val="0"/>
                          <w:color w:val="000000" w:themeColor="text1"/>
                          <w:sz w:val="24"/>
                          <w:szCs w:val="24"/>
                        </w:rPr>
                        <w:t xml:space="preserve">Table </w:t>
                      </w:r>
                      <w:r w:rsidRPr="00170F98">
                        <w:rPr>
                          <w:rFonts w:ascii="Arial" w:hAnsi="Arial" w:cs="Arial"/>
                          <w:b/>
                          <w:i w:val="0"/>
                          <w:color w:val="000000" w:themeColor="text1"/>
                          <w:sz w:val="24"/>
                          <w:szCs w:val="24"/>
                        </w:rPr>
                        <w:fldChar w:fldCharType="begin"/>
                      </w:r>
                      <w:r w:rsidRPr="00170F98">
                        <w:rPr>
                          <w:rFonts w:ascii="Arial" w:hAnsi="Arial" w:cs="Arial"/>
                          <w:b/>
                          <w:i w:val="0"/>
                          <w:color w:val="000000" w:themeColor="text1"/>
                          <w:sz w:val="24"/>
                          <w:szCs w:val="24"/>
                        </w:rPr>
                        <w:instrText xml:space="preserve"> STYLEREF 1 \s </w:instrText>
                      </w:r>
                      <w:r w:rsidRPr="00170F98">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sidRPr="00170F98">
                        <w:rPr>
                          <w:rFonts w:ascii="Arial" w:hAnsi="Arial" w:cs="Arial"/>
                          <w:b/>
                          <w:i w:val="0"/>
                          <w:color w:val="000000" w:themeColor="text1"/>
                          <w:sz w:val="24"/>
                          <w:szCs w:val="24"/>
                        </w:rPr>
                        <w:fldChar w:fldCharType="end"/>
                      </w:r>
                      <w:r w:rsidRPr="00170F98">
                        <w:rPr>
                          <w:rFonts w:ascii="Arial" w:hAnsi="Arial" w:cs="Arial"/>
                          <w:b/>
                          <w:i w:val="0"/>
                          <w:color w:val="000000" w:themeColor="text1"/>
                          <w:sz w:val="24"/>
                          <w:szCs w:val="24"/>
                        </w:rPr>
                        <w:t>.</w:t>
                      </w:r>
                      <w:r w:rsidRPr="00170F98">
                        <w:rPr>
                          <w:rFonts w:ascii="Arial" w:hAnsi="Arial" w:cs="Arial"/>
                          <w:b/>
                          <w:i w:val="0"/>
                          <w:color w:val="000000" w:themeColor="text1"/>
                          <w:sz w:val="24"/>
                          <w:szCs w:val="24"/>
                        </w:rPr>
                        <w:fldChar w:fldCharType="begin"/>
                      </w:r>
                      <w:r w:rsidRPr="00170F98">
                        <w:rPr>
                          <w:rFonts w:ascii="Arial" w:hAnsi="Arial" w:cs="Arial"/>
                          <w:b/>
                          <w:i w:val="0"/>
                          <w:color w:val="000000" w:themeColor="text1"/>
                          <w:sz w:val="24"/>
                          <w:szCs w:val="24"/>
                        </w:rPr>
                        <w:instrText xml:space="preserve"> SEQ Table \* ARABIC \s 1 </w:instrText>
                      </w:r>
                      <w:r w:rsidRPr="00170F98">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sidRPr="00170F98">
                        <w:rPr>
                          <w:rFonts w:ascii="Arial" w:hAnsi="Arial" w:cs="Arial"/>
                          <w:b/>
                          <w:i w:val="0"/>
                          <w:color w:val="000000" w:themeColor="text1"/>
                          <w:sz w:val="24"/>
                          <w:szCs w:val="24"/>
                        </w:rPr>
                        <w:fldChar w:fldCharType="end"/>
                      </w:r>
                      <w:r w:rsidRPr="00170F98">
                        <w:rPr>
                          <w:rFonts w:ascii="Arial" w:hAnsi="Arial" w:cs="Arial"/>
                          <w:i w:val="0"/>
                          <w:color w:val="000000" w:themeColor="text1"/>
                          <w:sz w:val="24"/>
                          <w:szCs w:val="24"/>
                        </w:rPr>
                        <w:t xml:space="preserve"> No significant difference in mean reaction time between equal and unequal change distribution analyses for any attentional focus condition</w:t>
                      </w:r>
                      <w:bookmarkEnd w:id="396"/>
                      <w:bookmarkEnd w:id="397"/>
                      <w:r>
                        <w:rPr>
                          <w:rFonts w:ascii="Arial" w:hAnsi="Arial" w:cs="Arial"/>
                          <w:i w:val="0"/>
                          <w:color w:val="000000" w:themeColor="text1"/>
                          <w:sz w:val="24"/>
                          <w:szCs w:val="24"/>
                        </w:rPr>
                        <w:t>.</w:t>
                      </w:r>
                    </w:p>
                    <w:tbl>
                      <w:tblPr>
                        <w:tblStyle w:val="TableGrid"/>
                        <w:tblW w:w="8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0"/>
                        <w:gridCol w:w="1838"/>
                        <w:gridCol w:w="2085"/>
                        <w:gridCol w:w="1490"/>
                        <w:gridCol w:w="1252"/>
                      </w:tblGrid>
                      <w:tr w:rsidR="00AE6937" w:rsidRPr="00F8478B" w14:paraId="3EBEF5B0" w14:textId="77777777" w:rsidTr="00CC7DCB">
                        <w:trPr>
                          <w:trHeight w:val="280"/>
                        </w:trPr>
                        <w:tc>
                          <w:tcPr>
                            <w:tcW w:w="1259" w:type="dxa"/>
                            <w:tcBorders>
                              <w:top w:val="single" w:sz="4" w:space="0" w:color="auto"/>
                              <w:bottom w:val="single" w:sz="4" w:space="0" w:color="auto"/>
                            </w:tcBorders>
                          </w:tcPr>
                          <w:p w14:paraId="36A1BDCA" w14:textId="77777777" w:rsidR="00AE6937" w:rsidRDefault="00AE6937" w:rsidP="005A0ED3">
                            <w:pPr>
                              <w:rPr>
                                <w:rFonts w:ascii="Arial" w:hAnsi="Arial" w:cs="Arial"/>
                              </w:rPr>
                            </w:pPr>
                          </w:p>
                        </w:tc>
                        <w:tc>
                          <w:tcPr>
                            <w:tcW w:w="1886" w:type="dxa"/>
                            <w:tcBorders>
                              <w:top w:val="single" w:sz="4" w:space="0" w:color="auto"/>
                              <w:bottom w:val="single" w:sz="4" w:space="0" w:color="auto"/>
                            </w:tcBorders>
                          </w:tcPr>
                          <w:p w14:paraId="75FACDC3" w14:textId="77777777" w:rsidR="00AE6937" w:rsidRDefault="00AE6937" w:rsidP="005A0ED3">
                            <w:pPr>
                              <w:jc w:val="center"/>
                              <w:rPr>
                                <w:rFonts w:ascii="Arial" w:hAnsi="Arial" w:cs="Arial"/>
                              </w:rPr>
                            </w:pPr>
                            <w:r>
                              <w:rPr>
                                <w:rFonts w:ascii="Arial" w:hAnsi="Arial" w:cs="Arial"/>
                              </w:rPr>
                              <w:t>Equal mean (RT)</w:t>
                            </w:r>
                          </w:p>
                        </w:tc>
                        <w:tc>
                          <w:tcPr>
                            <w:tcW w:w="2138" w:type="dxa"/>
                            <w:tcBorders>
                              <w:top w:val="single" w:sz="4" w:space="0" w:color="auto"/>
                              <w:bottom w:val="single" w:sz="4" w:space="0" w:color="auto"/>
                            </w:tcBorders>
                          </w:tcPr>
                          <w:p w14:paraId="31B4BACF" w14:textId="77777777" w:rsidR="00AE6937" w:rsidRDefault="00AE6937" w:rsidP="005A0ED3">
                            <w:pPr>
                              <w:jc w:val="center"/>
                              <w:rPr>
                                <w:rFonts w:ascii="Arial" w:hAnsi="Arial" w:cs="Arial"/>
                              </w:rPr>
                            </w:pPr>
                            <w:r>
                              <w:rPr>
                                <w:rFonts w:ascii="Arial" w:hAnsi="Arial" w:cs="Arial"/>
                              </w:rPr>
                              <w:t>Unequal mean (RT)</w:t>
                            </w:r>
                          </w:p>
                        </w:tc>
                        <w:tc>
                          <w:tcPr>
                            <w:tcW w:w="1514" w:type="dxa"/>
                            <w:tcBorders>
                              <w:top w:val="single" w:sz="4" w:space="0" w:color="auto"/>
                              <w:bottom w:val="single" w:sz="4" w:space="0" w:color="auto"/>
                            </w:tcBorders>
                          </w:tcPr>
                          <w:p w14:paraId="7D6F7289" w14:textId="77777777" w:rsidR="00AE6937" w:rsidRDefault="00AE6937" w:rsidP="005A0ED3">
                            <w:pPr>
                              <w:jc w:val="center"/>
                              <w:rPr>
                                <w:rFonts w:ascii="Arial" w:hAnsi="Arial" w:cs="Arial"/>
                              </w:rPr>
                            </w:pPr>
                            <w:r>
                              <w:rPr>
                                <w:rFonts w:ascii="Arial" w:hAnsi="Arial" w:cs="Arial"/>
                              </w:rPr>
                              <w:t>Statistic (test)</w:t>
                            </w:r>
                          </w:p>
                        </w:tc>
                        <w:tc>
                          <w:tcPr>
                            <w:tcW w:w="1258" w:type="dxa"/>
                            <w:tcBorders>
                              <w:top w:val="single" w:sz="4" w:space="0" w:color="auto"/>
                              <w:bottom w:val="single" w:sz="4" w:space="0" w:color="auto"/>
                            </w:tcBorders>
                          </w:tcPr>
                          <w:p w14:paraId="3789DBB8" w14:textId="77777777" w:rsidR="00AE6937" w:rsidRPr="00F8478B" w:rsidRDefault="00AE6937" w:rsidP="005A0ED3">
                            <w:pPr>
                              <w:jc w:val="center"/>
                              <w:rPr>
                                <w:rFonts w:ascii="Arial" w:hAnsi="Arial" w:cs="Arial"/>
                              </w:rPr>
                            </w:pPr>
                            <w:r>
                              <w:rPr>
                                <w:rFonts w:ascii="Arial" w:hAnsi="Arial" w:cs="Arial"/>
                              </w:rPr>
                              <w:t xml:space="preserve">Adjusted </w:t>
                            </w:r>
                            <w:r>
                              <w:rPr>
                                <w:rFonts w:ascii="Arial" w:hAnsi="Arial" w:cs="Arial"/>
                                <w:i/>
                              </w:rPr>
                              <w:t>p</w:t>
                            </w:r>
                          </w:p>
                        </w:tc>
                      </w:tr>
                      <w:tr w:rsidR="00AE6937" w14:paraId="3866BFFB" w14:textId="77777777" w:rsidTr="00CC7DCB">
                        <w:trPr>
                          <w:trHeight w:val="303"/>
                        </w:trPr>
                        <w:tc>
                          <w:tcPr>
                            <w:tcW w:w="1259" w:type="dxa"/>
                            <w:tcBorders>
                              <w:top w:val="single" w:sz="4" w:space="0" w:color="auto"/>
                            </w:tcBorders>
                          </w:tcPr>
                          <w:p w14:paraId="3EE44498" w14:textId="77777777" w:rsidR="00AE6937" w:rsidRDefault="00AE6937" w:rsidP="005A0ED3">
                            <w:pPr>
                              <w:jc w:val="center"/>
                              <w:rPr>
                                <w:rFonts w:ascii="Arial" w:hAnsi="Arial" w:cs="Arial"/>
                              </w:rPr>
                            </w:pPr>
                            <w:r>
                              <w:rPr>
                                <w:rFonts w:ascii="Arial" w:hAnsi="Arial" w:cs="Arial"/>
                              </w:rPr>
                              <w:t>Divided</w:t>
                            </w:r>
                          </w:p>
                        </w:tc>
                        <w:tc>
                          <w:tcPr>
                            <w:tcW w:w="1886" w:type="dxa"/>
                            <w:tcBorders>
                              <w:top w:val="single" w:sz="4" w:space="0" w:color="auto"/>
                            </w:tcBorders>
                          </w:tcPr>
                          <w:p w14:paraId="56284506" w14:textId="77777777" w:rsidR="00AE6937" w:rsidRDefault="00AE6937" w:rsidP="005A0ED3">
                            <w:pPr>
                              <w:jc w:val="center"/>
                              <w:rPr>
                                <w:rFonts w:ascii="Arial" w:hAnsi="Arial" w:cs="Arial"/>
                              </w:rPr>
                            </w:pPr>
                            <w:r>
                              <w:rPr>
                                <w:rFonts w:ascii="Arial" w:hAnsi="Arial" w:cs="Arial"/>
                              </w:rPr>
                              <w:t>355.22</w:t>
                            </w:r>
                          </w:p>
                        </w:tc>
                        <w:tc>
                          <w:tcPr>
                            <w:tcW w:w="2138" w:type="dxa"/>
                            <w:tcBorders>
                              <w:top w:val="single" w:sz="4" w:space="0" w:color="auto"/>
                            </w:tcBorders>
                          </w:tcPr>
                          <w:p w14:paraId="61ECCDCC" w14:textId="77777777" w:rsidR="00AE6937" w:rsidRDefault="00AE6937" w:rsidP="005A0ED3">
                            <w:pPr>
                              <w:jc w:val="center"/>
                              <w:rPr>
                                <w:rFonts w:ascii="Arial" w:hAnsi="Arial" w:cs="Arial"/>
                              </w:rPr>
                            </w:pPr>
                            <w:r>
                              <w:rPr>
                                <w:rFonts w:ascii="Arial" w:hAnsi="Arial" w:cs="Arial"/>
                              </w:rPr>
                              <w:t>371.41</w:t>
                            </w:r>
                          </w:p>
                        </w:tc>
                        <w:tc>
                          <w:tcPr>
                            <w:tcW w:w="1514" w:type="dxa"/>
                            <w:tcBorders>
                              <w:top w:val="single" w:sz="4" w:space="0" w:color="auto"/>
                            </w:tcBorders>
                          </w:tcPr>
                          <w:p w14:paraId="549FE40C" w14:textId="77777777" w:rsidR="00AE6937" w:rsidRDefault="00AE6937" w:rsidP="005A0ED3">
                            <w:pPr>
                              <w:jc w:val="center"/>
                              <w:rPr>
                                <w:rFonts w:ascii="Arial" w:hAnsi="Arial" w:cs="Arial"/>
                              </w:rPr>
                            </w:pPr>
                            <w:r>
                              <w:rPr>
                                <w:rFonts w:ascii="Arial" w:hAnsi="Arial" w:cs="Arial"/>
                              </w:rPr>
                              <w:t>-1.97 (T)</w:t>
                            </w:r>
                          </w:p>
                        </w:tc>
                        <w:tc>
                          <w:tcPr>
                            <w:tcW w:w="1258" w:type="dxa"/>
                            <w:tcBorders>
                              <w:top w:val="single" w:sz="4" w:space="0" w:color="auto"/>
                            </w:tcBorders>
                          </w:tcPr>
                          <w:p w14:paraId="14FC9181" w14:textId="77777777" w:rsidR="00AE6937" w:rsidRDefault="00AE6937" w:rsidP="005A0ED3">
                            <w:pPr>
                              <w:jc w:val="center"/>
                              <w:rPr>
                                <w:rFonts w:ascii="Arial" w:hAnsi="Arial" w:cs="Arial"/>
                              </w:rPr>
                            </w:pPr>
                            <w:r>
                              <w:rPr>
                                <w:rFonts w:ascii="Arial" w:hAnsi="Arial" w:cs="Arial"/>
                              </w:rPr>
                              <w:t>.243</w:t>
                            </w:r>
                          </w:p>
                        </w:tc>
                      </w:tr>
                      <w:tr w:rsidR="00AE6937" w14:paraId="70E703AC" w14:textId="77777777" w:rsidTr="00CC7DCB">
                        <w:trPr>
                          <w:trHeight w:val="280"/>
                        </w:trPr>
                        <w:tc>
                          <w:tcPr>
                            <w:tcW w:w="1259" w:type="dxa"/>
                          </w:tcPr>
                          <w:p w14:paraId="58DFC9E9" w14:textId="77777777" w:rsidR="00AE6937" w:rsidRDefault="00AE6937" w:rsidP="005A0ED3">
                            <w:pPr>
                              <w:jc w:val="center"/>
                              <w:rPr>
                                <w:rFonts w:ascii="Arial" w:hAnsi="Arial" w:cs="Arial"/>
                              </w:rPr>
                            </w:pPr>
                            <w:r>
                              <w:rPr>
                                <w:rFonts w:ascii="Arial" w:hAnsi="Arial" w:cs="Arial"/>
                              </w:rPr>
                              <w:t>Orientation</w:t>
                            </w:r>
                          </w:p>
                        </w:tc>
                        <w:tc>
                          <w:tcPr>
                            <w:tcW w:w="1886" w:type="dxa"/>
                          </w:tcPr>
                          <w:p w14:paraId="1C51E5A9" w14:textId="77777777" w:rsidR="00AE6937" w:rsidRDefault="00AE6937" w:rsidP="005A0ED3">
                            <w:pPr>
                              <w:jc w:val="center"/>
                              <w:rPr>
                                <w:rFonts w:ascii="Arial" w:hAnsi="Arial" w:cs="Arial"/>
                              </w:rPr>
                            </w:pPr>
                            <w:r>
                              <w:rPr>
                                <w:rFonts w:ascii="Arial" w:hAnsi="Arial" w:cs="Arial"/>
                              </w:rPr>
                              <w:t>324.21</w:t>
                            </w:r>
                          </w:p>
                        </w:tc>
                        <w:tc>
                          <w:tcPr>
                            <w:tcW w:w="2138" w:type="dxa"/>
                          </w:tcPr>
                          <w:p w14:paraId="0CE43B18" w14:textId="77777777" w:rsidR="00AE6937" w:rsidRDefault="00AE6937" w:rsidP="005A0ED3">
                            <w:pPr>
                              <w:jc w:val="center"/>
                              <w:rPr>
                                <w:rFonts w:ascii="Arial" w:hAnsi="Arial" w:cs="Arial"/>
                              </w:rPr>
                            </w:pPr>
                            <w:r>
                              <w:rPr>
                                <w:rFonts w:ascii="Arial" w:hAnsi="Arial" w:cs="Arial"/>
                              </w:rPr>
                              <w:t>332.61</w:t>
                            </w:r>
                          </w:p>
                        </w:tc>
                        <w:tc>
                          <w:tcPr>
                            <w:tcW w:w="1514" w:type="dxa"/>
                          </w:tcPr>
                          <w:p w14:paraId="2ABBD220" w14:textId="77777777" w:rsidR="00AE6937" w:rsidRDefault="00AE6937" w:rsidP="005A0ED3">
                            <w:pPr>
                              <w:jc w:val="center"/>
                              <w:rPr>
                                <w:rFonts w:ascii="Arial" w:hAnsi="Arial" w:cs="Arial"/>
                              </w:rPr>
                            </w:pPr>
                            <w:r>
                              <w:rPr>
                                <w:rFonts w:ascii="Arial" w:hAnsi="Arial" w:cs="Arial"/>
                              </w:rPr>
                              <w:t>-0.83 (T)</w:t>
                            </w:r>
                          </w:p>
                        </w:tc>
                        <w:tc>
                          <w:tcPr>
                            <w:tcW w:w="1258" w:type="dxa"/>
                          </w:tcPr>
                          <w:p w14:paraId="0278D744" w14:textId="77777777" w:rsidR="00AE6937" w:rsidRDefault="00AE6937" w:rsidP="005A0ED3">
                            <w:pPr>
                              <w:jc w:val="center"/>
                              <w:rPr>
                                <w:rFonts w:ascii="Arial" w:hAnsi="Arial" w:cs="Arial"/>
                              </w:rPr>
                            </w:pPr>
                            <w:r>
                              <w:rPr>
                                <w:rFonts w:ascii="Arial" w:hAnsi="Arial" w:cs="Arial"/>
                              </w:rPr>
                              <w:t>.553</w:t>
                            </w:r>
                          </w:p>
                        </w:tc>
                      </w:tr>
                      <w:tr w:rsidR="00AE6937" w14:paraId="6EFD7AA7" w14:textId="77777777" w:rsidTr="00CC7DCB">
                        <w:trPr>
                          <w:trHeight w:val="303"/>
                        </w:trPr>
                        <w:tc>
                          <w:tcPr>
                            <w:tcW w:w="1259" w:type="dxa"/>
                          </w:tcPr>
                          <w:p w14:paraId="6984D1A0" w14:textId="77777777" w:rsidR="00AE6937" w:rsidRDefault="00AE6937" w:rsidP="005A0ED3">
                            <w:pPr>
                              <w:jc w:val="center"/>
                              <w:rPr>
                                <w:rFonts w:ascii="Arial" w:hAnsi="Arial" w:cs="Arial"/>
                              </w:rPr>
                            </w:pPr>
                            <w:r>
                              <w:rPr>
                                <w:rFonts w:ascii="Arial" w:hAnsi="Arial" w:cs="Arial"/>
                              </w:rPr>
                              <w:t>Contrast</w:t>
                            </w:r>
                          </w:p>
                        </w:tc>
                        <w:tc>
                          <w:tcPr>
                            <w:tcW w:w="1886" w:type="dxa"/>
                          </w:tcPr>
                          <w:p w14:paraId="276AC683" w14:textId="77777777" w:rsidR="00AE6937" w:rsidRDefault="00AE6937" w:rsidP="005A0ED3">
                            <w:pPr>
                              <w:jc w:val="center"/>
                              <w:rPr>
                                <w:rFonts w:ascii="Arial" w:hAnsi="Arial" w:cs="Arial"/>
                              </w:rPr>
                            </w:pPr>
                            <w:r>
                              <w:rPr>
                                <w:rFonts w:ascii="Arial" w:hAnsi="Arial" w:cs="Arial"/>
                              </w:rPr>
                              <w:t>321.78</w:t>
                            </w:r>
                          </w:p>
                        </w:tc>
                        <w:tc>
                          <w:tcPr>
                            <w:tcW w:w="2138" w:type="dxa"/>
                          </w:tcPr>
                          <w:p w14:paraId="464E4BD5" w14:textId="77777777" w:rsidR="00AE6937" w:rsidRDefault="00AE6937" w:rsidP="005A0ED3">
                            <w:pPr>
                              <w:jc w:val="center"/>
                              <w:rPr>
                                <w:rFonts w:ascii="Arial" w:hAnsi="Arial" w:cs="Arial"/>
                              </w:rPr>
                            </w:pPr>
                            <w:r>
                              <w:rPr>
                                <w:rFonts w:ascii="Arial" w:hAnsi="Arial" w:cs="Arial"/>
                              </w:rPr>
                              <w:t>341.23</w:t>
                            </w:r>
                          </w:p>
                        </w:tc>
                        <w:tc>
                          <w:tcPr>
                            <w:tcW w:w="1514" w:type="dxa"/>
                          </w:tcPr>
                          <w:p w14:paraId="44C005B7" w14:textId="77777777" w:rsidR="00AE6937" w:rsidRDefault="00AE6937" w:rsidP="005A0ED3">
                            <w:pPr>
                              <w:jc w:val="center"/>
                              <w:rPr>
                                <w:rFonts w:ascii="Arial" w:hAnsi="Arial" w:cs="Arial"/>
                              </w:rPr>
                            </w:pPr>
                            <w:r>
                              <w:rPr>
                                <w:rFonts w:ascii="Arial" w:hAnsi="Arial" w:cs="Arial"/>
                              </w:rPr>
                              <w:t>-1.51 (Z)</w:t>
                            </w:r>
                          </w:p>
                        </w:tc>
                        <w:tc>
                          <w:tcPr>
                            <w:tcW w:w="1258" w:type="dxa"/>
                          </w:tcPr>
                          <w:p w14:paraId="15A8276F" w14:textId="77777777" w:rsidR="00AE6937" w:rsidRDefault="00AE6937" w:rsidP="005A0ED3">
                            <w:pPr>
                              <w:jc w:val="center"/>
                              <w:rPr>
                                <w:rFonts w:ascii="Arial" w:hAnsi="Arial" w:cs="Arial"/>
                              </w:rPr>
                            </w:pPr>
                            <w:r>
                              <w:rPr>
                                <w:rFonts w:ascii="Arial" w:hAnsi="Arial" w:cs="Arial"/>
                              </w:rPr>
                              <w:t>.260</w:t>
                            </w:r>
                          </w:p>
                        </w:tc>
                      </w:tr>
                      <w:tr w:rsidR="00AE6937" w14:paraId="55169F99" w14:textId="77777777" w:rsidTr="00CC7DCB">
                        <w:trPr>
                          <w:trHeight w:val="280"/>
                        </w:trPr>
                        <w:tc>
                          <w:tcPr>
                            <w:tcW w:w="1259" w:type="dxa"/>
                          </w:tcPr>
                          <w:p w14:paraId="0D5754C1" w14:textId="77777777" w:rsidR="00AE6937" w:rsidRDefault="00AE6937" w:rsidP="005A0ED3">
                            <w:pPr>
                              <w:jc w:val="center"/>
                              <w:rPr>
                                <w:rFonts w:ascii="Arial" w:hAnsi="Arial" w:cs="Arial"/>
                              </w:rPr>
                            </w:pPr>
                            <w:r>
                              <w:rPr>
                                <w:rFonts w:ascii="Arial" w:hAnsi="Arial" w:cs="Arial"/>
                              </w:rPr>
                              <w:t>Shape</w:t>
                            </w:r>
                          </w:p>
                        </w:tc>
                        <w:tc>
                          <w:tcPr>
                            <w:tcW w:w="1886" w:type="dxa"/>
                          </w:tcPr>
                          <w:p w14:paraId="6A5B1BCB" w14:textId="77777777" w:rsidR="00AE6937" w:rsidRDefault="00AE6937" w:rsidP="005A0ED3">
                            <w:pPr>
                              <w:jc w:val="center"/>
                              <w:rPr>
                                <w:rFonts w:ascii="Arial" w:hAnsi="Arial" w:cs="Arial"/>
                              </w:rPr>
                            </w:pPr>
                            <w:r>
                              <w:rPr>
                                <w:rFonts w:ascii="Arial" w:hAnsi="Arial" w:cs="Arial"/>
                              </w:rPr>
                              <w:t>345.33</w:t>
                            </w:r>
                          </w:p>
                        </w:tc>
                        <w:tc>
                          <w:tcPr>
                            <w:tcW w:w="2138" w:type="dxa"/>
                          </w:tcPr>
                          <w:p w14:paraId="444636FA" w14:textId="77777777" w:rsidR="00AE6937" w:rsidRDefault="00AE6937" w:rsidP="005A0ED3">
                            <w:pPr>
                              <w:jc w:val="center"/>
                              <w:rPr>
                                <w:rFonts w:ascii="Arial" w:hAnsi="Arial" w:cs="Arial"/>
                              </w:rPr>
                            </w:pPr>
                            <w:r>
                              <w:rPr>
                                <w:rFonts w:ascii="Arial" w:hAnsi="Arial" w:cs="Arial"/>
                              </w:rPr>
                              <w:t>342.28</w:t>
                            </w:r>
                          </w:p>
                        </w:tc>
                        <w:tc>
                          <w:tcPr>
                            <w:tcW w:w="1514" w:type="dxa"/>
                          </w:tcPr>
                          <w:p w14:paraId="54B7F4CD" w14:textId="77777777" w:rsidR="00AE6937" w:rsidRDefault="00AE6937" w:rsidP="005A0ED3">
                            <w:pPr>
                              <w:jc w:val="center"/>
                              <w:rPr>
                                <w:rFonts w:ascii="Arial" w:hAnsi="Arial" w:cs="Arial"/>
                              </w:rPr>
                            </w:pPr>
                            <w:r>
                              <w:rPr>
                                <w:rFonts w:ascii="Arial" w:hAnsi="Arial" w:cs="Arial"/>
                              </w:rPr>
                              <w:t>0.25 (T)</w:t>
                            </w:r>
                          </w:p>
                        </w:tc>
                        <w:tc>
                          <w:tcPr>
                            <w:tcW w:w="1258" w:type="dxa"/>
                          </w:tcPr>
                          <w:p w14:paraId="30375077" w14:textId="77777777" w:rsidR="00AE6937" w:rsidRDefault="00AE6937" w:rsidP="005A0ED3">
                            <w:pPr>
                              <w:jc w:val="center"/>
                              <w:rPr>
                                <w:rFonts w:ascii="Arial" w:hAnsi="Arial" w:cs="Arial"/>
                              </w:rPr>
                            </w:pPr>
                            <w:r>
                              <w:rPr>
                                <w:rFonts w:ascii="Arial" w:hAnsi="Arial" w:cs="Arial"/>
                              </w:rPr>
                              <w:t>.807</w:t>
                            </w:r>
                          </w:p>
                        </w:tc>
                      </w:tr>
                    </w:tbl>
                    <w:p w14:paraId="5FF59D87" w14:textId="77777777" w:rsidR="00AE6937" w:rsidRDefault="00AE6937" w:rsidP="00AE6937"/>
                    <w:p w14:paraId="6CA921ED" w14:textId="77777777" w:rsidR="00AE6937" w:rsidRDefault="00AE6937" w:rsidP="00AE6937"/>
                    <w:p w14:paraId="2F8771CB" w14:textId="77777777" w:rsidR="00AE6937" w:rsidRDefault="00AE6937" w:rsidP="00AE6937"/>
                    <w:bookmarkEnd w:id="398"/>
                    <w:bookmarkEnd w:id="399"/>
                    <w:p w14:paraId="7A253369" w14:textId="77777777" w:rsidR="00AE6937" w:rsidRPr="00170F98" w:rsidRDefault="00AE6937" w:rsidP="00AE6937">
                      <w:pPr>
                        <w:pStyle w:val="Caption"/>
                        <w:keepNext/>
                        <w:spacing w:line="360" w:lineRule="auto"/>
                        <w:jc w:val="both"/>
                        <w:rPr>
                          <w:rFonts w:ascii="Arial" w:hAnsi="Arial" w:cs="Arial"/>
                          <w:i w:val="0"/>
                          <w:color w:val="000000" w:themeColor="text1"/>
                          <w:sz w:val="24"/>
                          <w:szCs w:val="24"/>
                        </w:rPr>
                      </w:pPr>
                    </w:p>
                    <w:p w14:paraId="00324BF8" w14:textId="77777777" w:rsidR="00AE6937" w:rsidRDefault="00AE6937" w:rsidP="00AE6937"/>
                    <w:p w14:paraId="24991049" w14:textId="77777777" w:rsidR="00AE6937" w:rsidRDefault="00AE6937" w:rsidP="00AE6937"/>
                    <w:p w14:paraId="1F1273ED" w14:textId="77777777" w:rsidR="00AE6937" w:rsidRDefault="00AE6937" w:rsidP="00AE6937"/>
                  </w:txbxContent>
                </v:textbox>
                <w10:wrap type="square"/>
              </v:shape>
            </w:pict>
          </mc:Fallback>
        </mc:AlternateContent>
      </w:r>
    </w:p>
    <w:p w14:paraId="5AD0228E" w14:textId="7DE36D4F" w:rsidR="000C73FA" w:rsidRPr="00225AB0" w:rsidRDefault="000C73FA" w:rsidP="000C73FA">
      <w:pPr>
        <w:spacing w:line="480" w:lineRule="auto"/>
        <w:rPr>
          <w:rFonts w:ascii="Arial" w:hAnsi="Arial" w:cs="Arial"/>
        </w:rPr>
      </w:pPr>
      <w:r w:rsidRPr="00225AB0">
        <w:rPr>
          <w:rFonts w:ascii="Arial" w:hAnsi="Arial" w:cs="Arial"/>
        </w:rPr>
        <w:t xml:space="preserve">As we identified no significant difference in participant accuracy or reaction time between the equal and unequal conditions, we report only the outcomes of the equal response trial distribution runs in subsequent analyses. This matches the distribution of response trials employed </w:t>
      </w:r>
      <w:r w:rsidR="00D44AC6">
        <w:rPr>
          <w:rFonts w:ascii="Arial" w:hAnsi="Arial" w:cs="Arial"/>
        </w:rPr>
        <w:t>in</w:t>
      </w:r>
      <w:r w:rsidRPr="00225AB0">
        <w:rPr>
          <w:rFonts w:ascii="Arial" w:hAnsi="Arial" w:cs="Arial"/>
        </w:rPr>
        <w:t xml:space="preserve"> the original </w:t>
      </w:r>
      <w:r w:rsidRPr="00225AB0">
        <w:rPr>
          <w:rFonts w:ascii="Arial" w:hAnsi="Arial" w:cs="Arial"/>
        </w:rPr>
        <w:fldChar w:fldCharType="begin"/>
      </w:r>
      <w:r w:rsidR="005B4361">
        <w:rPr>
          <w:rFonts w:ascii="Arial" w:hAnsi="Arial" w:cs="Arial"/>
        </w:rPr>
        <w:instrText xml:space="preserve"> ADDIN ZOTERO_ITEM CSL_CITATION {"citationID":"8hCvRnie","properties":{"formattedCitation":"(Corbetta et al., 1990)","plainCitation":"(Corbetta et al., 1990)","dontUpdate":true,"noteIndex":0},"citationItems":[{"id":128,"uris":["http://zotero.org/groups/318634/items/LHCBHC5P"],"uri":["http://zotero.org/groups/318634/items/LHCBHC5P"],"itemData":{"id":128,"type":"article-journal","title":"Attentional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E."}],"issued":{"date-parts":[["1990"]]}}}],"schema":"https://github.com/citation-style-language/schema/raw/master/csl-citation.json"} </w:instrText>
      </w:r>
      <w:r w:rsidRPr="00225AB0">
        <w:rPr>
          <w:rFonts w:ascii="Arial" w:hAnsi="Arial" w:cs="Arial"/>
        </w:rPr>
        <w:fldChar w:fldCharType="separate"/>
      </w:r>
      <w:r w:rsidRPr="00225AB0">
        <w:rPr>
          <w:rFonts w:ascii="Arial" w:hAnsi="Arial" w:cs="Arial"/>
          <w:noProof/>
        </w:rPr>
        <w:t>Corbetta et al., (1990)</w:t>
      </w:r>
      <w:r w:rsidRPr="00225AB0">
        <w:rPr>
          <w:rFonts w:ascii="Arial" w:hAnsi="Arial" w:cs="Arial"/>
        </w:rPr>
        <w:fldChar w:fldCharType="end"/>
      </w:r>
      <w:r w:rsidRPr="00225AB0">
        <w:rPr>
          <w:rFonts w:ascii="Arial" w:hAnsi="Arial" w:cs="Arial"/>
        </w:rPr>
        <w:t xml:space="preserve"> experiment we aim to replicate, in which both the divided and selective attention conditions contained approximately 50% of trials requiring a ‘different’ response. </w:t>
      </w:r>
    </w:p>
    <w:p w14:paraId="7DCA919A" w14:textId="77777777" w:rsidR="000C73FA" w:rsidRPr="00225AB0" w:rsidRDefault="000C73FA" w:rsidP="000C73FA">
      <w:pPr>
        <w:spacing w:line="480" w:lineRule="auto"/>
        <w:rPr>
          <w:rFonts w:ascii="Arial" w:hAnsi="Arial" w:cs="Arial"/>
        </w:rPr>
      </w:pPr>
    </w:p>
    <w:p w14:paraId="5F40AFFD" w14:textId="39F7E3C8" w:rsidR="000C73FA" w:rsidRPr="00225AB0" w:rsidRDefault="00D44AC6" w:rsidP="000C73FA">
      <w:pPr>
        <w:spacing w:line="480" w:lineRule="auto"/>
        <w:rPr>
          <w:rFonts w:ascii="Arial" w:hAnsi="Arial" w:cs="Arial"/>
          <w:noProof/>
        </w:rPr>
      </w:pPr>
      <w:r>
        <w:rPr>
          <w:rFonts w:ascii="Arial" w:hAnsi="Arial" w:cs="Arial"/>
        </w:rPr>
        <w:t>In</w:t>
      </w:r>
      <w:r w:rsidR="000C73FA" w:rsidRPr="00225AB0">
        <w:rPr>
          <w:rFonts w:ascii="Arial" w:hAnsi="Arial" w:cs="Arial"/>
        </w:rPr>
        <w:t xml:space="preserve"> this experiment, we aimed to establish if utilising a relatively novel RF pattern visual stimulus, we could replicate the well-established findings of greater accuracy and faster response during selective attention, opposed to when attention is divided across multiple stimulus features </w:t>
      </w:r>
      <w:r w:rsidR="000C73FA" w:rsidRPr="00225AB0">
        <w:rPr>
          <w:rFonts w:ascii="Arial" w:hAnsi="Arial" w:cs="Arial"/>
        </w:rPr>
        <w:fldChar w:fldCharType="begin"/>
      </w:r>
      <w:r w:rsidR="005B4361">
        <w:rPr>
          <w:rFonts w:ascii="Arial" w:hAnsi="Arial" w:cs="Arial"/>
        </w:rPr>
        <w:instrText xml:space="preserve"> ADDIN ZOTERO_ITEM CSL_CITATION {"citationID":"FQX0iTZ4","properties":{"formattedCitation":"(M. Corbetta et al., 1991; Maurizio Corbetta et al., 1990)","plainCitation":"(M. Corbetta et al., 1991; Maurizio Corbetta et al., 1990)","dontUpdate":true,"noteIndex":0},"citationItems":[{"id":128,"uris":["http://zotero.org/groups/318634/items/LHCBHC5P"],"uri":["http://zotero.org/groups/318634/items/LHCBHC5P"],"itemData":{"id":128,"type":"article-journal","title":"Attentional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E."}],"issued":{"date-parts":[["1990"]]}}},{"id":88,"uris":["http://zotero.org/groups/318634/items/2CXE5HB4"],"uri":["http://zotero.org/groups/318634/items/2CXE5HB4"],"itemData":{"id":88,"type":"article-journal","title":"Selective and divided attention during visual discriminations of shape, color, and speed: functional anatomy by positron emission tomography","container-title":"The Journal of Neuroscience: The Official Journal of the Society for Neuroscience","page":"2383-2402","volume":"11","issue":"8","source":"PubMed","abstract":"Positron emission tomography (PET) was used to identify the neural systems involved in discriminating the shape, color, and speed of a visual stimulus under conditions of selective and divided attention. Psychophysical evidence indicated that the sensitivity for discriminating subtle stimulus changes in a same-different matching task was higher when subjects selectively attended to one attribute than when they divided attention among the attributes. PET measurements of brain activity indicated that modulations of extrastriate visual activity were primarily produced by task conditions of selective attention. Attention to speed activated a region in the left inferior parietal lobule. Attention to color activated a region in the collateral sulcus and dorsolateral occipital cortex, while attention to shape activated collateral sulcus (similarly to color), fusiform and parahippocampal gyri, and temporal cortex along the superior temporal sulcus. Outside the visual system, selective and divided attention activated nonoverlapping sets of brain regions. Selective conditions activated globus pallidus, caudate nucleus, lateral orbitofrontal cortex, posterior thalamus/colliculus, and insular-premotor regions, while the divided condition activated the anterior cingulate and dorsolateral prefrontal cortex. The results in the visual system demonstrate that selective attention to different features modulates activity in distinct regions of extrastriate cortex that appear to be specialized for processing the selected feature. The disjoint pattern of activations in extravisual brain regions during selective- and divided-attention conditions also suggests that preceptual judgements involve different neural systems, depending on attentional strategies.","ISSN":"0270-6474","note":"PMID: 1869921","title-short":"Selective and divided attention during visual discriminations of shape, color, and speed","journalAbbreviation":"J. Neurosci.","language":"eng","author":[{"family":"Corbetta","given":"M."},{"family":"Miezin","given":"F. M."},{"family":"Dobmeyer","given":"S."},{"family":"Shulman","given":"G. L."},{"family":"Petersen","given":"S. E."}],"issued":{"date-parts":[["1991",8]]}}}],"schema":"https://github.com/citation-style-language/schema/raw/master/csl-citation.json"} </w:instrText>
      </w:r>
      <w:r w:rsidR="000C73FA" w:rsidRPr="00225AB0">
        <w:rPr>
          <w:rFonts w:ascii="Arial" w:hAnsi="Arial" w:cs="Arial"/>
        </w:rPr>
        <w:fldChar w:fldCharType="separate"/>
      </w:r>
      <w:r w:rsidR="00967B1F" w:rsidRPr="00225AB0">
        <w:rPr>
          <w:rFonts w:ascii="Arial" w:hAnsi="Arial" w:cs="Arial"/>
          <w:noProof/>
        </w:rPr>
        <w:t>(Corbetta et al., 1991; Corbetta et al., 1990)</w:t>
      </w:r>
      <w:r w:rsidR="000C73FA" w:rsidRPr="00225AB0">
        <w:rPr>
          <w:rFonts w:ascii="Arial" w:hAnsi="Arial" w:cs="Arial"/>
        </w:rPr>
        <w:fldChar w:fldCharType="end"/>
      </w:r>
      <w:r w:rsidR="000C73FA" w:rsidRPr="00225AB0">
        <w:rPr>
          <w:rFonts w:ascii="Arial" w:hAnsi="Arial" w:cs="Arial"/>
        </w:rPr>
        <w:t xml:space="preserve">. To investigate this, for each participant, we calculated the average loglinear d’ score across orientation, contrast and shape conditions to provide a </w:t>
      </w:r>
      <w:r w:rsidR="005E4376">
        <w:rPr>
          <w:rFonts w:ascii="Arial" w:hAnsi="Arial" w:cs="Arial"/>
        </w:rPr>
        <w:t>single</w:t>
      </w:r>
      <w:r w:rsidR="000C73FA" w:rsidRPr="00225AB0">
        <w:rPr>
          <w:rFonts w:ascii="Arial" w:hAnsi="Arial" w:cs="Arial"/>
        </w:rPr>
        <w:t xml:space="preserve"> averaged selective attention accuracy score. These averaged selective attention loglinear d’ values were then compared with each participant’s corresponding accuracy </w:t>
      </w:r>
      <w:r>
        <w:rPr>
          <w:rFonts w:ascii="Arial" w:hAnsi="Arial" w:cs="Arial"/>
        </w:rPr>
        <w:t>in</w:t>
      </w:r>
      <w:r w:rsidR="000C73FA" w:rsidRPr="00225AB0">
        <w:rPr>
          <w:rFonts w:ascii="Arial" w:hAnsi="Arial" w:cs="Arial"/>
        </w:rPr>
        <w:t xml:space="preserve"> the divided attention condition. A paired-sample Wilcoxon signed-rank test revealed participants were significantly better at detecting changes in the attended </w:t>
      </w:r>
      <w:r w:rsidR="000C73FA" w:rsidRPr="00225AB0">
        <w:rPr>
          <w:rFonts w:ascii="Arial" w:hAnsi="Arial" w:cs="Arial"/>
        </w:rPr>
        <w:lastRenderedPageBreak/>
        <w:t xml:space="preserve">stimulus </w:t>
      </w:r>
      <w:r>
        <w:rPr>
          <w:rFonts w:ascii="Arial" w:hAnsi="Arial" w:cs="Arial"/>
        </w:rPr>
        <w:t>in</w:t>
      </w:r>
      <w:r w:rsidR="000C73FA" w:rsidRPr="00225AB0">
        <w:rPr>
          <w:rFonts w:ascii="Arial" w:hAnsi="Arial" w:cs="Arial"/>
        </w:rPr>
        <w:t xml:space="preserve"> the selective versus divided attention condition (Z</w:t>
      </w:r>
      <w:r w:rsidR="00BC74C0">
        <w:rPr>
          <w:rFonts w:ascii="Arial" w:hAnsi="Arial" w:cs="Arial"/>
        </w:rPr>
        <w:t xml:space="preserve"> </w:t>
      </w:r>
      <w:r w:rsidR="000C73FA" w:rsidRPr="00225AB0">
        <w:rPr>
          <w:rFonts w:ascii="Arial" w:hAnsi="Arial" w:cs="Arial"/>
        </w:rPr>
        <w:t xml:space="preserve">(23) = 3.71, </w:t>
      </w:r>
      <w:r w:rsidR="000C73FA" w:rsidRPr="00225AB0">
        <w:rPr>
          <w:rFonts w:ascii="Arial" w:hAnsi="Arial" w:cs="Arial"/>
          <w:i/>
        </w:rPr>
        <w:t>p</w:t>
      </w:r>
      <w:r w:rsidR="000C73FA" w:rsidRPr="00225AB0">
        <w:rPr>
          <w:rFonts w:ascii="Arial" w:hAnsi="Arial" w:cs="Arial"/>
        </w:rPr>
        <w:t xml:space="preserve"> &lt;.001) (See Figure</w:t>
      </w:r>
      <w:r w:rsidR="003874FF">
        <w:rPr>
          <w:rFonts w:ascii="Arial" w:hAnsi="Arial" w:cs="Arial"/>
        </w:rPr>
        <w:t xml:space="preserve"> 3</w:t>
      </w:r>
      <w:r w:rsidR="000C73FA" w:rsidRPr="00225AB0">
        <w:rPr>
          <w:rFonts w:ascii="Arial" w:hAnsi="Arial" w:cs="Arial"/>
        </w:rPr>
        <w:t xml:space="preserve">.2A). Additionally, we wished to identify if this difference between selective and divided attention conditions was also evident </w:t>
      </w:r>
      <w:r>
        <w:rPr>
          <w:rFonts w:ascii="Arial" w:hAnsi="Arial" w:cs="Arial"/>
        </w:rPr>
        <w:t>in</w:t>
      </w:r>
      <w:r w:rsidR="000C73FA" w:rsidRPr="00225AB0">
        <w:rPr>
          <w:rFonts w:ascii="Arial" w:hAnsi="Arial" w:cs="Arial"/>
        </w:rPr>
        <w:t xml:space="preserve"> participant’s response times. As before, we calculated the average response time across orientation, contrast and shape conditions to provide a </w:t>
      </w:r>
      <w:r w:rsidR="005E4376">
        <w:rPr>
          <w:rFonts w:ascii="Arial" w:hAnsi="Arial" w:cs="Arial"/>
        </w:rPr>
        <w:t>single</w:t>
      </w:r>
      <w:r w:rsidR="000C73FA" w:rsidRPr="00225AB0">
        <w:rPr>
          <w:rFonts w:ascii="Arial" w:hAnsi="Arial" w:cs="Arial"/>
        </w:rPr>
        <w:t xml:space="preserve"> averaged selective attention reaction time score. This was then compared with participants</w:t>
      </w:r>
      <w:r w:rsidR="00331B19">
        <w:rPr>
          <w:rFonts w:ascii="Arial" w:hAnsi="Arial" w:cs="Arial"/>
        </w:rPr>
        <w:t>’</w:t>
      </w:r>
      <w:r w:rsidR="000C73FA" w:rsidRPr="00225AB0">
        <w:rPr>
          <w:rFonts w:ascii="Arial" w:hAnsi="Arial" w:cs="Arial"/>
        </w:rPr>
        <w:t xml:space="preserve"> reaction time in the divided attention condition. A paired-sample t-test revealed participants took significantly longer to respond </w:t>
      </w:r>
      <w:r>
        <w:rPr>
          <w:rFonts w:ascii="Arial" w:hAnsi="Arial" w:cs="Arial"/>
        </w:rPr>
        <w:t>in</w:t>
      </w:r>
      <w:r w:rsidR="000C73FA" w:rsidRPr="00225AB0">
        <w:rPr>
          <w:rFonts w:ascii="Arial" w:hAnsi="Arial" w:cs="Arial"/>
        </w:rPr>
        <w:t xml:space="preserve"> the divided attention condition than compared to the averaged selective attentional focus condition (T</w:t>
      </w:r>
      <w:r w:rsidR="00BC74C0">
        <w:rPr>
          <w:rFonts w:ascii="Arial" w:hAnsi="Arial" w:cs="Arial"/>
        </w:rPr>
        <w:t xml:space="preserve"> </w:t>
      </w:r>
      <w:r w:rsidR="000C73FA" w:rsidRPr="00225AB0">
        <w:rPr>
          <w:rFonts w:ascii="Arial" w:hAnsi="Arial" w:cs="Arial"/>
        </w:rPr>
        <w:t xml:space="preserve">(23) = -4.91, </w:t>
      </w:r>
      <w:r w:rsidR="000C73FA" w:rsidRPr="00225AB0">
        <w:rPr>
          <w:rFonts w:ascii="Arial" w:hAnsi="Arial" w:cs="Arial"/>
          <w:i/>
        </w:rPr>
        <w:t>p</w:t>
      </w:r>
      <w:r w:rsidR="000C73FA" w:rsidRPr="00225AB0">
        <w:rPr>
          <w:rFonts w:ascii="Arial" w:hAnsi="Arial" w:cs="Arial"/>
        </w:rPr>
        <w:t xml:space="preserve"> &lt;.001) (See Figure</w:t>
      </w:r>
      <w:r w:rsidR="003874FF">
        <w:rPr>
          <w:rFonts w:ascii="Arial" w:hAnsi="Arial" w:cs="Arial"/>
        </w:rPr>
        <w:t xml:space="preserve"> 3</w:t>
      </w:r>
      <w:r w:rsidR="000C73FA" w:rsidRPr="00225AB0">
        <w:rPr>
          <w:rFonts w:ascii="Arial" w:hAnsi="Arial" w:cs="Arial"/>
        </w:rPr>
        <w:t xml:space="preserve">.2B). </w:t>
      </w:r>
    </w:p>
    <w:p w14:paraId="22A8487E" w14:textId="74B707EF" w:rsidR="00170F98" w:rsidRPr="002F4BDC" w:rsidRDefault="009F3085" w:rsidP="003F31E0">
      <w:pPr>
        <w:spacing w:line="480" w:lineRule="auto"/>
        <w:rPr>
          <w:rFonts w:ascii="Arial" w:hAnsi="Arial" w:cs="Arial"/>
          <w:i/>
          <w:color w:val="000000" w:themeColor="text1"/>
        </w:rPr>
      </w:pPr>
      <w:r w:rsidRPr="00225AB0">
        <w:rPr>
          <w:rFonts w:ascii="Arial" w:hAnsi="Arial" w:cs="Arial"/>
          <w:i/>
          <w:noProof/>
          <w:color w:val="000000" w:themeColor="text1"/>
          <w:lang w:eastAsia="en-GB"/>
        </w:rPr>
        <mc:AlternateContent>
          <mc:Choice Requires="wps">
            <w:drawing>
              <wp:anchor distT="0" distB="0" distL="114300" distR="114300" simplePos="0" relativeHeight="251805696" behindDoc="0" locked="0" layoutInCell="1" allowOverlap="1" wp14:anchorId="2CB84C5E" wp14:editId="69A34BA4">
                <wp:simplePos x="0" y="0"/>
                <wp:positionH relativeFrom="column">
                  <wp:posOffset>-69273</wp:posOffset>
                </wp:positionH>
                <wp:positionV relativeFrom="paragraph">
                  <wp:posOffset>207529</wp:posOffset>
                </wp:positionV>
                <wp:extent cx="5314950" cy="337185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5314950" cy="3371850"/>
                        </a:xfrm>
                        <a:prstGeom prst="rect">
                          <a:avLst/>
                        </a:prstGeom>
                        <a:noFill/>
                        <a:ln w="6350">
                          <a:noFill/>
                        </a:ln>
                      </wps:spPr>
                      <wps:txbx>
                        <w:txbxContent>
                          <w:p w14:paraId="22FEB32D" w14:textId="77777777" w:rsidR="00C93BE0" w:rsidRDefault="00C93BE0" w:rsidP="009F3085">
                            <w:pPr>
                              <w:pStyle w:val="Caption"/>
                              <w:keepNext/>
                              <w:jc w:val="center"/>
                            </w:pPr>
                            <w:r>
                              <w:rPr>
                                <w:noProof/>
                                <w:lang w:eastAsia="en-GB"/>
                              </w:rPr>
                              <w:drawing>
                                <wp:inline distT="0" distB="0" distL="0" distR="0" wp14:anchorId="2D1F139F" wp14:editId="1C409594">
                                  <wp:extent cx="5249024" cy="23145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3.2-equal_unequal.png"/>
                                          <pic:cNvPicPr/>
                                        </pic:nvPicPr>
                                        <pic:blipFill rotWithShape="1">
                                          <a:blip r:embed="rId38">
                                            <a:extLst>
                                              <a:ext uri="{28A0092B-C50C-407E-A947-70E740481C1C}">
                                                <a14:useLocalDpi xmlns:a14="http://schemas.microsoft.com/office/drawing/2010/main" val="0"/>
                                              </a:ext>
                                            </a:extLst>
                                          </a:blip>
                                          <a:srcRect l="18777" t="42158"/>
                                          <a:stretch/>
                                        </pic:blipFill>
                                        <pic:spPr bwMode="auto">
                                          <a:xfrm>
                                            <a:off x="0" y="0"/>
                                            <a:ext cx="5303934" cy="2338788"/>
                                          </a:xfrm>
                                          <a:prstGeom prst="rect">
                                            <a:avLst/>
                                          </a:prstGeom>
                                          <a:ln>
                                            <a:noFill/>
                                          </a:ln>
                                          <a:extLst>
                                            <a:ext uri="{53640926-AAD7-44D8-BBD7-CCE9431645EC}">
                                              <a14:shadowObscured xmlns:a14="http://schemas.microsoft.com/office/drawing/2010/main"/>
                                            </a:ext>
                                          </a:extLst>
                                        </pic:spPr>
                                      </pic:pic>
                                    </a:graphicData>
                                  </a:graphic>
                                </wp:inline>
                              </w:drawing>
                            </w:r>
                          </w:p>
                          <w:p w14:paraId="202C99DF" w14:textId="1FEAA323" w:rsidR="00C93BE0" w:rsidRPr="00170F98" w:rsidRDefault="00C93BE0" w:rsidP="009F3085">
                            <w:pPr>
                              <w:pStyle w:val="Caption"/>
                              <w:spacing w:line="360" w:lineRule="auto"/>
                              <w:jc w:val="both"/>
                              <w:rPr>
                                <w:rFonts w:ascii="Arial" w:hAnsi="Arial" w:cs="Arial"/>
                                <w:i w:val="0"/>
                                <w:color w:val="000000" w:themeColor="text1"/>
                                <w:sz w:val="24"/>
                                <w:szCs w:val="24"/>
                              </w:rPr>
                            </w:pPr>
                            <w:bookmarkStart w:id="400" w:name="_Toc12363347"/>
                            <w:bookmarkStart w:id="401" w:name="_Toc16242704"/>
                            <w:r w:rsidRPr="00170F98">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170F98">
                              <w:rPr>
                                <w:rFonts w:ascii="Arial" w:hAnsi="Arial" w:cs="Arial"/>
                                <w:i w:val="0"/>
                                <w:color w:val="000000" w:themeColor="text1"/>
                                <w:sz w:val="24"/>
                                <w:szCs w:val="24"/>
                              </w:rPr>
                              <w:t xml:space="preserve"> Significantly greater participant accuracy (indexed by loglinear d’) (A) and faster reaction times (B) in selective than distributed attentional conditions. Error bars reflect +/- 1 standard error.</w:t>
                            </w:r>
                            <w:bookmarkEnd w:id="400"/>
                            <w:bookmarkEnd w:id="401"/>
                          </w:p>
                          <w:p w14:paraId="6A17C64B" w14:textId="77777777" w:rsidR="00C93BE0" w:rsidRPr="00170F98" w:rsidRDefault="00C93BE0" w:rsidP="009F3085">
                            <w:pPr>
                              <w:pStyle w:val="Caption"/>
                              <w:spacing w:line="360" w:lineRule="auto"/>
                              <w:jc w:val="both"/>
                              <w:rPr>
                                <w:rFonts w:ascii="Arial" w:hAnsi="Arial" w:cs="Arial"/>
                                <w:i w:val="0"/>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84C5E" id="Text Box 7" o:spid="_x0000_s1044" type="#_x0000_t202" style="position:absolute;margin-left:-5.45pt;margin-top:16.35pt;width:418.5pt;height:265.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" filled="f" stroked="f" strokeweight=".5pt">
                <v:textbox>
                  <w:txbxContent>
                    <w:p w14:paraId="22FEB32D" w14:textId="77777777" w:rsidR="00C93BE0" w:rsidRDefault="00C93BE0" w:rsidP="009F3085">
                      <w:pPr>
                        <w:pStyle w:val="Caption"/>
                        <w:keepNext/>
                        <w:jc w:val="center"/>
                      </w:pPr>
                      <w:r>
                        <w:rPr>
                          <w:noProof/>
                          <w:lang w:eastAsia="en-GB"/>
                        </w:rPr>
                        <w:drawing>
                          <wp:inline distT="0" distB="0" distL="0" distR="0" wp14:anchorId="2D1F139F" wp14:editId="1C409594">
                            <wp:extent cx="5249024" cy="23145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3.2-equal_unequal.png"/>
                                    <pic:cNvPicPr/>
                                  </pic:nvPicPr>
                                  <pic:blipFill rotWithShape="1">
                                    <a:blip r:embed="rId39">
                                      <a:extLst>
                                        <a:ext uri="{28A0092B-C50C-407E-A947-70E740481C1C}">
                                          <a14:useLocalDpi xmlns:a14="http://schemas.microsoft.com/office/drawing/2010/main" val="0"/>
                                        </a:ext>
                                      </a:extLst>
                                    </a:blip>
                                    <a:srcRect l="18777" t="42158"/>
                                    <a:stretch/>
                                  </pic:blipFill>
                                  <pic:spPr bwMode="auto">
                                    <a:xfrm>
                                      <a:off x="0" y="0"/>
                                      <a:ext cx="5303934" cy="2338788"/>
                                    </a:xfrm>
                                    <a:prstGeom prst="rect">
                                      <a:avLst/>
                                    </a:prstGeom>
                                    <a:ln>
                                      <a:noFill/>
                                    </a:ln>
                                    <a:extLst>
                                      <a:ext uri="{53640926-AAD7-44D8-BBD7-CCE9431645EC}">
                                        <a14:shadowObscured xmlns:a14="http://schemas.microsoft.com/office/drawing/2010/main"/>
                                      </a:ext>
                                    </a:extLst>
                                  </pic:spPr>
                                </pic:pic>
                              </a:graphicData>
                            </a:graphic>
                          </wp:inline>
                        </w:drawing>
                      </w:r>
                    </w:p>
                    <w:p w14:paraId="202C99DF" w14:textId="1FEAA323" w:rsidR="00C93BE0" w:rsidRPr="00170F98" w:rsidRDefault="00C93BE0" w:rsidP="009F3085">
                      <w:pPr>
                        <w:pStyle w:val="Caption"/>
                        <w:spacing w:line="360" w:lineRule="auto"/>
                        <w:jc w:val="both"/>
                        <w:rPr>
                          <w:rFonts w:ascii="Arial" w:hAnsi="Arial" w:cs="Arial"/>
                          <w:i w:val="0"/>
                          <w:color w:val="000000" w:themeColor="text1"/>
                          <w:sz w:val="24"/>
                          <w:szCs w:val="24"/>
                        </w:rPr>
                      </w:pPr>
                      <w:bookmarkStart w:id="431" w:name="_Toc12363347"/>
                      <w:bookmarkStart w:id="432" w:name="_Toc16242704"/>
                      <w:r w:rsidRPr="00170F98">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170F98">
                        <w:rPr>
                          <w:rFonts w:ascii="Arial" w:hAnsi="Arial" w:cs="Arial"/>
                          <w:i w:val="0"/>
                          <w:color w:val="000000" w:themeColor="text1"/>
                          <w:sz w:val="24"/>
                          <w:szCs w:val="24"/>
                        </w:rPr>
                        <w:t xml:space="preserve"> Significantly greater participant accuracy (indexed by loglinear d’) (A) and faster reaction times (B) in selective than distributed attentional conditions. Error bars reflect +/- 1 standard error.</w:t>
                      </w:r>
                      <w:bookmarkEnd w:id="431"/>
                      <w:bookmarkEnd w:id="432"/>
                    </w:p>
                    <w:p w14:paraId="6A17C64B" w14:textId="77777777" w:rsidR="00C93BE0" w:rsidRPr="00170F98" w:rsidRDefault="00C93BE0" w:rsidP="009F3085">
                      <w:pPr>
                        <w:pStyle w:val="Caption"/>
                        <w:spacing w:line="360" w:lineRule="auto"/>
                        <w:jc w:val="both"/>
                        <w:rPr>
                          <w:rFonts w:ascii="Arial" w:hAnsi="Arial" w:cs="Arial"/>
                          <w:i w:val="0"/>
                          <w:color w:val="000000" w:themeColor="text1"/>
                          <w:sz w:val="24"/>
                          <w:szCs w:val="24"/>
                        </w:rPr>
                      </w:pPr>
                    </w:p>
                  </w:txbxContent>
                </v:textbox>
                <w10:wrap type="square"/>
              </v:shape>
            </w:pict>
          </mc:Fallback>
        </mc:AlternateContent>
      </w:r>
    </w:p>
    <w:p w14:paraId="2CF1C6B1" w14:textId="23B21740" w:rsidR="00455E2F" w:rsidRDefault="000C73FA" w:rsidP="00170F98">
      <w:pPr>
        <w:spacing w:line="480" w:lineRule="auto"/>
        <w:rPr>
          <w:rFonts w:ascii="Arial" w:hAnsi="Arial" w:cs="Arial"/>
        </w:rPr>
      </w:pPr>
      <w:r w:rsidRPr="003F31E0">
        <w:rPr>
          <w:rFonts w:ascii="Arial" w:hAnsi="Arial" w:cs="Arial"/>
        </w:rPr>
        <w:t>Furthermore, we wished to investigate potential differences in participant response across the three individual selective attention conditions, in order to validate our use of participants</w:t>
      </w:r>
      <w:r w:rsidR="00606D83">
        <w:rPr>
          <w:rFonts w:ascii="Arial" w:hAnsi="Arial" w:cs="Arial"/>
        </w:rPr>
        <w:t>’</w:t>
      </w:r>
      <w:r w:rsidRPr="003F31E0">
        <w:rPr>
          <w:rFonts w:ascii="Arial" w:hAnsi="Arial" w:cs="Arial"/>
        </w:rPr>
        <w:t xml:space="preserve"> feature-specific detection thresholds as a method of calibrating task difficultly and associated levels of attention, for use in later fMRI experimentation. We conducted two one-way repeated measures ANOVAs (for loglinear d’ and reaction time respectively) to identify </w:t>
      </w:r>
      <w:r w:rsidRPr="003F31E0">
        <w:rPr>
          <w:rFonts w:ascii="Arial" w:hAnsi="Arial" w:cs="Arial"/>
        </w:rPr>
        <w:lastRenderedPageBreak/>
        <w:t>potential differences in response between the three selective conditions. Analyses identified no significant difference in participant accuracy (loglinear d’) across the orientation, contrast and shape conditions (</w:t>
      </w:r>
      <w:r w:rsidR="00BC74C0" w:rsidRPr="003F31E0">
        <w:rPr>
          <w:rFonts w:ascii="Arial" w:hAnsi="Arial" w:cs="Arial"/>
        </w:rPr>
        <w:t>F (</w:t>
      </w:r>
      <w:r w:rsidRPr="003F31E0">
        <w:rPr>
          <w:rFonts w:ascii="Arial" w:hAnsi="Arial" w:cs="Arial"/>
        </w:rPr>
        <w:t xml:space="preserve">2,46) = 0.01, </w:t>
      </w:r>
      <w:r w:rsidRPr="003F31E0">
        <w:rPr>
          <w:rFonts w:ascii="Arial" w:hAnsi="Arial" w:cs="Arial"/>
          <w:i/>
        </w:rPr>
        <w:t xml:space="preserve">p = </w:t>
      </w:r>
      <w:r w:rsidRPr="003F31E0">
        <w:rPr>
          <w:rFonts w:ascii="Arial" w:hAnsi="Arial" w:cs="Arial"/>
        </w:rPr>
        <w:t>.987) (see Figure</w:t>
      </w:r>
      <w:r w:rsidR="003874FF">
        <w:rPr>
          <w:rFonts w:ascii="Arial" w:hAnsi="Arial" w:cs="Arial"/>
        </w:rPr>
        <w:t xml:space="preserve"> 3.</w:t>
      </w:r>
      <w:r w:rsidRPr="003F31E0">
        <w:rPr>
          <w:rFonts w:ascii="Arial" w:hAnsi="Arial" w:cs="Arial"/>
        </w:rPr>
        <w:t>3A). For the reaction time comparison, we identify a significant difference in mean reaction time across the three selective attention conditions (</w:t>
      </w:r>
      <w:r w:rsidR="00BC74C0" w:rsidRPr="003F31E0">
        <w:rPr>
          <w:rFonts w:ascii="Arial" w:hAnsi="Arial" w:cs="Arial"/>
        </w:rPr>
        <w:t>F (</w:t>
      </w:r>
      <w:r w:rsidRPr="003F31E0">
        <w:rPr>
          <w:rFonts w:ascii="Arial" w:hAnsi="Arial" w:cs="Arial"/>
        </w:rPr>
        <w:t xml:space="preserve">2,46) = 4.25, </w:t>
      </w:r>
      <w:r w:rsidRPr="003F31E0">
        <w:rPr>
          <w:rFonts w:ascii="Arial" w:hAnsi="Arial" w:cs="Arial"/>
          <w:i/>
        </w:rPr>
        <w:t xml:space="preserve">p </w:t>
      </w:r>
      <w:r w:rsidRPr="003F31E0">
        <w:rPr>
          <w:rFonts w:ascii="Arial" w:hAnsi="Arial" w:cs="Arial"/>
        </w:rPr>
        <w:t xml:space="preserve">= .020). However, Bonferroni-corrected post-hoc tests reveal </w:t>
      </w:r>
      <w:r w:rsidR="00606D83">
        <w:rPr>
          <w:rFonts w:ascii="Arial" w:hAnsi="Arial" w:cs="Arial"/>
        </w:rPr>
        <w:t>no</w:t>
      </w:r>
      <w:r w:rsidR="00606D83" w:rsidRPr="003F31E0">
        <w:rPr>
          <w:rFonts w:ascii="Arial" w:hAnsi="Arial" w:cs="Arial"/>
        </w:rPr>
        <w:t xml:space="preserve"> </w:t>
      </w:r>
      <w:r w:rsidRPr="003F31E0">
        <w:rPr>
          <w:rFonts w:ascii="Arial" w:hAnsi="Arial" w:cs="Arial"/>
        </w:rPr>
        <w:t>significant difference between any pairwise comparison of conditions (</w:t>
      </w:r>
      <w:r w:rsidRPr="003F31E0">
        <w:rPr>
          <w:rFonts w:ascii="Arial" w:hAnsi="Arial" w:cs="Arial"/>
          <w:i/>
        </w:rPr>
        <w:t>p</w:t>
      </w:r>
      <w:r w:rsidRPr="003F31E0">
        <w:rPr>
          <w:rFonts w:ascii="Arial" w:hAnsi="Arial" w:cs="Arial"/>
        </w:rPr>
        <w:t xml:space="preserve"> &gt; .05) (see Figure</w:t>
      </w:r>
      <w:r w:rsidR="003874FF">
        <w:rPr>
          <w:rFonts w:ascii="Arial" w:hAnsi="Arial" w:cs="Arial"/>
        </w:rPr>
        <w:t xml:space="preserve"> 3</w:t>
      </w:r>
      <w:r w:rsidRPr="003F31E0">
        <w:rPr>
          <w:rFonts w:ascii="Arial" w:hAnsi="Arial" w:cs="Arial"/>
        </w:rPr>
        <w:t>.3B)</w:t>
      </w:r>
      <w:r w:rsidR="00170F98">
        <w:rPr>
          <w:rFonts w:ascii="Arial" w:hAnsi="Arial" w:cs="Arial"/>
        </w:rPr>
        <w:t xml:space="preserve">. </w:t>
      </w:r>
    </w:p>
    <w:p w14:paraId="4FBFB643" w14:textId="07D7C390" w:rsidR="00194172" w:rsidRDefault="007B68C2" w:rsidP="00812C5D">
      <w:pPr>
        <w:spacing w:line="480" w:lineRule="auto"/>
        <w:rPr>
          <w:rFonts w:ascii="Arial" w:hAnsi="Arial" w:cs="Arial"/>
        </w:rPr>
      </w:pPr>
      <w:r w:rsidRPr="00455E2F">
        <w:rPr>
          <w:b/>
          <w:noProof/>
          <w:sz w:val="28"/>
          <w:szCs w:val="28"/>
          <w:lang w:eastAsia="en-GB"/>
        </w:rPr>
        <mc:AlternateContent>
          <mc:Choice Requires="wps">
            <w:drawing>
              <wp:anchor distT="0" distB="0" distL="114300" distR="114300" simplePos="0" relativeHeight="251807744" behindDoc="1" locked="0" layoutInCell="1" allowOverlap="1" wp14:anchorId="74D3B7F9" wp14:editId="0C206E4E">
                <wp:simplePos x="0" y="0"/>
                <wp:positionH relativeFrom="column">
                  <wp:posOffset>-33020</wp:posOffset>
                </wp:positionH>
                <wp:positionV relativeFrom="paragraph">
                  <wp:posOffset>222951</wp:posOffset>
                </wp:positionV>
                <wp:extent cx="5314950" cy="3400425"/>
                <wp:effectExtent l="0" t="0" r="0" b="0"/>
                <wp:wrapTight wrapText="bothSides">
                  <wp:wrapPolygon edited="0">
                    <wp:start x="258" y="81"/>
                    <wp:lineTo x="258" y="21378"/>
                    <wp:lineTo x="21316" y="21378"/>
                    <wp:lineTo x="21265" y="81"/>
                    <wp:lineTo x="258" y="81"/>
                  </wp:wrapPolygon>
                </wp:wrapTight>
                <wp:docPr id="8" name="Text Box 8"/>
                <wp:cNvGraphicFramePr/>
                <a:graphic xmlns:a="http://schemas.openxmlformats.org/drawingml/2006/main">
                  <a:graphicData uri="http://schemas.microsoft.com/office/word/2010/wordprocessingShape">
                    <wps:wsp>
                      <wps:cNvSpPr txBox="1"/>
                      <wps:spPr>
                        <a:xfrm>
                          <a:off x="0" y="0"/>
                          <a:ext cx="5314950" cy="3400425"/>
                        </a:xfrm>
                        <a:prstGeom prst="rect">
                          <a:avLst/>
                        </a:prstGeom>
                        <a:noFill/>
                        <a:ln w="6350">
                          <a:noFill/>
                        </a:ln>
                      </wps:spPr>
                      <wps:txbx>
                        <w:txbxContent>
                          <w:p w14:paraId="1D593030" w14:textId="77777777" w:rsidR="00C93BE0" w:rsidRDefault="00C93BE0" w:rsidP="009F3085">
                            <w:pPr>
                              <w:keepNext/>
                              <w:jc w:val="center"/>
                            </w:pPr>
                            <w:r>
                              <w:rPr>
                                <w:noProof/>
                                <w:lang w:eastAsia="en-GB"/>
                              </w:rPr>
                              <w:drawing>
                                <wp:inline distT="0" distB="0" distL="0" distR="0" wp14:anchorId="1BD0918D" wp14:editId="2B6C7D34">
                                  <wp:extent cx="5176268" cy="2486025"/>
                                  <wp:effectExtent l="0" t="0" r="5715"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3.3-condition_anova.png"/>
                                          <pic:cNvPicPr/>
                                        </pic:nvPicPr>
                                        <pic:blipFill rotWithShape="1">
                                          <a:blip r:embed="rId40">
                                            <a:extLst>
                                              <a:ext uri="{28A0092B-C50C-407E-A947-70E740481C1C}">
                                                <a14:useLocalDpi xmlns:a14="http://schemas.microsoft.com/office/drawing/2010/main" val="0"/>
                                              </a:ext>
                                            </a:extLst>
                                          </a:blip>
                                          <a:srcRect l="2859" r="3525"/>
                                          <a:stretch/>
                                        </pic:blipFill>
                                        <pic:spPr bwMode="auto">
                                          <a:xfrm>
                                            <a:off x="0" y="0"/>
                                            <a:ext cx="5229831" cy="2511750"/>
                                          </a:xfrm>
                                          <a:prstGeom prst="rect">
                                            <a:avLst/>
                                          </a:prstGeom>
                                          <a:ln>
                                            <a:noFill/>
                                          </a:ln>
                                          <a:extLst>
                                            <a:ext uri="{53640926-AAD7-44D8-BBD7-CCE9431645EC}">
                                              <a14:shadowObscured xmlns:a14="http://schemas.microsoft.com/office/drawing/2010/main"/>
                                            </a:ext>
                                          </a:extLst>
                                        </pic:spPr>
                                      </pic:pic>
                                    </a:graphicData>
                                  </a:graphic>
                                </wp:inline>
                              </w:drawing>
                            </w:r>
                          </w:p>
                          <w:p w14:paraId="019A736A" w14:textId="3D7053FE" w:rsidR="00C93BE0" w:rsidRPr="00170F98" w:rsidRDefault="00C93BE0" w:rsidP="009F3085">
                            <w:pPr>
                              <w:pStyle w:val="Caption"/>
                              <w:spacing w:line="360" w:lineRule="auto"/>
                              <w:jc w:val="both"/>
                              <w:rPr>
                                <w:rFonts w:ascii="Arial" w:hAnsi="Arial" w:cs="Arial"/>
                                <w:i w:val="0"/>
                                <w:color w:val="000000" w:themeColor="text1"/>
                                <w:sz w:val="24"/>
                                <w:szCs w:val="24"/>
                              </w:rPr>
                            </w:pPr>
                            <w:bookmarkStart w:id="402" w:name="_Toc12363348"/>
                            <w:bookmarkStart w:id="403" w:name="_Toc16242705"/>
                            <w:r w:rsidRPr="00170F98">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170F98">
                              <w:rPr>
                                <w:rFonts w:ascii="Arial" w:hAnsi="Arial" w:cs="Arial"/>
                                <w:i w:val="0"/>
                                <w:color w:val="000000" w:themeColor="text1"/>
                                <w:sz w:val="24"/>
                                <w:szCs w:val="24"/>
                              </w:rPr>
                              <w:t xml:space="preserve"> No significant difference in loglinear d’ (A) or reaction time (B) between selective attention directed toward orientation, contrast or shape. Error bars reflect +/- 1 standard error.</w:t>
                            </w:r>
                            <w:bookmarkEnd w:id="402"/>
                            <w:bookmarkEnd w:id="403"/>
                          </w:p>
                          <w:p w14:paraId="1D4A520C" w14:textId="77777777" w:rsidR="00C93BE0" w:rsidRDefault="00C93BE0" w:rsidP="009F3085">
                            <w:pPr>
                              <w:keepNext/>
                              <w:jc w:val="center"/>
                            </w:pPr>
                          </w:p>
                          <w:p w14:paraId="473A541A" w14:textId="77777777" w:rsidR="00C93BE0" w:rsidRDefault="00C93BE0" w:rsidP="009F3085">
                            <w:pPr>
                              <w:keepNext/>
                              <w:jc w:val="center"/>
                            </w:pPr>
                          </w:p>
                          <w:p w14:paraId="23B94233" w14:textId="77777777" w:rsidR="00C93BE0" w:rsidRDefault="00C93BE0" w:rsidP="009F3085">
                            <w:pPr>
                              <w:jc w:val="center"/>
                            </w:pPr>
                          </w:p>
                          <w:p w14:paraId="152D6B1B" w14:textId="77777777" w:rsidR="00C93BE0" w:rsidRDefault="00C93BE0" w:rsidP="009F3085"/>
                          <w:p w14:paraId="0A72B6B7" w14:textId="77777777" w:rsidR="00C93BE0" w:rsidRDefault="00C93BE0" w:rsidP="009F3085">
                            <w:pPr>
                              <w:keepNext/>
                              <w:jc w:val="center"/>
                            </w:pPr>
                          </w:p>
                          <w:p w14:paraId="6DD83E07"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3B7F9" id="Text Box 8" o:spid="_x0000_s1045" type="#_x0000_t202" style="position:absolute;margin-left:-2.6pt;margin-top:17.55pt;width:418.5pt;height:267.7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" filled="f" stroked="f" strokeweight=".5pt">
                <v:textbox>
                  <w:txbxContent>
                    <w:p w14:paraId="1D593030" w14:textId="77777777" w:rsidR="00C93BE0" w:rsidRDefault="00C93BE0" w:rsidP="009F3085">
                      <w:pPr>
                        <w:keepNext/>
                        <w:jc w:val="center"/>
                      </w:pPr>
                      <w:r>
                        <w:rPr>
                          <w:noProof/>
                          <w:lang w:eastAsia="en-GB"/>
                        </w:rPr>
                        <w:drawing>
                          <wp:inline distT="0" distB="0" distL="0" distR="0" wp14:anchorId="1BD0918D" wp14:editId="2B6C7D34">
                            <wp:extent cx="5176268" cy="2486025"/>
                            <wp:effectExtent l="0" t="0" r="5715"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3.3-condition_anova.png"/>
                                    <pic:cNvPicPr/>
                                  </pic:nvPicPr>
                                  <pic:blipFill rotWithShape="1">
                                    <a:blip r:embed="rId41">
                                      <a:extLst>
                                        <a:ext uri="{28A0092B-C50C-407E-A947-70E740481C1C}">
                                          <a14:useLocalDpi xmlns:a14="http://schemas.microsoft.com/office/drawing/2010/main" val="0"/>
                                        </a:ext>
                                      </a:extLst>
                                    </a:blip>
                                    <a:srcRect l="2859" r="3525"/>
                                    <a:stretch/>
                                  </pic:blipFill>
                                  <pic:spPr bwMode="auto">
                                    <a:xfrm>
                                      <a:off x="0" y="0"/>
                                      <a:ext cx="5229831" cy="2511750"/>
                                    </a:xfrm>
                                    <a:prstGeom prst="rect">
                                      <a:avLst/>
                                    </a:prstGeom>
                                    <a:ln>
                                      <a:noFill/>
                                    </a:ln>
                                    <a:extLst>
                                      <a:ext uri="{53640926-AAD7-44D8-BBD7-CCE9431645EC}">
                                        <a14:shadowObscured xmlns:a14="http://schemas.microsoft.com/office/drawing/2010/main"/>
                                      </a:ext>
                                    </a:extLst>
                                  </pic:spPr>
                                </pic:pic>
                              </a:graphicData>
                            </a:graphic>
                          </wp:inline>
                        </w:drawing>
                      </w:r>
                    </w:p>
                    <w:p w14:paraId="019A736A" w14:textId="3D7053FE" w:rsidR="00C93BE0" w:rsidRPr="00170F98" w:rsidRDefault="00C93BE0" w:rsidP="009F3085">
                      <w:pPr>
                        <w:pStyle w:val="Caption"/>
                        <w:spacing w:line="360" w:lineRule="auto"/>
                        <w:jc w:val="both"/>
                        <w:rPr>
                          <w:rFonts w:ascii="Arial" w:hAnsi="Arial" w:cs="Arial"/>
                          <w:i w:val="0"/>
                          <w:color w:val="000000" w:themeColor="text1"/>
                          <w:sz w:val="24"/>
                          <w:szCs w:val="24"/>
                        </w:rPr>
                      </w:pPr>
                      <w:bookmarkStart w:id="435" w:name="_Toc12363348"/>
                      <w:bookmarkStart w:id="436" w:name="_Toc16242705"/>
                      <w:r w:rsidRPr="00170F98">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170F98">
                        <w:rPr>
                          <w:rFonts w:ascii="Arial" w:hAnsi="Arial" w:cs="Arial"/>
                          <w:i w:val="0"/>
                          <w:color w:val="000000" w:themeColor="text1"/>
                          <w:sz w:val="24"/>
                          <w:szCs w:val="24"/>
                        </w:rPr>
                        <w:t xml:space="preserve"> No significant difference in loglinear d’ (A) or reaction time (B) between selective attention directed toward orientation, contrast or shape. Error bars reflect +/- 1 standard error.</w:t>
                      </w:r>
                      <w:bookmarkEnd w:id="435"/>
                      <w:bookmarkEnd w:id="436"/>
                    </w:p>
                    <w:p w14:paraId="1D4A520C" w14:textId="77777777" w:rsidR="00C93BE0" w:rsidRDefault="00C93BE0" w:rsidP="009F3085">
                      <w:pPr>
                        <w:keepNext/>
                        <w:jc w:val="center"/>
                      </w:pPr>
                    </w:p>
                    <w:p w14:paraId="473A541A" w14:textId="77777777" w:rsidR="00C93BE0" w:rsidRDefault="00C93BE0" w:rsidP="009F3085">
                      <w:pPr>
                        <w:keepNext/>
                        <w:jc w:val="center"/>
                      </w:pPr>
                    </w:p>
                    <w:p w14:paraId="23B94233" w14:textId="77777777" w:rsidR="00C93BE0" w:rsidRDefault="00C93BE0" w:rsidP="009F3085">
                      <w:pPr>
                        <w:jc w:val="center"/>
                      </w:pPr>
                    </w:p>
                    <w:p w14:paraId="152D6B1B" w14:textId="77777777" w:rsidR="00C93BE0" w:rsidRDefault="00C93BE0" w:rsidP="009F3085"/>
                    <w:p w14:paraId="0A72B6B7" w14:textId="77777777" w:rsidR="00C93BE0" w:rsidRDefault="00C93BE0" w:rsidP="009F3085">
                      <w:pPr>
                        <w:keepNext/>
                        <w:jc w:val="center"/>
                      </w:pPr>
                    </w:p>
                    <w:p w14:paraId="6DD83E07" w14:textId="77777777" w:rsidR="00C93BE0" w:rsidRDefault="00C93BE0" w:rsidP="009F3085">
                      <w:pPr>
                        <w:jc w:val="center"/>
                      </w:pPr>
                    </w:p>
                  </w:txbxContent>
                </v:textbox>
                <w10:wrap type="tight"/>
              </v:shape>
            </w:pict>
          </mc:Fallback>
        </mc:AlternateContent>
      </w:r>
    </w:p>
    <w:p w14:paraId="7B762395" w14:textId="77777777" w:rsidR="00AE6937" w:rsidRPr="00812C5D" w:rsidRDefault="00AE6937" w:rsidP="00812C5D">
      <w:pPr>
        <w:spacing w:line="480" w:lineRule="auto"/>
        <w:rPr>
          <w:rFonts w:ascii="Arial" w:hAnsi="Arial" w:cs="Arial"/>
        </w:rPr>
      </w:pPr>
    </w:p>
    <w:p w14:paraId="03F81778" w14:textId="77777777" w:rsidR="00455E2F" w:rsidRDefault="00455E2F" w:rsidP="001811CC">
      <w:pPr>
        <w:pStyle w:val="Heading2"/>
        <w:numPr>
          <w:ilvl w:val="1"/>
          <w:numId w:val="4"/>
        </w:numPr>
        <w:rPr>
          <w:rFonts w:ascii="Arial" w:hAnsi="Arial" w:cs="Arial"/>
          <w:b/>
          <w:color w:val="000000" w:themeColor="text1"/>
          <w:sz w:val="28"/>
          <w:szCs w:val="28"/>
        </w:rPr>
      </w:pPr>
      <w:bookmarkStart w:id="404" w:name="_Toc11753641"/>
      <w:bookmarkStart w:id="405" w:name="_Toc11926827"/>
      <w:bookmarkStart w:id="406" w:name="_Toc11930063"/>
      <w:bookmarkStart w:id="407" w:name="_Toc16075379"/>
      <w:bookmarkStart w:id="408" w:name="_Toc16236999"/>
      <w:r w:rsidRPr="00455E2F">
        <w:rPr>
          <w:rFonts w:ascii="Arial" w:hAnsi="Arial" w:cs="Arial"/>
          <w:b/>
          <w:color w:val="000000" w:themeColor="text1"/>
          <w:sz w:val="28"/>
          <w:szCs w:val="28"/>
        </w:rPr>
        <w:t>Discussion</w:t>
      </w:r>
      <w:bookmarkEnd w:id="404"/>
      <w:bookmarkEnd w:id="405"/>
      <w:bookmarkEnd w:id="406"/>
      <w:bookmarkEnd w:id="407"/>
      <w:bookmarkEnd w:id="408"/>
    </w:p>
    <w:p w14:paraId="5FA916F5" w14:textId="77777777" w:rsidR="00455E2F" w:rsidRPr="00455E2F" w:rsidRDefault="00455E2F" w:rsidP="00455E2F"/>
    <w:p w14:paraId="74E28FF7" w14:textId="6C7B82EC" w:rsidR="000C73FA" w:rsidRPr="00225AB0" w:rsidRDefault="000C73FA" w:rsidP="000C73FA">
      <w:pPr>
        <w:spacing w:line="480" w:lineRule="auto"/>
        <w:rPr>
          <w:rFonts w:ascii="Arial" w:hAnsi="Arial" w:cs="Arial"/>
          <w:color w:val="000000" w:themeColor="text1"/>
        </w:rPr>
      </w:pPr>
      <w:r w:rsidRPr="00225AB0">
        <w:rPr>
          <w:rFonts w:ascii="Arial" w:hAnsi="Arial" w:cs="Arial"/>
          <w:color w:val="000000" w:themeColor="text1"/>
        </w:rPr>
        <w:t xml:space="preserve">Here, we </w:t>
      </w:r>
      <w:r w:rsidR="00606D83">
        <w:rPr>
          <w:rFonts w:ascii="Arial" w:hAnsi="Arial" w:cs="Arial"/>
          <w:color w:val="000000" w:themeColor="text1"/>
        </w:rPr>
        <w:t>used</w:t>
      </w:r>
      <w:r w:rsidR="00606D83" w:rsidRPr="00225AB0">
        <w:rPr>
          <w:rFonts w:ascii="Arial" w:hAnsi="Arial" w:cs="Arial"/>
          <w:color w:val="000000" w:themeColor="text1"/>
        </w:rPr>
        <w:t xml:space="preserve"> </w:t>
      </w:r>
      <w:r w:rsidRPr="00225AB0">
        <w:rPr>
          <w:rFonts w:ascii="Arial" w:hAnsi="Arial" w:cs="Arial"/>
          <w:color w:val="000000" w:themeColor="text1"/>
        </w:rPr>
        <w:t xml:space="preserve">a relatively novel visual stimulus, the RF pattern, to probe attentional mechanisms. We </w:t>
      </w:r>
      <w:r w:rsidR="00606D83">
        <w:rPr>
          <w:rFonts w:ascii="Arial" w:hAnsi="Arial" w:cs="Arial"/>
          <w:color w:val="000000" w:themeColor="text1"/>
        </w:rPr>
        <w:t>aimed</w:t>
      </w:r>
      <w:r w:rsidR="00606D83" w:rsidRPr="00225AB0">
        <w:rPr>
          <w:rFonts w:ascii="Arial" w:hAnsi="Arial" w:cs="Arial"/>
          <w:color w:val="000000" w:themeColor="text1"/>
        </w:rPr>
        <w:t xml:space="preserve"> </w:t>
      </w:r>
      <w:r w:rsidRPr="00225AB0">
        <w:rPr>
          <w:rFonts w:ascii="Arial" w:hAnsi="Arial" w:cs="Arial"/>
          <w:color w:val="000000" w:themeColor="text1"/>
        </w:rPr>
        <w:t xml:space="preserve">to replicate robust findings of the selective versus divided attention paradigm to validate the use of the RF pattern as an effective stimulus to probe attentional modulation. We replicate these well-established findings here. Firstly, we identify significantly greater </w:t>
      </w:r>
      <w:r w:rsidRPr="00225AB0">
        <w:rPr>
          <w:rFonts w:ascii="Arial" w:hAnsi="Arial" w:cs="Arial"/>
          <w:color w:val="000000" w:themeColor="text1"/>
        </w:rPr>
        <w:lastRenderedPageBreak/>
        <w:t xml:space="preserve">change detection accuracy across participants during selective (single-feature) attentional focus versus divided (multiple-feature) conditions. This supports our initial hypothesis and replicates the findings of a wealth of previous research (e.g.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{"citationID":"Ae47DrIc","properties":{"formattedCitation":"(Corbetta et al., 1990, 1991)","plainCitation":"(Corbetta et al., 1990, 1991)","dontUpdate":true,"noteIndex":0},"citationItems":[{"id":128,"uris":["http://zotero.org/groups/318634/items/LHCBHC5P"],"uri":["http://zotero.org/groups/318634/items/LHCBHC5P"],"itemData":{"id":128,"type":"article-journal","title":"Attentional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E."}],"issued":{"date-parts":[["1990"]]}}},{"id":88,"uris":["http://zotero.org/groups/318634/items/2CXE5HB4"],"uri":["http://zotero.org/groups/318634/items/2CXE5HB4"],"itemData":{"id":88,"type":"article-journal","title":"Selective and divided attention during visual discriminations of shape, color, and speed: functional anatomy by positron emission tomography","container-title":"The Journal of Neuroscience: The Official Journal of the Society for Neuroscience","page":"2383-2402","volume":"11","issue":"8","source":"PubMed","abstract":"Positron emission tomography (PET) was used to identify the neural systems involved in discriminating the shape, color, and speed of a visual stimulus under conditions of selective and divided attention. Psychophysical evidence indicated that the sensitivity for discriminating subtle stimulus changes in a same-different matching task was higher when subjects selectively attended to one attribute than when they divided attention among the attributes. PET measurements of brain activity indicated that modulations of extrastriate visual activity were primarily produced by task conditions of selective attention. Attention to speed activated a region in the left inferior parietal lobule. Attention to color activated a region in the collateral sulcus and dorsolateral occipital cortex, while attention to shape activated collateral sulcus (similarly to color), fusiform and parahippocampal gyri, and temporal cortex along the superior temporal sulcus. Outside the visual system, selective and divided attention activated nonoverlapping sets of brain regions. Selective conditions activated globus pallidus, caudate nucleus, lateral orbitofrontal cortex, posterior thalamus/colliculus, and insular-premotor regions, while the divided condition activated the anterior cingulate and dorsolateral prefrontal cortex. The results in the visual system demonstrate that selective attention to different features modulates activity in distinct regions of extrastriate cortex that appear to be specialized for processing the selected feature. The disjoint pattern of activations in extravisual brain regions during selective- and divided-attention conditions also suggests that preceptual judgements involve different neural systems, depending on attentional strategies.","ISSN":"0270-6474","note":"PMID: 1869921","title-short":"Selective and divided attention during visual discriminations of shape, color, and speed","journalAbbreviation":"J. Neurosci.","language":"eng","author":[{"family":"Corbetta","given":"M."},{"family":"Miezin","given":"F. M."},{"family":"Dobmeyer","given":"S."},{"family":"Shulman","given":"G. L."},{"family":"Petersen","given":"S. E."}],"issued":{"date-parts":[["1991",8]]}}}],"schema":"https://github.com/citation-style-language/schema/raw/master/csl-citation.json"}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Corbetta et al., 1990, 1991)</w:t>
      </w:r>
      <w:r w:rsidRPr="00225AB0">
        <w:rPr>
          <w:rFonts w:ascii="Arial" w:hAnsi="Arial" w:cs="Arial"/>
          <w:color w:val="000000" w:themeColor="text1"/>
        </w:rPr>
        <w:fldChar w:fldCharType="end"/>
      </w:r>
      <w:r w:rsidRPr="00225AB0">
        <w:rPr>
          <w:rFonts w:ascii="Arial" w:hAnsi="Arial" w:cs="Arial"/>
          <w:color w:val="000000" w:themeColor="text1"/>
        </w:rPr>
        <w:t xml:space="preserve">. </w:t>
      </w:r>
    </w:p>
    <w:p w14:paraId="32B9E434" w14:textId="77777777" w:rsidR="000C73FA" w:rsidRPr="00225AB0" w:rsidRDefault="000C73FA" w:rsidP="000C73FA">
      <w:pPr>
        <w:spacing w:line="480" w:lineRule="auto"/>
        <w:rPr>
          <w:rFonts w:ascii="Arial" w:hAnsi="Arial" w:cs="Arial"/>
          <w:color w:val="000000" w:themeColor="text1"/>
        </w:rPr>
      </w:pPr>
    </w:p>
    <w:p w14:paraId="207460E8" w14:textId="4699C3C8" w:rsidR="000C73FA" w:rsidRPr="00225AB0" w:rsidRDefault="000C73FA" w:rsidP="000C73FA">
      <w:pPr>
        <w:spacing w:line="480" w:lineRule="auto"/>
        <w:rPr>
          <w:rFonts w:ascii="Arial" w:hAnsi="Arial" w:cs="Arial"/>
          <w:color w:val="000000" w:themeColor="text1"/>
        </w:rPr>
      </w:pPr>
      <w:r w:rsidRPr="00225AB0">
        <w:rPr>
          <w:rFonts w:ascii="Arial" w:hAnsi="Arial" w:cs="Arial"/>
          <w:color w:val="000000" w:themeColor="text1"/>
        </w:rPr>
        <w:t xml:space="preserve">We additionally demonstrate that participants took significantly longer to make a </w:t>
      </w:r>
      <w:r w:rsidR="00A3496F">
        <w:rPr>
          <w:rFonts w:ascii="Arial" w:hAnsi="Arial" w:cs="Arial"/>
          <w:color w:val="000000" w:themeColor="text1"/>
        </w:rPr>
        <w:t>yes/no</w:t>
      </w:r>
      <w:r w:rsidR="00A3496F" w:rsidRPr="00225AB0">
        <w:rPr>
          <w:rFonts w:ascii="Arial" w:hAnsi="Arial" w:cs="Arial"/>
          <w:color w:val="000000" w:themeColor="text1"/>
        </w:rPr>
        <w:t xml:space="preserve"> </w:t>
      </w:r>
      <w:r w:rsidRPr="00225AB0">
        <w:rPr>
          <w:rFonts w:ascii="Arial" w:hAnsi="Arial" w:cs="Arial"/>
          <w:color w:val="000000" w:themeColor="text1"/>
        </w:rPr>
        <w:t xml:space="preserve">judgement when attention was divided across multiple stimulus features, versus when directed toward a single visual attribute. Again, these findings confirm our hypothesis and support the findings of previous literature identifying reduced sensitivity and longer response times with attention divided across multiple features of a stimulus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{"citationID":"IhNIhYWK","properties":{"formattedCitation":"(Ninio and Kahneman, 1974; Hahn et al., 2008)","plainCitation":"(Ninio and Kahneman, 1974; Hahn et al., 2008)","dontUpdate":true,"noteIndex":0},"citationItems":[{"id":76,"uris":["http://zotero.org/groups/318634/items/ZAKM3HTF"],"uri":["http://zotero.org/groups/318634/items/ZAKM3HTF"],"itemData":{"id":76,"type":"article-journal","title":"Reaction time in focused and in divided attention","container-title":"Journal of Experimental Psychology","page":"394-399","volume":"103","issue":"3","source":"APA PsycNET","abstract":"Undergraduates listened to dichotic lists of words and responded to animal names by pressing a key. Group 1 (36 Ss) performed in a condition of focused attention to one of the messages and in a condition of divided attention, where both messages were relevant. Group 2 (8 Ss) performed in focused attention and in a single-message condition. It was found that there were many more omissions in divided than in focused attention, and mean reaction time (RT) was prolonged. There was no difference in RT between focused attention and the single-message condition. The occurrence of an animal name in the irrelevant message occasionally caused errors. Results are consistent with an effort theory of attention. (18 ref) (PsycINFO Database Record (c) 2016 APA, all rights reserved)","DOI":"10.1037/h0037202","ISSN":"0022-1015(Print)","author":[{"family":"Ninio","given":"Anat"},{"family":"Kahneman","given":"Daniel"}],"issued":{"date-parts":[["1974"]]}}},{"id":79,"uris":["http://zotero.org/groups/318634/items/5A3VZA88"],"uri":["http://zotero.org/groups/318634/items/5A3VZA88"],"itemData":{"id":79,"type":"article-journal","title":"Divided versus selective attention: evidence for common processing mechanisms","container-title":"Brain research","page":"137-146","volume":"1215","source":"PubMed Central","abstract":"The current study revisited the question of whether there are brain mechanisms specific to divided attention that differ from those used in selective attention. Increased neuronal activity required to simultaneously process two stimulus dimensions as compared with each separate dimension has often been observed, but rarely has activity induced by a divided attention condition exceeded the sum of activity induced by the component tasks. Healthy participants performed a selective-divided attention paradigm while undergoing functional Magnetic Resonance Imaging (fMRI). The task required participants to make a same-different judgment about either one of two simultaneously presented stimulus dimensions, or about both dimensions. Performance accuracy was equated between tasks by dynamically adjusting the stimulus display time. Blood Oxygenation Level Dependent (BOLD) signal differences between tasks were identified by whole-brain voxel-wise comparisons and by region-specific analyses of all areas modulated by the divided attention task (DIV). No region displayed greater activation or deactivation by DIV than the sum of signal change by the two selective attention tasks. Instead, regional activity followed the tasks’ processing demands as reflected by reaction time. Only a left cerebellar region displayed a correlation between participants’ BOLD signal intensity and reaction time that was selective for DIV. The correlation was positive, reflecting slower responding with greater activation. Overall, the findings do not support the existence of functional brain activity specific to DIV. Increased activity appears to reflect additional processing demands by introducing a secondary task, but those demands do not appear to qualitatively differ from processes of selective attention.","DOI":"10.1016/j.brainres.2008.03.058","ISSN":"0006-8993","note":"PMID: 18479670\nPMCID: PMC2497334","title-short":"Divided versus selective attention","journalAbbreviation":"Brain Res","author":[{"family":"Hahn","given":"Britta"},{"family":"Wolkenberg","given":"Frank A."},{"family":"Ross","given":"Thomas J."},{"family":"Myers","given":"Carol S."},{"family":"Heishman","given":"Stephen J."},{"family":"Stein","given":"Dan J."},{"family":"Kurup","given":"Pradeep K."},{"family":"Stein","given":"Elliot A."}],"issued":{"date-parts":[["2008",6,18]]}}}],"schema":"https://github.com/citation-style-language/schema/raw/master/csl-citation.json"}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(e.g. Ninio and Kahneman, 1974; Hahn et al., 2008)</w:t>
      </w:r>
      <w:r w:rsidRPr="00225AB0">
        <w:rPr>
          <w:rFonts w:ascii="Arial" w:hAnsi="Arial" w:cs="Arial"/>
          <w:color w:val="000000" w:themeColor="text1"/>
        </w:rPr>
        <w:fldChar w:fldCharType="end"/>
      </w:r>
      <w:r w:rsidRPr="00225AB0">
        <w:rPr>
          <w:rFonts w:ascii="Arial" w:hAnsi="Arial" w:cs="Arial"/>
          <w:color w:val="000000" w:themeColor="text1"/>
        </w:rPr>
        <w:t xml:space="preserve">. </w:t>
      </w:r>
      <w:r w:rsidR="00B050E8" w:rsidRPr="00170639">
        <w:rPr>
          <w:rFonts w:ascii="Arial" w:hAnsi="Arial" w:cs="Arial"/>
          <w:color w:val="000000" w:themeColor="text1"/>
        </w:rPr>
        <w:t xml:space="preserve">This demonstrates that our results are not reflective of a speed-accuracy trade off. Participants in the selective attention conditions were both </w:t>
      </w:r>
      <w:r w:rsidR="00B050E8" w:rsidRPr="00170639">
        <w:rPr>
          <w:rFonts w:ascii="Arial" w:hAnsi="Arial" w:cs="Arial"/>
          <w:i/>
          <w:iCs/>
          <w:color w:val="000000" w:themeColor="text1"/>
        </w:rPr>
        <w:t xml:space="preserve">faster </w:t>
      </w:r>
      <w:r w:rsidR="00B050E8" w:rsidRPr="00170639">
        <w:rPr>
          <w:rFonts w:ascii="Arial" w:hAnsi="Arial" w:cs="Arial"/>
          <w:color w:val="000000" w:themeColor="text1"/>
        </w:rPr>
        <w:t xml:space="preserve">and more </w:t>
      </w:r>
      <w:r w:rsidR="00B050E8" w:rsidRPr="00170639">
        <w:rPr>
          <w:rFonts w:ascii="Arial" w:hAnsi="Arial" w:cs="Arial"/>
          <w:i/>
          <w:iCs/>
          <w:color w:val="000000" w:themeColor="text1"/>
        </w:rPr>
        <w:t>accurate</w:t>
      </w:r>
      <w:r w:rsidR="00B050E8" w:rsidRPr="00170639">
        <w:rPr>
          <w:rFonts w:ascii="Arial" w:hAnsi="Arial" w:cs="Arial"/>
          <w:color w:val="000000" w:themeColor="text1"/>
        </w:rPr>
        <w:t xml:space="preserve"> than in their responses within the divided condition.</w:t>
      </w:r>
      <w:r w:rsidR="00B050E8">
        <w:rPr>
          <w:rFonts w:ascii="Arial" w:hAnsi="Arial" w:cs="Arial"/>
          <w:color w:val="000000" w:themeColor="text1"/>
        </w:rPr>
        <w:t xml:space="preserve">  Hence, w</w:t>
      </w:r>
      <w:r w:rsidRPr="00225AB0">
        <w:rPr>
          <w:rFonts w:ascii="Arial" w:hAnsi="Arial" w:cs="Arial"/>
          <w:color w:val="000000" w:themeColor="text1"/>
        </w:rPr>
        <w:t xml:space="preserve">e provide support for the notion that manipulation of attentional focus can influence behavioural performance </w:t>
      </w:r>
      <w:r w:rsidR="00D44AC6">
        <w:rPr>
          <w:rFonts w:ascii="Arial" w:hAnsi="Arial" w:cs="Arial"/>
          <w:color w:val="000000" w:themeColor="text1"/>
        </w:rPr>
        <w:t>in</w:t>
      </w:r>
      <w:r w:rsidRPr="00225AB0">
        <w:rPr>
          <w:rFonts w:ascii="Arial" w:hAnsi="Arial" w:cs="Arial"/>
          <w:color w:val="000000" w:themeColor="text1"/>
        </w:rPr>
        <w:t xml:space="preserve"> a visual psychophysics task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{"citationID":"Sj7eYvPL","properties":{"formattedCitation":"(Maurizio Corbetta et al., 1990)","plainCitation":"(Maurizio Corbetta et al., 1990)","dontUpdate":true,"noteIndex":0},"citationItems":[{"id":128,"uris":["http://zotero.org/groups/318634/items/LHCBHC5P"],"uri":["http://zotero.org/groups/318634/items/LHCBHC5P"],"itemData":{"id":128,"type":"article-journal","title":"Attentional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E."}],"issued":{"date-parts":[["1990"]]}}}],"schema":"https://github.com/citation-style-language/schema/raw/master/csl-citation.json"} </w:instrText>
      </w:r>
      <w:r w:rsidRPr="00225AB0">
        <w:rPr>
          <w:rFonts w:ascii="Arial" w:hAnsi="Arial" w:cs="Arial"/>
          <w:color w:val="000000" w:themeColor="text1"/>
        </w:rPr>
        <w:fldChar w:fldCharType="separate"/>
      </w:r>
      <w:r w:rsidR="00967B1F" w:rsidRPr="00225AB0">
        <w:rPr>
          <w:rFonts w:ascii="Arial" w:hAnsi="Arial" w:cs="Arial"/>
          <w:noProof/>
          <w:color w:val="000000" w:themeColor="text1"/>
        </w:rPr>
        <w:t>(Corbetta et al., 1990)</w:t>
      </w:r>
      <w:r w:rsidRPr="00225AB0">
        <w:rPr>
          <w:rFonts w:ascii="Arial" w:hAnsi="Arial" w:cs="Arial"/>
          <w:color w:val="000000" w:themeColor="text1"/>
        </w:rPr>
        <w:fldChar w:fldCharType="end"/>
      </w:r>
      <w:r w:rsidRPr="00225AB0">
        <w:rPr>
          <w:rFonts w:ascii="Arial" w:hAnsi="Arial" w:cs="Arial"/>
          <w:color w:val="000000" w:themeColor="text1"/>
        </w:rPr>
        <w:t xml:space="preserve">. Our replication of a robust finding </w:t>
      </w:r>
      <w:r w:rsidR="00D44AC6">
        <w:rPr>
          <w:rFonts w:ascii="Arial" w:hAnsi="Arial" w:cs="Arial"/>
          <w:color w:val="000000" w:themeColor="text1"/>
        </w:rPr>
        <w:t>in</w:t>
      </w:r>
      <w:r w:rsidRPr="00225AB0">
        <w:rPr>
          <w:rFonts w:ascii="Arial" w:hAnsi="Arial" w:cs="Arial"/>
          <w:color w:val="000000" w:themeColor="text1"/>
        </w:rPr>
        <w:t xml:space="preserve"> the attentional literature provides a clear </w:t>
      </w:r>
      <w:r w:rsidR="00606D83">
        <w:rPr>
          <w:rFonts w:ascii="Arial" w:hAnsi="Arial" w:cs="Arial"/>
          <w:color w:val="000000" w:themeColor="text1"/>
        </w:rPr>
        <w:t>validation</w:t>
      </w:r>
      <w:r w:rsidR="00606D83" w:rsidRPr="00225AB0">
        <w:rPr>
          <w:rFonts w:ascii="Arial" w:hAnsi="Arial" w:cs="Arial"/>
          <w:color w:val="000000" w:themeColor="text1"/>
        </w:rPr>
        <w:t xml:space="preserve"> </w:t>
      </w:r>
      <w:r w:rsidR="00606D83">
        <w:rPr>
          <w:rFonts w:ascii="Arial" w:hAnsi="Arial" w:cs="Arial"/>
          <w:color w:val="000000" w:themeColor="text1"/>
        </w:rPr>
        <w:t>for</w:t>
      </w:r>
      <w:r w:rsidR="00606D83" w:rsidRPr="00225AB0">
        <w:rPr>
          <w:rFonts w:ascii="Arial" w:hAnsi="Arial" w:cs="Arial"/>
          <w:color w:val="000000" w:themeColor="text1"/>
        </w:rPr>
        <w:t xml:space="preserve"> </w:t>
      </w:r>
      <w:r w:rsidRPr="00225AB0">
        <w:rPr>
          <w:rFonts w:ascii="Arial" w:hAnsi="Arial" w:cs="Arial"/>
          <w:color w:val="000000" w:themeColor="text1"/>
        </w:rPr>
        <w:t xml:space="preserve">the use of RF patterns as effective </w:t>
      </w:r>
      <w:r w:rsidR="00606D83">
        <w:rPr>
          <w:rFonts w:ascii="Arial" w:hAnsi="Arial" w:cs="Arial"/>
          <w:color w:val="000000" w:themeColor="text1"/>
        </w:rPr>
        <w:t>stimuli</w:t>
      </w:r>
      <w:r w:rsidR="00606D83" w:rsidRPr="00225AB0">
        <w:rPr>
          <w:rFonts w:ascii="Arial" w:hAnsi="Arial" w:cs="Arial"/>
          <w:color w:val="000000" w:themeColor="text1"/>
        </w:rPr>
        <w:t xml:space="preserve"> </w:t>
      </w:r>
      <w:r w:rsidRPr="00225AB0">
        <w:rPr>
          <w:rFonts w:ascii="Arial" w:hAnsi="Arial" w:cs="Arial"/>
          <w:color w:val="000000" w:themeColor="text1"/>
        </w:rPr>
        <w:t xml:space="preserve">to probe visual attention processes. </w:t>
      </w:r>
    </w:p>
    <w:p w14:paraId="2BB658BC" w14:textId="77777777" w:rsidR="000C73FA" w:rsidRPr="00225AB0" w:rsidRDefault="000C73FA" w:rsidP="000C73FA">
      <w:pPr>
        <w:spacing w:line="480" w:lineRule="auto"/>
        <w:rPr>
          <w:rFonts w:ascii="Arial" w:hAnsi="Arial" w:cs="Arial"/>
          <w:color w:val="000000" w:themeColor="text1"/>
        </w:rPr>
      </w:pPr>
    </w:p>
    <w:p w14:paraId="0D76DD78" w14:textId="45014504" w:rsidR="00BC74C0" w:rsidRDefault="000C73FA" w:rsidP="000C73FA">
      <w:pPr>
        <w:spacing w:line="480" w:lineRule="auto"/>
        <w:rPr>
          <w:rFonts w:ascii="Arial" w:hAnsi="Arial" w:cs="Arial"/>
          <w:color w:val="000000" w:themeColor="text1"/>
        </w:rPr>
      </w:pPr>
      <w:r w:rsidRPr="00225AB0">
        <w:rPr>
          <w:rFonts w:ascii="Arial" w:hAnsi="Arial" w:cs="Arial"/>
          <w:color w:val="000000" w:themeColor="text1"/>
        </w:rPr>
        <w:t xml:space="preserve">Our results support the notion of attention as a mechanism with limited capacity and its division across multiple features impedes the amount of attention we are able to direct to any </w:t>
      </w:r>
      <w:r w:rsidR="005E4376">
        <w:rPr>
          <w:rFonts w:ascii="Arial" w:hAnsi="Arial" w:cs="Arial"/>
          <w:color w:val="000000" w:themeColor="text1"/>
        </w:rPr>
        <w:t>single</w:t>
      </w:r>
      <w:r w:rsidRPr="00225AB0">
        <w:rPr>
          <w:rFonts w:ascii="Arial" w:hAnsi="Arial" w:cs="Arial"/>
          <w:color w:val="000000" w:themeColor="text1"/>
        </w:rPr>
        <w:t xml:space="preserve"> visual stimulus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{"citationID":"CGlqmjHR","properties":{"formattedCitation":"(Broadbent, 1958)","plainCitation":"(Broadbent, 1958)","noteIndex":0},"citationItems":[{"id":78,"uris":["http://zotero.org/groups/318634/items/8DGME2TB"],"uri":["http://zotero.org/groups/318634/items/8DGME2TB"],"itemData":{"id":78,"type":"book","title":"Perception and Communication","publisher":"Plenum Press","publisher-place":"London","event-place":"London","ISBN":"1-4832-2582-8","author":[{"family":"Broadbent","given":"Donald Eric"}],"issued":{"date-parts":[["1958"]]}}}],"schema":"https://github.com/citation-style-language/schema/raw/master/csl-citation.json"}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(Broadbent, 1958)</w:t>
      </w:r>
      <w:r w:rsidRPr="00225AB0">
        <w:rPr>
          <w:rFonts w:ascii="Arial" w:hAnsi="Arial" w:cs="Arial"/>
          <w:color w:val="000000" w:themeColor="text1"/>
        </w:rPr>
        <w:fldChar w:fldCharType="end"/>
      </w:r>
      <w:r w:rsidRPr="00225AB0">
        <w:rPr>
          <w:rFonts w:ascii="Arial" w:hAnsi="Arial" w:cs="Arial"/>
          <w:color w:val="000000" w:themeColor="text1"/>
        </w:rPr>
        <w:t xml:space="preserve">. </w:t>
      </w:r>
      <w:r w:rsidR="00606D83">
        <w:rPr>
          <w:rFonts w:ascii="Arial" w:hAnsi="Arial" w:cs="Arial"/>
          <w:color w:val="000000" w:themeColor="text1"/>
        </w:rPr>
        <w:t>O</w:t>
      </w:r>
      <w:r w:rsidRPr="00225AB0">
        <w:rPr>
          <w:rFonts w:ascii="Arial" w:hAnsi="Arial" w:cs="Arial"/>
          <w:color w:val="000000" w:themeColor="text1"/>
        </w:rPr>
        <w:t>ur results provide no indication of the cortical processes involved in these behavioural differences</w:t>
      </w:r>
      <w:r w:rsidR="00606D83">
        <w:rPr>
          <w:rFonts w:ascii="Arial" w:hAnsi="Arial" w:cs="Arial"/>
          <w:color w:val="000000" w:themeColor="text1"/>
        </w:rPr>
        <w:t>, however p</w:t>
      </w:r>
      <w:r w:rsidRPr="00225AB0">
        <w:rPr>
          <w:rFonts w:ascii="Arial" w:hAnsi="Arial" w:cs="Arial"/>
          <w:color w:val="000000" w:themeColor="text1"/>
        </w:rPr>
        <w:t xml:space="preserve">revious literature demonstrates </w:t>
      </w:r>
      <w:r w:rsidRPr="00225AB0">
        <w:rPr>
          <w:rFonts w:ascii="Arial" w:hAnsi="Arial" w:cs="Arial"/>
          <w:color w:val="000000" w:themeColor="text1"/>
        </w:rPr>
        <w:lastRenderedPageBreak/>
        <w:t xml:space="preserve">featural attention increases activation in regions of the visual cortex associated with processing that stimulus attribute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{"citationID":"whoNPngI","properties":{"formattedCitation":"(Corbetta et al., 1991; Beauchamp et al., 1997; O\\uc0\\u8217{}Craven et al., 1997; Chawla et al., 1999; Treue and Mart\\uc0\\u237{}nez Trujillo, 1999; Huk and Heeger, 2000)","plainCitation":"(Corbetta et al., 1991; Beauchamp et al., 1997; O’Craven et al., 1997; Chawla et al., 1999; Treue and Martínez Trujillo, 1999; Huk and Heeger, 2000)","dontUpdate":true,"noteIndex":0},"citationItems":[{"id":88,"uris":["http://zotero.org/groups/318634/items/2CXE5HB4"],"uri":["http://zotero.org/groups/318634/items/2CXE5HB4"],"itemData":{"id":88,"type":"article-journal","title":"Selective and divided attention during visual discriminations of shape, color, and speed: functional anatomy by positron emission tomography","container-title":"The Journal of Neuroscience: The Official Journal of the Society for Neuroscience","page":"2383-2402","volume":"11","issue":"8","source":"PubMed","abstract":"Positron emission tomography (PET) was used to identify the neural systems involved in discriminating the shape, color, and speed of a visual stimulus under conditions of selective and divided attention. Psychophysical evidence indicated that the sensitivity for discriminating subtle stimulus changes in a same-different matching task was higher when subjects selectively attended to one attribute than when they divided attention among the attributes. PET measurements of brain activity indicated that modulations of extrastriate visual activity were primarily produced by task conditions of selective attention. Attention to speed activated a region in the left inferior parietal lobule. Attention to color activated a region in the collateral sulcus and dorsolateral occipital cortex, while attention to shape activated collateral sulcus (similarly to color), fusiform and parahippocampal gyri, and temporal cortex along the superior temporal sulcus. Outside the visual system, selective and divided attention activated nonoverlapping sets of brain regions. Selective conditions activated globus pallidus, caudate nucleus, lateral orbitofrontal cortex, posterior thalamus/colliculus, and insular-premotor regions, while the divided condition activated the anterior cingulate and dorsolateral prefrontal cortex. The results in the visual system demonstrate that selective attention to different features modulates activity in distinct regions of extrastriate cortex that appear to be specialized for processing the selected feature. The disjoint pattern of activations in extravisual brain regions during selective- and divided-attention conditions also suggests that preceptual judgements involve different neural systems, depending on attentional strategies.","ISSN":"0270-6474","note":"PMID: 1869921","title-short":"Selective and divided attention during visual discriminations of shape, color, and speed","journalAbbreviation":"J. Neurosci.","language":"eng","author":[{"family":"Corbetta","given":"M."},{"family":"Miezin","given":"F. M."},{"family":"Dobmeyer","given":"S."},{"family":"Shulman","given":"G. L."},{"family":"Petersen","given":"S. E."}],"issued":{"date-parts":[["1991",8]]}}},{"id":87,"uris":["http://zotero.org/groups/318634/items/Q8GNW4J7"],"uri":["http://zotero.org/groups/318634/items/Q8GNW4J7"],"itemData":{"id":87,"type":"article-journal","title":"Graded effects of spatial and featural attention on human area MT and associated motion processing areas","container-title":"Journal of Neurophysiology","page":"516-520","volume":"78","issue":"1","source":"PubMed","abstract":"Functional magnetic resonance imaging was used to quantify the effects of changes in spatial and featural attention on brain activity in the middle temporal visual area and associated motion processing regions (hMT+) of normal human subjects. When subjects performed a discrimination task that directed their spatial attention to a peripherally presented annulus and their featural attention to the speed of points in the annulus, activity in hMT+ was maximal. If subjects were instead asked to discriminate the color of points in the annulus, the magnitude and volume of activation in hMT+ fell to 64 and 35%, respectively, of the previously observed maximum response. In another experiment, subjects were asked to direct their spatial attention away from the annulus toward the fixation point to detect a subtle change in luminance. The response magnitude and volume dropped to 40 and 9% of maximum. These experiments demonstrate that both spatial and featural attention modulate hMT+ and that their effects can work in concert to modulate cortical activity. The high degree of modulation by attention suggests that an understanding of the stimulus-driven properties of visual cortex needs to be complemented with an investigation of the effects of task-related factors on visual processing.","DOI":"10.1152/jn.1997.78.1.516","ISSN":"0022-3077","note":"PMID: 9242299","journalAbbreviation":"J. Neurophysiol.","language":"eng","author":[{"family":"Beauchamp","given":"M. S."},{"family":"Cox","given":"R. W."},{"family":"DeYoe","given":"E. A."}],"issued":{"date-parts":[["1997",7]]}}},{"id":236,"uris":["http://zotero.org/groups/318634/items/S9QHXYQ5"],"uri":["http://zotero.org/groups/318634/items/S9QHXYQ5"],"itemData":{"id":236,"type":"article-journal","title":"Voluntary attention modulates fMRI activity in human MT–MST","container-title":"Neuron","page":"591–598","volume":"18","issue":"4","source":"Google Scholar","author":[{"family":"O'Craven","given":"Kathleen M."},{"family":"Rosen","given":"Bruce R."},{"family":"Kwong","given":"Kenneth K."},{"family":"Treisman","given":"Anne"},{"family":"Savoy","given":"Robert L."}],"issued":{"date-parts":[["1997"]]}}},{"id":274,"uris":["http://zotero.org/groups/318634/items/UGNVMIQK"],"uri":["http://zotero.org/groups/318634/items/UGNVMIQK"],"itemData":{"id":274,"type":"article-journal","title":"The physiological basis of attentional modulation in extrastriate visual areas","container-title":"Nature neuroscience","page":"671","volume":"2","issue":"7","source":"Google Scholar","author":[{"family":"Chawla","given":"D."},{"family":"Rees","given":"G."},{"family":"Friston","given":"K. J."}],"issued":{"date-parts":[["1999"]]}}},{"id":202,"uris":["http://zotero.org/groups/318634/items/SMQ59N9K"],"uri":["http://zotero.org/groups/318634/items/SMQ59N9K"],"itemData":{"id":202,"type":"article-journal","title":"Feature-based attention influences motion processing gain in macaque visual cortex","container-title":"Nature","page":"575-579","volume":"399","issue":"6736","source":"PubMed","abstract":"Changes in neural responses based on spatial attention have been demonstrated in many areas of visual cortex, indicating that the neural correlate of attention is an enhanced response to stimuli at an attended location and reduced responses to stimuli elsewhere. Here we demonstrate non-spatial, feature-based attentional modulation of visual motion processing, and show that attention increases the gain of direction-selective neurons in visual cortical area MT without narrowing the direction-tuning curves. These findings place important constraints on the neural mechanisms of attention and we propose to unify the effects of spatial location, direction of motion and other features of the attended stimuli in a 'feature similarity gain model' of attention.","DOI":"10.1038/21176","ISSN":"0028-0836","note":"PMID: 10376597","journalAbbreviation":"Nature","language":"eng","author":[{"family":"Treue","given":"S."},{"family":"Martínez Trujillo","given":"J. C."}],"issued":{"date-parts":[["1999",6,10]]}}},{"id":86,"uris":["http://zotero.org/groups/318634/items/7PD29WG9"],"uri":["http://zotero.org/groups/318634/items/7PD29WG9"],"itemData":{"id":86,"type":"article-journal","title":"Task-related modulation of visual cortex","container-title":"Journal of Neurophysiology","page":"3525-3536","volume":"83","issue":"6","source":"PubMed","abstract":"We performed a series of experiments to quantify the effects of task performance on cortical activity in early visual areas. Functional magnetic resonance imaging (fMRI) was used to measure cortical activity in several cortical visual areas including primary visual cortex (V1) and the MT complex (MT+) as subjects performed a variety of threshold-level visual psychophysical tasks. Performing speed, direction, and contrast discrimination tasks produced strong modulations of cortical activity. For example, one experiment tested for selective modulations of MT+ activity as subjects alternated between performing contrast and speed discrimination tasks. MT+ responses modulated in phase with the periods of time during which subjects performed the speed discrimination task; that is, MT+ activity was higher during speed discrimination than during contrast discrimination. Task-related modulations were consistent across repeated measurements in each subject; however, significant individual differences were observed between subjects. Together, the results suggest 1) that specific changes in the cognitive/behavioral state of a subject can exert selective and reliable modulations of cortical activity in early visual cortex, even in V1; 2) that there are significant individual differences in these modulations; and 3) that visual areas and pathways that are highly sensitive to small changes in a given stimulus feature (such as contrast or speed) are selectively modulated during discrimination judgments on that feature. Increasing the gain of the relevant neuronal signals in this way may improve their signal-to-noise to help optimize task performance.","DOI":"10.1152/jn.2000.83.6.3525","ISSN":"0022-3077","note":"PMID: 10848568","journalAbbreviation":"J. Neurophysiol.","language":"eng","author":[{"family":"Huk","given":"A. C."},{"family":"Heeger","given":"D. J."}],"issued":{"date-parts":[["2000",6]]}}}],"schema":"https://github.com/citation-style-language/schema/raw/master/csl-citation.json"}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color w:val="000000"/>
          <w:lang w:val="en-US"/>
        </w:rPr>
        <w:t xml:space="preserve">(e.g. Corbetta et al., 1991; Beauchamp et al., 1997; O’Craven et al., 1997; Chawla et al., 1999; Treue and Martínez Trujillo, 1999; Huk and Heeger, 2000; </w:t>
      </w:r>
      <w:r w:rsidRPr="00225AB0">
        <w:rPr>
          <w:rFonts w:ascii="Arial" w:hAnsi="Arial" w:cs="Arial"/>
          <w:color w:val="000000" w:themeColor="text1"/>
        </w:rPr>
        <w:fldChar w:fldCharType="end"/>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{"citationID":"tOZBjt1y","properties":{"formattedCitation":"(Chawla et al., 1999; Liu et al., 2003; Schoenfeld et al., 2007)","plainCitation":"(Chawla et al., 1999; Liu et al., 2003; Schoenfeld et al., 2007)","dontUpdate":true,"noteIndex":0},"citationItems":[{"id":274,"uris":["http://zotero.org/groups/318634/items/UGNVMIQK"],"uri":["http://zotero.org/groups/318634/items/UGNVMIQK"],"itemData":{"id":274,"type":"article-journal","title":"The physiological basis of attentional modulation in extrastriate visual areas","container-title":"Nature neuroscience","page":"671","volume":"2","issue":"7","source":"Google Scholar","author":[{"family":"Chawla","given":"D."},{"family":"Rees","given":"G."},{"family":"Friston","given":"K. J."}],"issued":{"date-parts":[["1999"]]}}},{"id":122,"uris":["http://zotero.org/groups/318634/items/GGZJ7S7P"],"uri":["http://zotero.org/groups/318634/items/GGZJ7S7P"],"itemData":{"id":122,"type":"article-journal","title":"Cortical mechanisms of feature-based attentional control","container-title":"Cerebral cortex","page":"1334–1343","volume":"13","issue":"12","source":"Google Scholar","author":[{"family":"Liu","given":"Taosheng"},{"literal":"Scott D. Slotnick"},{"family":"Serences","given":"John T."},{"family":"Yantis","given":"Steven"}],"issued":{"date-parts":[["2003"]]}}},{"id":232,"uris":["http://zotero.org/groups/318634/items/QH8DZ4BM"],"uri":["http://zotero.org/groups/318634/items/QH8DZ4BM"],"itemData":{"id":232,"type":"article-journal","title":"Spatio-temporal analysis of feature-based attention","container-title":"Cerebral Cortex","page":"2468–2477","volume":"17","issue":"10","source":"Google Scholar","author":[{"family":"Schoenfeld","given":"Mircea Ariel"},{"family":"Hopf","given":"Jens-Max"},{"family":"Martinez","given":"A."},{"family":"Mai","given":"H. M."},{"family":"Sattler","given":"Christine"},{"family":"Gasde","given":"A."},{"family":"Heinze","given":"Hans-Jochen"},{"family":"Hillyard","given":"S. A."}],"issued":{"date-parts":[["2007"]]}}}],"schema":"https://github.com/citation-style-language/schema/raw/master/csl-citation.json"}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Liu et al., 2003; Schoenfeld et al., 2007)</w:t>
      </w:r>
      <w:r w:rsidRPr="00225AB0">
        <w:rPr>
          <w:rFonts w:ascii="Arial" w:hAnsi="Arial" w:cs="Arial"/>
          <w:color w:val="000000" w:themeColor="text1"/>
        </w:rPr>
        <w:fldChar w:fldCharType="end"/>
      </w:r>
      <w:r w:rsidRPr="00225AB0">
        <w:rPr>
          <w:rFonts w:ascii="Arial" w:hAnsi="Arial" w:cs="Arial"/>
          <w:color w:val="000000" w:themeColor="text1"/>
        </w:rPr>
        <w:t xml:space="preserve">. </w:t>
      </w:r>
    </w:p>
    <w:p w14:paraId="241B0EC6" w14:textId="77777777" w:rsidR="00BC74C0" w:rsidRDefault="00BC74C0" w:rsidP="000C73FA">
      <w:pPr>
        <w:spacing w:line="480" w:lineRule="auto"/>
        <w:rPr>
          <w:rFonts w:ascii="Arial" w:hAnsi="Arial" w:cs="Arial"/>
          <w:color w:val="000000" w:themeColor="text1"/>
        </w:rPr>
      </w:pPr>
    </w:p>
    <w:p w14:paraId="3D129507" w14:textId="5CC189D6" w:rsidR="000C73FA" w:rsidRPr="00225AB0" w:rsidRDefault="000C73FA" w:rsidP="000C73FA">
      <w:pPr>
        <w:spacing w:line="480" w:lineRule="auto"/>
        <w:rPr>
          <w:rFonts w:ascii="Arial" w:hAnsi="Arial" w:cs="Arial"/>
          <w:color w:val="000000" w:themeColor="text1"/>
        </w:rPr>
      </w:pPr>
      <w:r w:rsidRPr="00225AB0">
        <w:rPr>
          <w:rFonts w:ascii="Arial" w:hAnsi="Arial" w:cs="Arial"/>
          <w:color w:val="000000" w:themeColor="text1"/>
        </w:rPr>
        <w:t xml:space="preserve">Additional research has identified increased neuronal/fMRI activity during divided attention versus when attention is directed toward a </w:t>
      </w:r>
      <w:r w:rsidR="005E4376">
        <w:rPr>
          <w:rFonts w:ascii="Arial" w:hAnsi="Arial" w:cs="Arial"/>
          <w:color w:val="000000" w:themeColor="text1"/>
        </w:rPr>
        <w:t>single</w:t>
      </w:r>
      <w:r w:rsidRPr="00225AB0">
        <w:rPr>
          <w:rFonts w:ascii="Arial" w:hAnsi="Arial" w:cs="Arial"/>
          <w:color w:val="000000" w:themeColor="text1"/>
        </w:rPr>
        <w:t xml:space="preserve"> visual feature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{"citationID":"djzpjtUK","properties":{"formattedCitation":"(M. Corbetta et al., 1991; Herath, Klingberg, Young, Amunts, &amp; Roland, 2001; J. A. Johnson &amp; Zatorre, 2006; Loose, Kaufmann, Auer, &amp; Lange, 2003; Nebel et al., 2005; Rees, Frackowiak, &amp; Frith, 1997; Vandenberghe et al., 1997; Weerda, Vallines, Thomas, Rutschmann, &amp; Greenlee, 2006)","plainCitation":"(M. Corbetta et al., 1991; Herath, Klingberg, Young, Amunts, &amp; Roland, 2001; J. A. Johnson &amp; Zatorre, 2006; Loose, Kaufmann, Auer, &amp; Lange, 2003; Nebel et al., 2005; Rees, Frackowiak, &amp; Frith, 1997; Vandenberghe et al., 1997; Weerda, Vallines, Thomas, Rutschmann, &amp; Greenlee, 2006)","dontUpdate":true,"noteIndex":0},"citationItems":[{"id":88,"uris":["http://zotero.org/groups/318634/items/2CXE5HB4"],"uri":["http://zotero.org/groups/318634/items/2CXE5HB4"],"itemData":{"id":88,"type":"article-journal","title":"Selective and divided attention during visual discriminations of shape, color, and speed: functional anatomy by positron emission tomography","container-title":"The Journal of Neuroscience: The Official Journal of the Society for Neuroscience","page":"2383-2402","volume":"11","issue":"8","source":"PubMed","abstract":"Positron emission tomography (PET) was used to identify the neural systems involved in discriminating the shape, color, and speed of a visual stimulus under conditions of selective and divided attention. Psychophysical evidence indicated that the sensitivity for discriminating subtle stimulus changes in a same-different matching task was higher when subjects selectively attended to one attribute than when they divided attention among the attributes. PET measurements of brain activity indicated that modulations of extrastriate visual activity were primarily produced by task conditions of selective attention. Attention to speed activated a region in the left inferior parietal lobule. Attention to color activated a region in the collateral sulcus and dorsolateral occipital cortex, while attention to shape activated collateral sulcus (similarly to color), fusiform and parahippocampal gyri, and temporal cortex along the superior temporal sulcus. Outside the visual system, selective and divided attention activated nonoverlapping sets of brain regions. Selective conditions activated globus pallidus, caudate nucleus, lateral orbitofrontal cortex, posterior thalamus/colliculus, and insular-premotor regions, while the divided condition activated the anterior cingulate and dorsolateral prefrontal cortex. The results in the visual system demonstrate that selective attention to different features modulates activity in distinct regions of extrastriate cortex that appear to be specialized for processing the selected feature. The disjoint pattern of activations in extravisual brain regions during selective- and divided-attention conditions also suggests that preceptual judgements involve different neural systems, depending on attentional strategies.","ISSN":"0270-6474","note":"PMID: 1869921","title-short":"Selective and divided attention during visual discriminations of shape, color, and speed","journalAbbreviation":"J. Neurosci.","language":"eng","author":[{"family":"Corbetta","given":"M."},{"family":"Miezin","given":"F. M."},{"family":"Dobmeyer","given":"S."},{"family":"Shulman","given":"G. L."},{"family":"Petersen","given":"S. E."}],"issued":{"date-parts":[["1991",8]]}}},{"id":73,"uris":["http://zotero.org/groups/318634/items/LR75WPCJ"],"uri":["http://zotero.org/groups/318634/items/LR75WPCJ"],"itemData":{"id":73,"type":"article-journal","title":"Two modulatory effects of attention that mediate object categorization in human cortex","container-title":"Science (New York, N.Y.)","page":"835-838","volume":"275","issue":"5301","source":"PubMed","abstract":"Attentional modulation of cortical activity was examined by varying the rate of visual stimuli in object categorization tasks according to single and conjoined features. Activation of dorsolateral frontal cortex was independent of the stimulus presentation rate and elicited by the participant's attention to conjoined compared with single features. Several cortical regions showed attentionally modulated activity. In inferior temporal cortex, modulation was due to an additional bias signal underlying normal rate-correlated activity. In two other regions (premotor cortex and cerebellum), attention modified the correlation of activity and the stimulus presentation rate. Attentional effects in the human cortex are expressed by at least two physiologically distinct mechanisms acting on spatially distributed areas.","ISSN":"0036-8075","note":"PMID: 9012351","journalAbbreviation":"Science","language":"eng","author":[{"family":"Rees","given":"G."},{"family":"Frackowiak","given":"R."},{"family":"Frith","given":"C."}],"issued":{"date-parts":[["1997",2,7]]}}},{"id":67,"uris":["http://zotero.org/groups/318634/items/TR8SCTRN"],"uri":["http://zotero.org/groups/318634/items/TR8SCTRN"],"itemData":{"id":67,"type":"article-journal","title":"Attention to one or two features in left or right visual field: a positron emission tomography study","container-title":"The Journal of Neuroscience: The Official Journal of the Society for Neuroscience","page":"3739-3750","volume":"17","issue":"10","source":"PubMed","abstract":"In human vision, two features of the same object can be identified concurrently without loss of accuracy. Performance declines, however, when the features belong to different objects in opposite visual fields. We hypothesized that different positron emission tomography activation patterns would reflect these behavioral results. We first delineated an attention network for single discriminations in left or right visual field and then compared this with the activation pattern when subjects divided attention over two features of a single object or over two objects in opposite hemifields. When subjects attended to a single feature, parietal, premotor, and anterior cingulate cortex were activated. These effects were strongest in the right hemisphere and were, remarkably, unaffected by the direction of attention. In contrast, direction of attention affected occipital and frontal activity: right occipital and left lateral frontal activity were higher with attention to the left, whereas right lateral frontal activity was higher with attention to the right. When subjects identified two features of the same object, parietal, premotor, and anterior cingulate activity was enhanced further, predominantly this time in the left hemisphere. Again, there was no direction sensitivity. Direction-sensitive activation of lateral frontal cortex also was increased. Finally, when subjects divided their attention over opposite hemifields, activity in the direction-sensitive occipital and frontal regions fell to a level midway between those seen during exclusively leftward or rightward attention. Thus, the behavioral efficiency with which we attend to multiple features of a single peripheral object is paralleled by enhanced activity in structures generally active during peripheral selective attention as well as in structures that depend on the specific direction of attention, most notably lateral frontal cortex. In addition, in the direction-sensitive regions, dividing attention over hemifields causes a compromise pattern between the extreme levels obtained during unilateral attention.","ISSN":"0270-6474","note":"PMID: 9133394","title-short":"Attention to one or two features in left or right visual field","journalAbbreviation":"J. Neurosci.","language":"eng","author":[{"family":"Vandenberghe","given":"R."},{"family":"Duncan","given":"J."},{"family":"Dupont","given":"P."},{"family":"Ward","given":"R."},{"family":"Poline","given":"J. B."},{"family":"Bormans","given":"G."},{"family":"Michiels","given":"J."},{"family":"Mortelmans","given":"L."},{"family":"Orban","given":"G. A."}],"issued":{"date-parts":[["1997",5,15]]}}},{"id":72,"uris":["http://zotero.org/groups/318634/items/BF663BUR"],"uri":["http://zotero.org/groups/318634/items/BF663BUR"],"itemData":{"id":72,"type":"article-journal","title":"Neural correlates of dual task interference can be dissociated from those of divided attention: an fMRI study","container-title":"Cerebral Cortex (New York, N.Y.: 1991)","page":"796-805","volume":"11","issue":"9","source":"PubMed","abstract":"When people perform two tasks simultaneously, the tasks are often executed slower and with more errors than when they are carried out as single tasks. This is called dual task interference. With functional magnetic resonance imaging (fMRI), we show that concurrently performed visual and somatosensory reaction time (RT) tasks engage almost identical volumes of cortical and subcortical motor structures. Moreover, dual RT tasks engaged additional cortical regions that are not activated by the component RT tasks had they been performed as single tasks. When the inter-stimulus interval was &lt;300 ms, the first task interfered with the second, and a field in the right inferior frontal gyrus (RIFG) appeared with activity correlated with the increased RT to the second stimulus. This activation was spatially distinct from the cortical activity of the main effect of dual task performance. Thus, the performance of single RT tasks, dual RT tasks and dual RT tasks that interfere differ psychophysically and in the brain structures subserving these tasks. A short occupancy of the common motor structures can explain the interference effect. The increased activity of the RIFG correlated with the interference effect is very likely to be a specific outcome of situations where two concurrent tasks interfere with each other. The brain appears to recruit the RIFG for a subsequent (delayed) response when there is interference between dual tasks.","ISSN":"1047-3211","note":"PMID: 11532885","title-short":"Neural correlates of dual task interference can be dissociated from those of divided attention","journalAbbreviation":"Cereb. Cortex","language":"eng","author":[{"family":"Herath","given":"P."},{"family":"Klingberg","given":"T."},{"family":"Young","given":"J."},{"family":"Amunts","given":"K."},{"family":"Roland","given":"P."}],"issued":{"date-parts":[["2001",9]]}}},{"id":71,"uris":["http://zotero.org/groups/318634/items/TYM4GUQL"],"uri":["http://zotero.org/groups/318634/items/TYM4GUQL"],"itemData":{"id":71,"type":"article-journal","title":"Human prefrontal and sensory cortical activity during divided attention tasks","container-title":"Human Brain Mapping","page":"249-259","volume":"18","issue":"4","source":"PubMed","abstract":"In our natural environment, the ability to divide attention is essential since we attend simultaneously to a number of sensory modalities, e.g., to visual and auditory stimuli. In this study, functional magnetic resonance imaging (fMRI) was used to study brain activation while a divided attention task was performed. Brain activation was also assessed under selective attention. Fourteen healthy male subjects aged between 19 and 28 years underwent fMRI studies using gradient EPI sequences. Cingulate activation was evident in all attention tasks. Focusing attention on one modality (visual or auditory) increased the activity in the corresponding primary and secondary sensory area. When attention is divided between both modalities, the activation in the sensory areas is decreased, possibly due to a limited capacity of the system for controlled processing. Left prefrontal activation, however, was evident selectively during the divided attention task. The present results suggest that this area may be important in the execution of controlled processing when attention is divided between two sources of information. These results support the view that the prefrontal cortex is involved in the central executive system and controls attention and information flow.","DOI":"10.1002/hbm.10082","ISSN":"1065-9471","note":"PMID: 12632463","journalAbbreviation":"Hum Brain Mapp","language":"eng","author":[{"family":"Loose","given":"Rainer"},{"family":"Kaufmann","given":"Christian"},{"family":"Auer","given":"Dorothee P."},{"family":"Lange","given":"Klaus W."}],"issued":{"date-parts":[["2003",4]]}}},{"id":70,"uris":["http://zotero.org/groups/318634/items/TF335ERW"],"uri":["http://zotero.org/groups/318634/items/TF335ERW"],"itemData":{"id":70,"type":"article-journal","title":"On the neural basis of focused and divided attention","container-title":"Brain Research. Cognitive Brain Research","page":"760-776","volume":"25","issue":"3","source":"PubMed","abstract":"Concepts of higher attention functions distinguish focused and divided attention. The present study investigated whether these mental abilities are mediated by common or distinct neural substrates. In a first experiment, 19 healthy subjects were examined with functional brain imaging (fMRI) while they attended to either one or both of two simultaneously presented visual information streams and responded to repetitive stimuli. This experiment resembled a typical examination of these mental functions with the single task demanding focused and the dual task conditions requiring divided attention. Both conditions activated a widespread, mainly right-sided network including dorso- and ventrolateral prefrontal structures, superior and inferior parietal cortex, and anterior cingulate gyrus. Under higher cognitive demands of divided attention, activity in these structures was enhanced and left-sided homologues were recruited. In a second experiment investigating another 17 subjects with almost the same paradigm, it was accounted for that in most dual task investigations of focused and divided attention the single tasks are easier to process than their combined presentation. Therefore, the task difficulty of focused attention tasks was increased. Almost the same activity pattern observed during division of attention was now found during focusing attention. Comparing both attentional states matched for task difficulty, differences were found in visual but not in prefrontal or parietal cortex areas. Our results suggest that focused and divided attention depend on largely overlapping neuronal substrates. Differences in activation patterns, especially in prefrontal and parietal areas, may result from unequal demands on executive control due to disparate processing requirements in typical tasks of focused and divided attention: Easier conditions begin with mainly right-sided activity within the attention network. As conditions become more difficult, left-lateralized homologue areas activate.","DOI":"10.1016/j.cogbrainres.2005.09.011","ISSN":"0926-6410","note":"PMID: 16337110","journalAbbreviation":"Brain Res Cogn Brain Res","language":"eng","author":[{"family":"Nebel","given":"Katharina"},{"family":"Wiese","given":"Holger"},{"family":"Stude","given":"Philipp"},{"family":"Greiff","given":"Armin","non-dropping-particle":"de"},{"family":"Diener","given":"Hans-Christoph"},{"family":"Keidel","given":"Matthias"}],"issued":{"date-parts":[["2005",12]]}}},{"id":68,"uris":["http://zotero.org/groups/318634/items/4TKIWE5B"],"uri":["http://zotero.org/groups/318634/items/4TKIWE5B"],"itemData":{"id":68,"type":"article-journal","title":"Neural substrates for dividing and focusing attention between simultaneous auditory and visual events","container-title":"NeuroImage","page":"1673-1681","volume":"31","issue":"4","source":"PubMed","abstract":"With information constantly bombarding the human sensory systems, how is it that we attend to behaviorally relevant information? The present study examined the behavioral and neural bases of attending to one sense while ignoring another sense (bimodal selective attention) contrasted with attending simultaneously to two senses (bimodal divided attention). In a functional magnetic resonance imaging (fMRI) study, subjects simultaneously heard novel melodies and viewed geometric shapes. They were instructed to actively attend to only one or to both senses (selective or divided attention) or as a baseline condition, passively observe both (bimodal passive). Memory tests for both attended and unattended stimuli validated that subjects were following the attention instructions. Selective attention led to increased activity in relevant sensory cortices while simultaneously leading to decreased activity in irrelevant sensory cortices. The divided attention instruction did not lead to a global increase in sensory cortex activity compared to the bimodal passive baseline condition. However, divided attention did recruit heteromodal areas in the left dorsolateral prefrontal cortex, while selective attention did not recruit any frontal areas. We propose that sustained selective and divided bimodal attention were achieved via distinct neural processes. Selective attention was achieved primarily via modulation of the sensory cortices. Divided attention was achieved for most individuals via recruitment of the middle-dorsolateral prefrontal cortex. However, there was also a trade-off between activity in posterior-dorsolateral prefrontal cortex and sensory regions, such that individuals who demonstrated the best performance during divided attention also showed the greatest recruitment of sensory cortices.","DOI":"10.1016/j.neuroimage.2006.02.026","ISSN":"1053-8119","note":"PMID: 16616520","journalAbbreviation":"Neuroimage","language":"eng","author":[{"family":"Johnson","given":"Jennifer Adrienne"},{"family":"Zatorre","given":"Robert J."}],"issued":{"date-parts":[["2006",7,15]]}}},{"id":69,"uris":["http://zotero.org/groups/318634/items/FG47KJDL"],"uri":["http://zotero.org/groups/318634/items/FG47KJDL"],"itemData":{"id":69,"type":"article-journal","title":"Effects of nonspatial selective and divided visual attention on fMRI BOLD responses","container-title":"Experimental Brain Research","page":"555-563","volume":"173","issue":"4","source":"PubMed","abstract":"Using an uncertainty paradigm and functional magnetic resonance imaging (fMRI) we studied the effect of nonspatial selective and divided visual attention on the activity of specific areas of human extrastriate visual cortex. The stimuli were single ovals that differed from an implicit standard oval in either colour or width. The subjects' task was to classify the current stimulus as one of two possible alternatives per stimulus dimension. Three different experimental conditions were conducted: \"colour-certainty\", \"shape-certainty\" and \"uncertainty\". In all experimental conditions, the stimulus differed in only one stimulus dimension per trial. In the two certainty conditions, the subjects knew in advance which dimension this would be. During the uncertainty condition they had no such previous knowledge and had to monitor both dimensions simultaneously. Statistical analysis of the fMRI data (with SPM2) revealed a modest effect of the attended stimulus dimension on the neural activity in colour sensitive area V4 (more activity during attention to colour) and in shape sensitive area LOC (more activity during attention to shape). Furthermore, cortical areas known to be related to attention and working memory processes (e.g., lateral prefrontal and posterior parietal cortex) exhibit higher activity during the condition of divided attention (\"uncertainty\") than during that of selective attention (\"certainty\").","DOI":"10.1007/s00221-006-0403-0","ISSN":"0014-4819","note":"PMID: 16525802","journalAbbreviation":"Exp Brain Res","language":"eng","author":[{"family":"Weerda","given":"Riklef"},{"family":"Vallines","given":"Ignacio"},{"family":"Thomas","given":"James P."},{"family":"Rutschmann","given":"Roland M."},{"family":"Greenlee","given":"Mark W."}],"issued":{"date-parts":[["2006",9]]}}}],"schema":"https://github.com/citation-style-language/schema/raw/master/csl-citation.json"} </w:instrText>
      </w:r>
      <w:r w:rsidRPr="00225AB0">
        <w:rPr>
          <w:rFonts w:ascii="Arial" w:hAnsi="Arial" w:cs="Arial"/>
          <w:color w:val="000000" w:themeColor="text1"/>
        </w:rPr>
        <w:fldChar w:fldCharType="separate"/>
      </w:r>
      <w:r w:rsidR="00967B1F" w:rsidRPr="00225AB0">
        <w:rPr>
          <w:rFonts w:ascii="Arial" w:hAnsi="Arial" w:cs="Arial"/>
          <w:noProof/>
          <w:color w:val="000000" w:themeColor="text1"/>
        </w:rPr>
        <w:t>(Corbetta et al., 1991; Herath, Klingberg, Young, Amunts, &amp; Roland, 2001; Johnson &amp; Zatorre, 2006; Loose, Kaufmann, Auer, &amp; Lange, 2003; Nebel et al., 2005; Rees, Frackowiak, &amp; Frith, 1997; Vandenberghe et al., 1997; Weerda, Vallines, Thomas, Rutschmann, &amp; Greenlee, 2006)</w:t>
      </w:r>
      <w:r w:rsidRPr="00225AB0">
        <w:rPr>
          <w:rFonts w:ascii="Arial" w:hAnsi="Arial" w:cs="Arial"/>
          <w:color w:val="000000" w:themeColor="text1"/>
        </w:rPr>
        <w:fldChar w:fldCharType="end"/>
      </w:r>
      <w:r w:rsidRPr="00225AB0">
        <w:rPr>
          <w:rFonts w:ascii="Arial" w:hAnsi="Arial" w:cs="Arial"/>
          <w:color w:val="000000" w:themeColor="text1"/>
        </w:rPr>
        <w:t xml:space="preserve">. However, further research has failed to identify the existence of functionally-specific cortical activity in divided attention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{"citationID":"uY8ESBVa","properties":{"formattedCitation":"(Hahn et al., 2008)","plainCitation":"(Hahn et al., 2008)","noteIndex":0},"citationItems":[{"id":79,"uris":["http://zotero.org/groups/318634/items/5A3VZA88"],"uri":["http://zotero.org/groups/318634/items/5A3VZA88"],"itemData":{"id":79,"type":"article-journal","title":"Divided versus selective attention: evidence for common processing mechanisms","container-title":"Brain research","page":"137-146","volume":"1215","source":"PubMed Central","abstract":"The current study revisited the question of whether there are brain mechanisms specific to divided attention that differ from those used in selective attention. Increased neuronal activity required to simultaneously process two stimulus dimensions as compared with each separate dimension has often been observed, but rarely has activity induced by a divided attention condition exceeded the sum of activity induced by the component tasks. Healthy participants performed a selective-divided attention paradigm while undergoing functional Magnetic Resonance Imaging (fMRI). The task required participants to make a same-different judgment about either one of two simultaneously presented stimulus dimensions, or about both dimensions. Performance accuracy was equated between tasks by dynamically adjusting the stimulus display time. Blood Oxygenation Level Dependent (BOLD) signal differences between tasks were identified by whole-brain voxel-wise comparisons and by region-specific analyses of all areas modulated by the divided attention task (DIV). No region displayed greater activation or deactivation by DIV than the sum of signal change by the two selective attention tasks. Instead, regional activity followed the tasks’ processing demands as reflected by reaction time. Only a left cerebellar region displayed a correlation between participants’ BOLD signal intensity and reaction time that was selective for DIV. The correlation was positive, reflecting slower responding with greater activation. Overall, the findings do not support the existence of functional brain activity specific to DIV. Increased activity appears to reflect additional processing demands by introducing a secondary task, but those demands do not appear to qualitatively differ from processes of selective attention.","DOI":"10.1016/j.brainres.2008.03.058","ISSN":"0006-8993","note":"PMID: 18479670\nPMCID: PMC2497334","title-short":"Divided versus selective attention","journalAbbreviation":"Brain Res","author":[{"family":"Hahn","given":"Britta"},{"family":"Wolkenberg","given":"Frank A."},{"family":"Ross","given":"Thomas J."},{"family":"Myers","given":"Carol S."},{"family":"Heishman","given":"Stephen J."},{"family":"Stein","given":"Dan J."},{"family":"Kurup","given":"Pradeep K."},{"family":"Stein","given":"Elliot A."}],"issued":{"date-parts":[["2008",6,18]]}}}],"schema":"https://github.com/citation-style-language/schema/raw/master/csl-citation.json"}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(Hahn et al., 2008)</w:t>
      </w:r>
      <w:r w:rsidRPr="00225AB0">
        <w:rPr>
          <w:rFonts w:ascii="Arial" w:hAnsi="Arial" w:cs="Arial"/>
          <w:color w:val="000000" w:themeColor="text1"/>
        </w:rPr>
        <w:fldChar w:fldCharType="end"/>
      </w:r>
      <w:r w:rsidRPr="00225AB0">
        <w:rPr>
          <w:rFonts w:ascii="Arial" w:hAnsi="Arial" w:cs="Arial"/>
          <w:color w:val="000000" w:themeColor="text1"/>
        </w:rPr>
        <w:t xml:space="preserve">. Future research </w:t>
      </w:r>
      <w:r w:rsidR="00BC74C0">
        <w:rPr>
          <w:rFonts w:ascii="Arial" w:hAnsi="Arial" w:cs="Arial"/>
          <w:color w:val="000000" w:themeColor="text1"/>
        </w:rPr>
        <w:t xml:space="preserve">could investigate </w:t>
      </w:r>
      <w:r w:rsidRPr="00225AB0">
        <w:rPr>
          <w:rFonts w:ascii="Arial" w:hAnsi="Arial" w:cs="Arial"/>
          <w:color w:val="000000" w:themeColor="text1"/>
        </w:rPr>
        <w:t>potential differences in inter-regional connectivity between the selective and divided paradigms, as perhaps complex tasks involve reduced correlation between regions important for the successful change detection of specific visual feature</w:t>
      </w:r>
      <w:r w:rsidR="00BC74C0">
        <w:rPr>
          <w:rFonts w:ascii="Arial" w:hAnsi="Arial" w:cs="Arial"/>
          <w:color w:val="000000" w:themeColor="text1"/>
        </w:rPr>
        <w:t>s</w:t>
      </w:r>
      <w:r w:rsidRPr="00225AB0">
        <w:rPr>
          <w:rFonts w:ascii="Arial" w:hAnsi="Arial" w:cs="Arial"/>
          <w:color w:val="000000" w:themeColor="text1"/>
        </w:rPr>
        <w:t xml:space="preserve">. This decorrelation between regions has been identified to have beneficial effects on task performance in cognitive flexibility literature (e.g.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{"citationID":"4xNQYyOM","properties":{"formattedCitation":"(Dajani and Uddin, 2015; Spadone et al., 2015; Vatansever et al., 2016; Li et al., 2017)","plainCitation":"(Dajani and Uddin, 2015; Spadone et al., 2015; Vatansever et al., 2016; Li et al., 2017)","dontUpdate":true,"noteIndex":0},"citationItems":[{"id":272,"uris":["http://zotero.org/groups/318634/items/9SGVIVLV"],"uri":["http://zotero.org/groups/318634/items/9SGVIVLV"],"itemData":{"id":272,"type":"article-journal","title":"Demystifying cognitive flexibility: Implications for clinical and developmental neuroscience","container-title":"Trends in Neurosciences","page":"571-578","volume":"38","issue":"9","source":"PubMed","abstract":"Cognitive flexibility, the readiness with which one can selectively switch between mental processes to generate appropriate behavioral responses, develops in a protracted manner and is compromised in several prevalent neurodevelopmental disorders. It is unclear whether cognitive flexibility arises from neural substrates distinct from the executive control network (ECN) or from the interplay of nodes within this and other networks. Here we review neuroimaging studies of cognitive flexibility, focusing on set shifting and task switching. We propose that more consistent operationalization and study of cognitive flexibility is required in clinical and developmental neuroscience. We suggest that an important avenue for future research is the characterization of the relationship between neural flexibility and cognitive flexibility in typical and atypical development.","DOI":"10.1016/j.tins.2015.07.003","ISSN":"1878-108X","note":"PMID: 26343956\nPMCID: PMC5414037","title-short":"Demystifying cognitive flexibility","journalAbbreviation":"Trends Neurosci.","language":"eng","author":[{"family":"Dajani","given":"Dina R."},{"family":"Uddin","given":"Lucina Q."}],"issued":{"date-parts":[["2015",9]]}}},{"id":210,"uris":["http://zotero.org/groups/318634/items/BKT428JT"],"uri":["http://zotero.org/groups/318634/items/BKT428JT"],"itemData":{"id":210,"type":"article-journal","title":"Dynamic reorganization of human resting-state networks during visuospatial attention","container-title":"Proceedings of the National Academy of Sciences of the United States of America","page":"8112-8117","volume":"112","issue":"26","source":"PubMed","abstract":"Fundamental problems in neuroscience today are understanding how patterns of ongoing spontaneous activity are modified by task performance and whether/how these intrinsic patterns influence task-evoked activation and behavior. We examined these questions by comparing instantaneous functional connectivity (IFC) and directed functional connectivity (DFC) changes in two networks that are strongly correlated and segregated at rest: the visual (VIS) network and the dorsal attention network (DAN). We measured how IFC and DFC during a visuospatial attention task, which requires dynamic selective rerouting of visual information across hemispheres, changed with respect to rest. During the attention task, the two networks remained relatively segregated, and their general pattern of within-network correlation was maintained. However, attention induced a decrease of correlation in the VIS network and an increase of the DAN→VIS IFC and DFC, especially in a top-down direction. In contrast, within the DAN, IFC was not modified by attention, whereas DFC was enhanced. Importantly, IFC modulations were behaviorally relevant. We conclude that a stable backbone of within-network functional connectivity topography remains in place when transitioning between resting wakefulness and attention selection. However, relative decrease of correlation of ongoing \"idling\" activity in visual cortex and synchronization between frontoparietal and visual cortex were behaviorally relevant, indicating that modulations of resting activity patterns are important for task performance. Higher order resting connectivity in the DAN was relatively unaffected during attention, potentially indicating a role for simultaneous ongoing activity as a \"prior\" for attention selection.","DOI":"10.1073/pnas.1415439112","ISSN":"1091-6490","note":"PMID: 26080395\nPMCID: PMC4491799","journalAbbreviation":"Proc. Natl. Acad. Sci. U.S.A.","language":"eng","author":[{"family":"Spadone","given":"Sara"},{"family":"Della Penna","given":"Stefania"},{"family":"Sestieri","given":"Carlo"},{"family":"Betti","given":"Viviana"},{"family":"Tosoni","given":"Annalisa"},{"family":"Perrucci","given":"Mauro Gianni"},{"family":"Romani","given":"Gian Luca"},{"family":"Corbetta","given":"Maurizio"}],"issued":{"date-parts":[["2015",6,30]]}}},{"id":215,"uris":["http://zotero.org/groups/318634/items/K48VSQMZ"],"uri":["http://zotero.org/groups/318634/items/K48VSQMZ"],"itemData":{"id":215,"type":"article-journal","title":"Cognitive Flexibility: A Default Network and Basal Ganglia Connectivity Perspective","container-title":"Brain Connectivity","page":"201-207","volume":"6","issue":"3","source":"PubMed","abstract":"The intra/extradimensional set-shifting task (IED) provides a reliable assessment of cognitive flexibility, the shifting of attention to select behaviorally relevant stimuli in a given context. Impairments in this domain were previously reported in patients with altered neurotransmitter systems such as schizophrenia and Parkinson's disease. Consequently, corticostriatal connections were implicated in the mediation of this function. In addition, parts of the default mode network (DMN), namely the medial prefrontal and posterior cingulate/precuneus cortices, are also being progressively described in association with set-shifting paradigms. Nevertheless, a definitive link between cognitive flexibility and DMN connectivity remains to be established. To this end, we related resting state functional magnetic resonance imaging (fMRI)-based functional connectivity of DMN with IED task performance in a healthy population, measured outside the scanner. The results demonstrated that greater posterior cingulate cortex/precuneus (DMN) connectivity with the ventromedial striatopallidum at rest correlated with fewer total adjusted errors on the IED task. This finding points to a relationship between DMN and basal ganglia connectivity for cognitive flexibility, further highlighting this network's potential role in adaptive human cognition.","DOI":"10.1089/brain.2015.0388","ISSN":"2158-0022","note":"PMID: 26652748\nPMCID: PMC5118962","title-short":"Cognitive Flexibility","journalAbbreviation":"Brain Connect","language":"eng","author":[{"family":"Vatansever","given":"Deniz"},{"family":"Manktelow","given":"Anne E."},{"family":"Sahakian","given":"Barbara J."},{"family":"Menon","given":"David K."},{"family":"Stamatakis","given":"Emmanuel A."}],"issued":{"date-parts":[["2016",4]]}}},{"id":249,"uris":["http://zotero.org/groups/318634/items/L9XI39ZI"],"uri":["http://zotero.org/groups/318634/items/L9XI39ZI"],"itemData":{"id":249,"type":"article-journal","title":"High transition frequencies of dynamic functional connectivity states in the creative brain","container-title":"Scientific Reports","page":"46072","volume":"7","source":"PubMed","abstract":"Creativity is thought to require the flexible reconfiguration of multiple brain regions that interact in transient and complex communication patterns. In contrast to prior emphases on searching for specific regions or networks associated with creative performance, we focused on exploring the association between the reconfiguration of dynamic functional connectivity states and creative ability. We hypothesized that a high frequency of dynamic functional connectivity state transitions will be associated with creative ability. To test this hypothesis, we recruited a high-creative group (HCG) and a low-creative group (LCG) of participants and collected resting-state fMRI (R-fMRI) data and Torrance Tests of Creative Thinking (TTCT) scores from each participant. By combining an independent component analysis with a dynamic network analysis approach, we discovered the HCG had more frequent transitions between dynamic functional connectivity (dFC) states than the LCG. Moreover, a confirmatory analysis using multiplication of temporal derivatives also indicated that there were more frequent dFC state transitions in the HCG. Taken together, these results provided empirical evidence for a linkage between the flexible reconfiguration of dynamic functional connectivity states and creative ability. These findings have the potential to provide new insights into the neural basis of creativity.","DOI":"10.1038/srep46072","ISSN":"2045-2322","note":"PMID: 28383052\nPMCID: PMC5382673","journalAbbreviation":"Sci Rep","language":"eng","author":[{"family":"Li","given":"Junchao"},{"family":"Zhang","given":"Delong"},{"family":"Liang","given":"Aiying"},{"family":"Liang","given":"Bishan"},{"family":"Wang","given":"Zengjian"},{"family":"Cai","given":"Yuxuan"},{"family":"Gao","given":"Mengxia"},{"family":"Gao","given":"Zhenni"},{"family":"Chang","given":"Song"},{"family":"Jiao","given":"Bingqing"},{"family":"Huang","given":"Ruiwang"},{"family":"Liu","given":"Ming"}],"issued":{"date-parts":[["2017"]],"season":"06"}}}],"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Dajani and Uddin, 2015; Spadone et al., 2015; Vatansever et al., 2016; Li et al., 2017)</w:t>
      </w:r>
      <w:r w:rsidRPr="00225AB0">
        <w:rPr>
          <w:rFonts w:ascii="Arial" w:hAnsi="Arial" w:cs="Arial"/>
          <w:color w:val="000000" w:themeColor="text1"/>
        </w:rPr>
        <w:fldChar w:fldCharType="end"/>
      </w:r>
      <w:r w:rsidRPr="00225AB0">
        <w:rPr>
          <w:rFonts w:ascii="Arial" w:hAnsi="Arial" w:cs="Arial"/>
          <w:color w:val="000000" w:themeColor="text1"/>
        </w:rPr>
        <w:t xml:space="preserve">. </w:t>
      </w:r>
    </w:p>
    <w:p w14:paraId="0CEBF1E2" w14:textId="77777777" w:rsidR="000C73FA" w:rsidRPr="00225AB0" w:rsidRDefault="000C73FA" w:rsidP="000C73FA">
      <w:pPr>
        <w:spacing w:line="480" w:lineRule="auto"/>
        <w:rPr>
          <w:rFonts w:ascii="Arial" w:hAnsi="Arial" w:cs="Arial"/>
          <w:color w:val="000000" w:themeColor="text1"/>
        </w:rPr>
      </w:pPr>
    </w:p>
    <w:p w14:paraId="52AB1164" w14:textId="15E9DCF4" w:rsidR="000C73FA" w:rsidRPr="00225AB0" w:rsidRDefault="000C73FA" w:rsidP="000C73FA">
      <w:pPr>
        <w:spacing w:line="480" w:lineRule="auto"/>
        <w:rPr>
          <w:rFonts w:ascii="Arial" w:hAnsi="Arial" w:cs="Arial"/>
          <w:color w:val="000000" w:themeColor="text1"/>
        </w:rPr>
      </w:pPr>
      <w:r w:rsidRPr="00225AB0">
        <w:rPr>
          <w:rFonts w:ascii="Arial" w:hAnsi="Arial" w:cs="Arial"/>
          <w:color w:val="000000" w:themeColor="text1"/>
        </w:rPr>
        <w:t xml:space="preserve">Additionally, we </w:t>
      </w:r>
      <w:r w:rsidR="00624D44">
        <w:rPr>
          <w:rFonts w:ascii="Arial" w:hAnsi="Arial" w:cs="Arial"/>
          <w:color w:val="000000" w:themeColor="text1"/>
        </w:rPr>
        <w:t>identified</w:t>
      </w:r>
      <w:r w:rsidR="00624D44" w:rsidRPr="00225AB0">
        <w:rPr>
          <w:rFonts w:ascii="Arial" w:hAnsi="Arial" w:cs="Arial"/>
          <w:color w:val="000000" w:themeColor="text1"/>
        </w:rPr>
        <w:t xml:space="preserve"> </w:t>
      </w:r>
      <w:r w:rsidRPr="00225AB0">
        <w:rPr>
          <w:rFonts w:ascii="Arial" w:hAnsi="Arial" w:cs="Arial"/>
          <w:color w:val="000000" w:themeColor="text1"/>
        </w:rPr>
        <w:t xml:space="preserve">no significant differences in participant accuracy or reaction time across selective attentional focus conditions (attention directed to orientation, contrast or to shape). This is evidence of the success of our method of calibrating feature- and participant- specific task difficultly with </w:t>
      </w:r>
      <w:r w:rsidRPr="00225AB0">
        <w:rPr>
          <w:rFonts w:ascii="Arial" w:hAnsi="Arial" w:cs="Arial"/>
          <w:color w:val="000000" w:themeColor="text1"/>
        </w:rPr>
        <w:lastRenderedPageBreak/>
        <w:t xml:space="preserve">previously collected participant threshold detection scores for each low-level stimulus feature. This lack of significant difference across conditions gives strength to the notion we successfully equated task difficultly across conditions, importantly suggesting the level of attention employed should be highly similar for each participant across the selective attention conditions. </w:t>
      </w:r>
    </w:p>
    <w:p w14:paraId="07C6FC34" w14:textId="77777777" w:rsidR="000C73FA" w:rsidRPr="00225AB0" w:rsidRDefault="000C73FA" w:rsidP="000C73FA">
      <w:pPr>
        <w:spacing w:line="480" w:lineRule="auto"/>
        <w:rPr>
          <w:rFonts w:ascii="Arial" w:hAnsi="Arial" w:cs="Arial"/>
          <w:color w:val="000000" w:themeColor="text1"/>
        </w:rPr>
      </w:pPr>
    </w:p>
    <w:p w14:paraId="77C60651" w14:textId="77777777" w:rsidR="00B82D81" w:rsidRDefault="000C73FA" w:rsidP="00830F5C">
      <w:pPr>
        <w:spacing w:line="480" w:lineRule="auto"/>
        <w:rPr>
          <w:rFonts w:ascii="Arial" w:hAnsi="Arial" w:cs="Arial"/>
          <w:color w:val="000000" w:themeColor="text1"/>
        </w:rPr>
      </w:pPr>
      <w:r w:rsidRPr="00225AB0">
        <w:rPr>
          <w:rFonts w:ascii="Arial" w:hAnsi="Arial" w:cs="Arial"/>
          <w:color w:val="000000" w:themeColor="text1"/>
        </w:rPr>
        <w:t>In conclusion, we replicate the findings of a well-established attentional paradigm with the use of a novel highly controlled visual stimulus, substantiating it’s use as an effective stimulus in probing attentional modulation. We also demonstrate the success of a method calibrating the selective versus divided task to each participant</w:t>
      </w:r>
      <w:r w:rsidR="00BC74C0">
        <w:rPr>
          <w:rFonts w:ascii="Arial" w:hAnsi="Arial" w:cs="Arial"/>
          <w:color w:val="000000" w:themeColor="text1"/>
        </w:rPr>
        <w:t>’s</w:t>
      </w:r>
      <w:r w:rsidRPr="00225AB0">
        <w:rPr>
          <w:rFonts w:ascii="Arial" w:hAnsi="Arial" w:cs="Arial"/>
          <w:color w:val="000000" w:themeColor="text1"/>
        </w:rPr>
        <w:t xml:space="preserve"> perceptual experience. This study provides support for the use of </w:t>
      </w:r>
      <w:r w:rsidR="00BC74C0">
        <w:rPr>
          <w:rFonts w:ascii="Arial" w:hAnsi="Arial" w:cs="Arial"/>
          <w:color w:val="000000" w:themeColor="text1"/>
        </w:rPr>
        <w:t xml:space="preserve">the </w:t>
      </w:r>
      <w:r w:rsidRPr="00225AB0">
        <w:rPr>
          <w:rFonts w:ascii="Arial" w:hAnsi="Arial" w:cs="Arial"/>
          <w:color w:val="000000" w:themeColor="text1"/>
        </w:rPr>
        <w:t xml:space="preserve">RF pattern stimulus and our method of calibrating task difficulty in our future fMRI </w:t>
      </w:r>
      <w:r w:rsidR="00830F5C">
        <w:rPr>
          <w:rFonts w:ascii="Arial" w:hAnsi="Arial" w:cs="Arial"/>
          <w:color w:val="000000" w:themeColor="text1"/>
        </w:rPr>
        <w:t>studies.</w:t>
      </w:r>
    </w:p>
    <w:p w14:paraId="02ED50CF" w14:textId="77777777" w:rsidR="009B4445" w:rsidRDefault="009B4445" w:rsidP="00830F5C">
      <w:pPr>
        <w:spacing w:line="480" w:lineRule="auto"/>
        <w:rPr>
          <w:rFonts w:ascii="Arial" w:hAnsi="Arial" w:cs="Arial"/>
          <w:color w:val="000000" w:themeColor="text1"/>
        </w:rPr>
      </w:pPr>
    </w:p>
    <w:p w14:paraId="6541C095" w14:textId="77777777" w:rsidR="009B4445" w:rsidRDefault="009B4445" w:rsidP="00830F5C">
      <w:pPr>
        <w:spacing w:line="480" w:lineRule="auto"/>
        <w:rPr>
          <w:rFonts w:ascii="Arial" w:hAnsi="Arial" w:cs="Arial"/>
          <w:color w:val="000000" w:themeColor="text1"/>
        </w:rPr>
      </w:pPr>
    </w:p>
    <w:p w14:paraId="2685F47E" w14:textId="7E3FF4C6" w:rsidR="00CC7DCB" w:rsidRDefault="00CC7DCB" w:rsidP="00830F5C">
      <w:pPr>
        <w:spacing w:line="480" w:lineRule="auto"/>
        <w:rPr>
          <w:rFonts w:ascii="Arial" w:hAnsi="Arial" w:cs="Arial"/>
          <w:color w:val="000000" w:themeColor="text1"/>
        </w:rPr>
      </w:pPr>
    </w:p>
    <w:p w14:paraId="769E54A0" w14:textId="2E117231" w:rsidR="00AE6937" w:rsidRDefault="00AE6937" w:rsidP="00830F5C">
      <w:pPr>
        <w:spacing w:line="480" w:lineRule="auto"/>
        <w:rPr>
          <w:rFonts w:ascii="Arial" w:hAnsi="Arial" w:cs="Arial"/>
          <w:color w:val="000000" w:themeColor="text1"/>
        </w:rPr>
      </w:pPr>
    </w:p>
    <w:p w14:paraId="6E569CB0" w14:textId="4DCEC8A4" w:rsidR="00AE6937" w:rsidRDefault="00AE6937" w:rsidP="00830F5C">
      <w:pPr>
        <w:spacing w:line="480" w:lineRule="auto"/>
        <w:rPr>
          <w:rFonts w:ascii="Arial" w:hAnsi="Arial" w:cs="Arial"/>
          <w:color w:val="000000" w:themeColor="text1"/>
        </w:rPr>
      </w:pPr>
    </w:p>
    <w:p w14:paraId="10F422C2" w14:textId="51EE02C8" w:rsidR="00AE6937" w:rsidRDefault="00AE6937" w:rsidP="00830F5C">
      <w:pPr>
        <w:spacing w:line="480" w:lineRule="auto"/>
        <w:rPr>
          <w:rFonts w:ascii="Arial" w:hAnsi="Arial" w:cs="Arial"/>
          <w:color w:val="000000" w:themeColor="text1"/>
        </w:rPr>
      </w:pPr>
    </w:p>
    <w:p w14:paraId="32EDA33D" w14:textId="0B5D7C92" w:rsidR="00AE6937" w:rsidRDefault="00AE6937" w:rsidP="00830F5C">
      <w:pPr>
        <w:spacing w:line="480" w:lineRule="auto"/>
        <w:rPr>
          <w:rFonts w:ascii="Arial" w:hAnsi="Arial" w:cs="Arial"/>
          <w:color w:val="000000" w:themeColor="text1"/>
        </w:rPr>
      </w:pPr>
    </w:p>
    <w:p w14:paraId="1C8097FA" w14:textId="66E7C710" w:rsidR="00AE6937" w:rsidRDefault="00AE6937" w:rsidP="00830F5C">
      <w:pPr>
        <w:spacing w:line="480" w:lineRule="auto"/>
        <w:rPr>
          <w:rFonts w:ascii="Arial" w:hAnsi="Arial" w:cs="Arial"/>
          <w:color w:val="000000" w:themeColor="text1"/>
        </w:rPr>
      </w:pPr>
    </w:p>
    <w:p w14:paraId="64CC8E65" w14:textId="77777777" w:rsidR="00AE6937" w:rsidRPr="00830F5C" w:rsidRDefault="00AE6937" w:rsidP="00830F5C">
      <w:pPr>
        <w:spacing w:line="480" w:lineRule="auto"/>
        <w:rPr>
          <w:rFonts w:ascii="Arial" w:hAnsi="Arial" w:cs="Arial"/>
          <w:color w:val="000000" w:themeColor="text1"/>
        </w:rPr>
      </w:pPr>
    </w:p>
    <w:p w14:paraId="7C014084" w14:textId="77777777" w:rsidR="00FA62F7" w:rsidRDefault="00FA62F7" w:rsidP="009220B0">
      <w:pPr>
        <w:pStyle w:val="Heading1"/>
        <w:numPr>
          <w:ilvl w:val="0"/>
          <w:numId w:val="10"/>
        </w:numPr>
        <w:rPr>
          <w:rFonts w:ascii="Arial" w:hAnsi="Arial" w:cs="Arial"/>
          <w:b/>
          <w:color w:val="000000" w:themeColor="text1"/>
          <w:sz w:val="44"/>
          <w:szCs w:val="44"/>
        </w:rPr>
      </w:pPr>
      <w:bookmarkStart w:id="409" w:name="_Toc11153938"/>
      <w:bookmarkStart w:id="410" w:name="_Toc11753642"/>
      <w:bookmarkStart w:id="411" w:name="_Toc11926828"/>
      <w:bookmarkStart w:id="412" w:name="_Toc11930064"/>
      <w:bookmarkStart w:id="413" w:name="_Toc16075380"/>
      <w:bookmarkStart w:id="414" w:name="_Toc16237000"/>
      <w:r w:rsidRPr="00225AB0">
        <w:rPr>
          <w:rFonts w:ascii="Arial" w:hAnsi="Arial" w:cs="Arial"/>
          <w:b/>
          <w:color w:val="000000" w:themeColor="text1"/>
          <w:sz w:val="44"/>
          <w:szCs w:val="44"/>
        </w:rPr>
        <w:lastRenderedPageBreak/>
        <w:t>Feature-</w:t>
      </w:r>
      <w:r w:rsidR="00050861" w:rsidRPr="00225AB0">
        <w:rPr>
          <w:rFonts w:ascii="Arial" w:hAnsi="Arial" w:cs="Arial"/>
          <w:b/>
          <w:color w:val="000000" w:themeColor="text1"/>
          <w:sz w:val="44"/>
          <w:szCs w:val="44"/>
        </w:rPr>
        <w:t>S</w:t>
      </w:r>
      <w:r w:rsidRPr="00225AB0">
        <w:rPr>
          <w:rFonts w:ascii="Arial" w:hAnsi="Arial" w:cs="Arial"/>
          <w:b/>
          <w:color w:val="000000" w:themeColor="text1"/>
          <w:sz w:val="44"/>
          <w:szCs w:val="44"/>
        </w:rPr>
        <w:t xml:space="preserve">pecific </w:t>
      </w:r>
      <w:r w:rsidR="00050861" w:rsidRPr="00225AB0">
        <w:rPr>
          <w:rFonts w:ascii="Arial" w:hAnsi="Arial" w:cs="Arial"/>
          <w:b/>
          <w:color w:val="000000" w:themeColor="text1"/>
          <w:sz w:val="44"/>
          <w:szCs w:val="44"/>
        </w:rPr>
        <w:t>P</w:t>
      </w:r>
      <w:r w:rsidRPr="00225AB0">
        <w:rPr>
          <w:rFonts w:ascii="Arial" w:hAnsi="Arial" w:cs="Arial"/>
          <w:b/>
          <w:color w:val="000000" w:themeColor="text1"/>
          <w:sz w:val="44"/>
          <w:szCs w:val="44"/>
        </w:rPr>
        <w:t xml:space="preserve">atterns of </w:t>
      </w:r>
      <w:r w:rsidR="00050861" w:rsidRPr="00225AB0">
        <w:rPr>
          <w:rFonts w:ascii="Arial" w:hAnsi="Arial" w:cs="Arial"/>
          <w:b/>
          <w:color w:val="000000" w:themeColor="text1"/>
          <w:sz w:val="44"/>
          <w:szCs w:val="44"/>
        </w:rPr>
        <w:t>A</w:t>
      </w:r>
      <w:r w:rsidRPr="00225AB0">
        <w:rPr>
          <w:rFonts w:ascii="Arial" w:hAnsi="Arial" w:cs="Arial"/>
          <w:b/>
          <w:color w:val="000000" w:themeColor="text1"/>
          <w:sz w:val="44"/>
          <w:szCs w:val="44"/>
        </w:rPr>
        <w:t xml:space="preserve">ttention and </w:t>
      </w:r>
      <w:r w:rsidR="00050861" w:rsidRPr="00225AB0">
        <w:rPr>
          <w:rFonts w:ascii="Arial" w:hAnsi="Arial" w:cs="Arial"/>
          <w:b/>
          <w:color w:val="000000" w:themeColor="text1"/>
          <w:sz w:val="44"/>
          <w:szCs w:val="44"/>
        </w:rPr>
        <w:t>F</w:t>
      </w:r>
      <w:r w:rsidRPr="00225AB0">
        <w:rPr>
          <w:rFonts w:ascii="Arial" w:hAnsi="Arial" w:cs="Arial"/>
          <w:b/>
          <w:color w:val="000000" w:themeColor="text1"/>
          <w:sz w:val="44"/>
          <w:szCs w:val="44"/>
        </w:rPr>
        <w:t xml:space="preserve">unctional </w:t>
      </w:r>
      <w:r w:rsidR="00050861" w:rsidRPr="00225AB0">
        <w:rPr>
          <w:rFonts w:ascii="Arial" w:hAnsi="Arial" w:cs="Arial"/>
          <w:b/>
          <w:color w:val="000000" w:themeColor="text1"/>
          <w:sz w:val="44"/>
          <w:szCs w:val="44"/>
        </w:rPr>
        <w:t>C</w:t>
      </w:r>
      <w:r w:rsidRPr="00225AB0">
        <w:rPr>
          <w:rFonts w:ascii="Arial" w:hAnsi="Arial" w:cs="Arial"/>
          <w:b/>
          <w:color w:val="000000" w:themeColor="text1"/>
          <w:sz w:val="44"/>
          <w:szCs w:val="44"/>
        </w:rPr>
        <w:t xml:space="preserve">onnectivity in </w:t>
      </w:r>
      <w:r w:rsidR="00050861" w:rsidRPr="00225AB0">
        <w:rPr>
          <w:rFonts w:ascii="Arial" w:hAnsi="Arial" w:cs="Arial"/>
          <w:b/>
          <w:color w:val="000000" w:themeColor="text1"/>
          <w:sz w:val="44"/>
          <w:szCs w:val="44"/>
        </w:rPr>
        <w:t>H</w:t>
      </w:r>
      <w:r w:rsidRPr="00225AB0">
        <w:rPr>
          <w:rFonts w:ascii="Arial" w:hAnsi="Arial" w:cs="Arial"/>
          <w:b/>
          <w:color w:val="000000" w:themeColor="text1"/>
          <w:sz w:val="44"/>
          <w:szCs w:val="44"/>
        </w:rPr>
        <w:t xml:space="preserve">uman </w:t>
      </w:r>
      <w:r w:rsidR="00050861" w:rsidRPr="00225AB0">
        <w:rPr>
          <w:rFonts w:ascii="Arial" w:hAnsi="Arial" w:cs="Arial"/>
          <w:b/>
          <w:color w:val="000000" w:themeColor="text1"/>
          <w:sz w:val="44"/>
          <w:szCs w:val="44"/>
        </w:rPr>
        <w:t>V</w:t>
      </w:r>
      <w:r w:rsidRPr="00225AB0">
        <w:rPr>
          <w:rFonts w:ascii="Arial" w:hAnsi="Arial" w:cs="Arial"/>
          <w:b/>
          <w:color w:val="000000" w:themeColor="text1"/>
          <w:sz w:val="44"/>
          <w:szCs w:val="44"/>
        </w:rPr>
        <w:t xml:space="preserve">isual </w:t>
      </w:r>
      <w:r w:rsidR="00050861" w:rsidRPr="00225AB0">
        <w:rPr>
          <w:rFonts w:ascii="Arial" w:hAnsi="Arial" w:cs="Arial"/>
          <w:b/>
          <w:color w:val="000000" w:themeColor="text1"/>
          <w:sz w:val="44"/>
          <w:szCs w:val="44"/>
        </w:rPr>
        <w:t>C</w:t>
      </w:r>
      <w:r w:rsidRPr="00225AB0">
        <w:rPr>
          <w:rFonts w:ascii="Arial" w:hAnsi="Arial" w:cs="Arial"/>
          <w:b/>
          <w:color w:val="000000" w:themeColor="text1"/>
          <w:sz w:val="44"/>
          <w:szCs w:val="44"/>
        </w:rPr>
        <w:t>ortex</w:t>
      </w:r>
      <w:bookmarkEnd w:id="409"/>
      <w:bookmarkEnd w:id="410"/>
      <w:bookmarkEnd w:id="411"/>
      <w:bookmarkEnd w:id="412"/>
      <w:bookmarkEnd w:id="413"/>
      <w:bookmarkEnd w:id="414"/>
    </w:p>
    <w:p w14:paraId="5714F160" w14:textId="77777777" w:rsidR="00B82D81" w:rsidRPr="00B82D81" w:rsidRDefault="00B82D81" w:rsidP="00B82D81"/>
    <w:p w14:paraId="597CDF98" w14:textId="77777777" w:rsidR="00204400" w:rsidRPr="00225AB0" w:rsidRDefault="00204400" w:rsidP="00204400">
      <w:pPr>
        <w:rPr>
          <w:rFonts w:ascii="Arial" w:hAnsi="Arial" w:cs="Arial"/>
        </w:rPr>
      </w:pPr>
    </w:p>
    <w:p w14:paraId="269A9D64" w14:textId="77777777" w:rsidR="001A7934" w:rsidRDefault="00FA62F7" w:rsidP="001811CC">
      <w:pPr>
        <w:pStyle w:val="Heading2"/>
        <w:numPr>
          <w:ilvl w:val="1"/>
          <w:numId w:val="8"/>
        </w:numPr>
        <w:rPr>
          <w:rFonts w:ascii="Arial" w:hAnsi="Arial" w:cs="Arial"/>
          <w:b/>
          <w:color w:val="000000" w:themeColor="text1"/>
          <w:sz w:val="28"/>
          <w:szCs w:val="28"/>
        </w:rPr>
      </w:pPr>
      <w:bookmarkStart w:id="415" w:name="_Toc11147991"/>
      <w:bookmarkStart w:id="416" w:name="_Toc11153939"/>
      <w:bookmarkStart w:id="417" w:name="_Toc11753643"/>
      <w:bookmarkStart w:id="418" w:name="_Toc11926829"/>
      <w:bookmarkStart w:id="419" w:name="_Toc11930065"/>
      <w:bookmarkStart w:id="420" w:name="_Toc16075381"/>
      <w:bookmarkStart w:id="421" w:name="_Toc16237001"/>
      <w:r w:rsidRPr="00B82D81">
        <w:rPr>
          <w:rFonts w:ascii="Arial" w:hAnsi="Arial" w:cs="Arial"/>
          <w:b/>
          <w:color w:val="000000" w:themeColor="text1"/>
          <w:sz w:val="28"/>
          <w:szCs w:val="28"/>
        </w:rPr>
        <w:t>Abstract</w:t>
      </w:r>
      <w:bookmarkEnd w:id="415"/>
      <w:bookmarkEnd w:id="416"/>
      <w:bookmarkEnd w:id="417"/>
      <w:bookmarkEnd w:id="418"/>
      <w:bookmarkEnd w:id="419"/>
      <w:bookmarkEnd w:id="420"/>
      <w:bookmarkEnd w:id="421"/>
    </w:p>
    <w:p w14:paraId="1494D0A2" w14:textId="77777777" w:rsidR="00B82D81" w:rsidRPr="00B82D81" w:rsidRDefault="00B82D81" w:rsidP="00B82D81"/>
    <w:p w14:paraId="6ACD8A74" w14:textId="07D1B95A" w:rsidR="00052174" w:rsidRPr="00052174" w:rsidRDefault="00052174" w:rsidP="00052174">
      <w:pPr>
        <w:spacing w:line="480" w:lineRule="auto"/>
        <w:rPr>
          <w:rFonts w:ascii="Arial" w:hAnsi="Arial" w:cs="Arial"/>
          <w:color w:val="0D0D0D" w:themeColor="text1" w:themeTint="F2"/>
        </w:rPr>
      </w:pPr>
      <w:bookmarkStart w:id="422" w:name="_Toc11147992"/>
      <w:bookmarkStart w:id="423" w:name="_Toc11153940"/>
      <w:r w:rsidRPr="00052174">
        <w:rPr>
          <w:rFonts w:ascii="Arial" w:hAnsi="Arial" w:cs="Arial"/>
          <w:color w:val="0D0D0D" w:themeColor="text1" w:themeTint="F2"/>
        </w:rPr>
        <w:t xml:space="preserve">Attending to different features of a scene can alter the responses of neurons in early- and mid- level visual areas but the nature of this change depends on both the (top down) attentional task and the (bottom up) visual stimulus. One outstanding question is the spatial scale at which cortex is modulated by attention to low-level stimulus features such as shape, contrast and orientation. It is unclear whether the recruitment of neurons to particular tasks occurs at an area level or at the level of intra-areal sub-populations, or whether the critical factor is a change in the way that areas communicate with each other. Here we use functional magnetic resonance imaging (fMRI) and psychophysics, to ask how areas known to be involved in processing different visual features (orientation, contrast and shape) are modulated as participants switch between tasks based on those features while the visual stimulus itself is effectively constant. At a univariate level, we find almost no feature-specific bottom-up or top-down responses in the areas we examine. However, multivariate analyses reveal a complex pattern of voxel-level modulation driven by attentional task. Connectivity analyses also demonstrate flexible and selective patterns of connectivity between early visual areas as a function of attentional focus. Overall, we find that attention alters the sensitivity and connectivity of neuronal subpopulations </w:t>
      </w:r>
      <w:r w:rsidR="00D44AC6">
        <w:rPr>
          <w:rFonts w:ascii="Arial" w:hAnsi="Arial" w:cs="Arial"/>
          <w:color w:val="0D0D0D" w:themeColor="text1" w:themeTint="F2"/>
        </w:rPr>
        <w:t>in</w:t>
      </w:r>
      <w:r w:rsidRPr="00052174">
        <w:rPr>
          <w:rFonts w:ascii="Arial" w:hAnsi="Arial" w:cs="Arial"/>
          <w:color w:val="0D0D0D" w:themeColor="text1" w:themeTint="F2"/>
        </w:rPr>
        <w:t xml:space="preserve"> individual </w:t>
      </w:r>
      <w:r w:rsidRPr="00052174">
        <w:rPr>
          <w:rFonts w:ascii="Arial" w:hAnsi="Arial" w:cs="Arial"/>
          <w:color w:val="0D0D0D" w:themeColor="text1" w:themeTint="F2"/>
        </w:rPr>
        <w:lastRenderedPageBreak/>
        <w:t xml:space="preserve">early visual areas but, surprisingly, not the univariate response amplitudes of the areas themselves. </w:t>
      </w:r>
    </w:p>
    <w:p w14:paraId="2E3345D9" w14:textId="77777777" w:rsidR="00B82D81" w:rsidRDefault="00B82D81" w:rsidP="00B82D81">
      <w:pPr>
        <w:spacing w:line="480" w:lineRule="auto"/>
        <w:rPr>
          <w:rFonts w:ascii="Arial" w:hAnsi="Arial" w:cs="Arial"/>
          <w:color w:val="0D0D0D" w:themeColor="text1" w:themeTint="F2"/>
        </w:rPr>
      </w:pPr>
    </w:p>
    <w:p w14:paraId="000B681C" w14:textId="77777777" w:rsidR="00F72546" w:rsidRDefault="00F72546" w:rsidP="001811CC">
      <w:pPr>
        <w:pStyle w:val="Heading2"/>
        <w:numPr>
          <w:ilvl w:val="1"/>
          <w:numId w:val="8"/>
        </w:numPr>
        <w:rPr>
          <w:rFonts w:ascii="Arial" w:hAnsi="Arial" w:cs="Arial"/>
          <w:b/>
          <w:color w:val="000000" w:themeColor="text1"/>
          <w:sz w:val="28"/>
          <w:szCs w:val="28"/>
        </w:rPr>
      </w:pPr>
      <w:bookmarkStart w:id="424" w:name="_Toc11753644"/>
      <w:bookmarkStart w:id="425" w:name="_Toc11926830"/>
      <w:bookmarkStart w:id="426" w:name="_Toc11930066"/>
      <w:bookmarkStart w:id="427" w:name="_Toc16075382"/>
      <w:bookmarkStart w:id="428" w:name="_Toc16237002"/>
      <w:bookmarkEnd w:id="422"/>
      <w:bookmarkEnd w:id="423"/>
      <w:r>
        <w:rPr>
          <w:rFonts w:ascii="Arial" w:hAnsi="Arial" w:cs="Arial"/>
          <w:b/>
          <w:color w:val="000000" w:themeColor="text1"/>
          <w:sz w:val="28"/>
          <w:szCs w:val="28"/>
        </w:rPr>
        <w:t>Introduction</w:t>
      </w:r>
      <w:bookmarkEnd w:id="424"/>
      <w:bookmarkEnd w:id="425"/>
      <w:bookmarkEnd w:id="426"/>
      <w:bookmarkEnd w:id="427"/>
      <w:bookmarkEnd w:id="428"/>
    </w:p>
    <w:p w14:paraId="50A59838" w14:textId="77777777" w:rsidR="00F72546" w:rsidRPr="00F72546" w:rsidRDefault="00F72546" w:rsidP="00F72546"/>
    <w:p w14:paraId="7BCD6FF6" w14:textId="77777777" w:rsidR="00B82D81" w:rsidRPr="00B82D81" w:rsidRDefault="00B82D81" w:rsidP="00B82D81"/>
    <w:p w14:paraId="134D331F" w14:textId="148F2AB1"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Attention directed toward spatial locations or visual features can influence both behaviour and physiology. In general, attention tends to increase the relative sensitivity of neurons representing the attended location or feature (e.g.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{"citationID":"BvplOvsG","properties":{"formattedCitation":"(Duncan and Humphreys, 1989; Corbetta et al., 1990; Luck et al., 1997; Reynolds et al., 2000; Mart\\uc0\\u237{}nez-Trujillo and Treue, 2002; Serences and Boynton, 2007)","plainCitation":"(Duncan and Humphreys, 1989; Corbetta et al., 1990; Luck et al., 1997; Reynolds et al., 2000; Martínez-Trujillo and Treue, 2002; Serences and Boynton, 2007)","dontUpdate":true,"noteIndex":0},"citationItems":[{"id":260,"uris":["http://zotero.org/groups/318634/items/RX6BKUXU"],"uri":["http://zotero.org/groups/318634/items/RX6BKUXU"],"itemData":{"id":260,"type":"article-journal","title":"Visual search and stimulus similarity","container-title":"Psychological Review","page":"433-458","volume":"96","issue":"3","source":"PubMed","ISSN":"0033-295X","note":"PMID: 2756067","journalAbbreviation":"Psychol Rev","language":"eng","author":[{"family":"Duncan","given":"J."},{"family":"Humphreys","given":"G. W."}],"issued":{"date-parts":[["1989",7]]}}},{"id":128,"uris":["http://zotero.org/groups/318634/items/LHCBHC5P"],"uri":["http://zotero.org/groups/318634/items/LHCBHC5P"],"itemData":{"id":128,"type":"article-journal","title":"Attentional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E."}],"issued":{"date-parts":[["1990"]]}}},{"id":238,"uris":["http://zotero.org/groups/318634/items/9LJE75EZ"],"uri":["http://zotero.org/groups/318634/items/9LJE75EZ"],"itemData":{"id":238,"type":"article-journal","title":"Neural mechanisms of spatial selective attention in areas V1, V2, and V4 of macaque visual cortex","container-title":"Journal of Neurophysiology","page":"24-42","volume":"77","issue":"1","source":"PubMed","abstract":"Many neurons in extrastriate visual cortex have large receptive fields, and this may lead to significant computational problems whenever multiple stimuli fall within a single field. Previous studies have suggested that when multiple stimuli fall within a cell's receptive field, they compete for the cell's response in a manner that can be biased in favor of attended stimuli. In the present study we examined this role of attention in areas V1, V2, and V4 of macaque monkeys with the use of a behavioral paradigm in which attention was directed to one of two stimulus locations. When two stimuli were presented simultaneously inside the cell's receptive field (which could be accomplished only in areas V2 and V4), we found that the cell's response was strongly influenced by which of the two stimuli was attended. The size of this attention effect was reduced when the attended and ignored stimuli were presented sequentially rather than simultaneously. In addition, the effects became very weak and inconsistent in these areas when only one of the two stimuli was located inside the receptive field. Attention thus modulated sensory responses primarily when two or more simultaneous stimuli competed for access to a neuron's receptive field. As in areas V2 and V4, attention did not modulate sensory responses in area V1 when only a single stimulus was inside the receptive field. In addition, the small receptive fields in this area precluded the simultaneous presentation of attended and ignored stimuli inside the receptive field, making it impossible to determine whether attention effects would be observed under the conditions that led to consistent attention effects in areas V2 and V4. Spontaneous firing rates in areas V2 and V4 were found to be 30-40% higher when attention was directed inside rather than outside the receptive field, even when no stimulus was present in the receptive field. Spontaneous firing rates also varied according to the particular location within the receptive field that was attended. These shifts in spontaneous activity may reflect a top-down signal that biases responses in favor of stimuli at the attended location.","DOI":"10.1152/jn.1997.77.1.24","ISSN":"0022-3077","note":"PMID: 9120566","journalAbbreviation":"J. Neurophysiol.","language":"eng","author":[{"family":"Luck","given":"S. J."},{"family":"Chelazzi","given":"L."},{"family":"Hillyard","given":"S. A."},{"family":"Desimone","given":"R."}],"issued":{"date-parts":[["1997",1]]}}},{"id":220,"uris":["http://zotero.org/groups/318634/items/SFSCLQ5S"],"uri":["http://zotero.org/groups/318634/items/SFSCLQ5S"],"itemData":{"id":220,"type":"article-journal","title":"Attention increases sensitivity of V4 neurons","container-title":"Neuron","page":"703-714","volume":"26","issue":"3","source":"PubMed","abstract":"When attention is directed to a location in the visual field, sensitivity to stimuli at that location is increased. At the neuronal level, this could arise either through a multiplicative increase in firing rate or through an increase in the effective strength of the stimulus. To test conflicting predictions of these alternative models, we recorded responses of V4 neurons to stimuli across a range of luminance contrasts and measured the change in response when monkeys attended to them in order to discriminate a target stimulus from nontargets. Attention caused greater increases in response at low contrast than at high contrast, consistent with an increase in effective stimulus strength. On average, attention increased the effective contrast of the attended stimulus by a factor of 1.51, an increase of 51% of its physical contrast.","ISSN":"0896-6273","note":"PMID: 10896165","journalAbbreviation":"Neuron","language":"eng","author":[{"family":"Reynolds","given":"J. H."},{"family":"Pasternak","given":"T."},{"family":"Desimone","given":"R."}],"issued":{"date-parts":[["2000",6]]}}},{"id":225,"uris":["http://zotero.org/groups/318634/items/NDXH4M3Y"],"uri":["http://zotero.org/groups/318634/items/NDXH4M3Y"],"itemData":{"id":225,"type":"article-journal","title":"Attentional modulation strength in cortical area MT depends on stimulus contrast","container-title":"Neuron","page":"365-370","volume":"35","issue":"2","source":"PubMed","abstract":"The attentional modulation of sensory information processing in the visual system is the result of top-down influences, which can cause a multiplicative modulation of the firing rate of sensory neurons in extrastriate visual cortex, an effect reminiscent of the bottom-up effect of changes in stimulus contrast. This similarity could simply reflect the multiplicity of both effects. But, here we show that in direction-selective neurons in monkey visual cortical area MT, stimulus and attentional effects share a nonlinearity. These neurons show higher response gain for both contrast and attentional changes for intermediate contrast stimuli and smaller gain for low- and high-contrast stimuli. This finding suggests a close relationship between the neural encoding of stimulus contrast and the modulating effect of the behavioral relevance of stimuli.","ISSN":"0896-6273","note":"PMID: 12160753","journalAbbreviation":"Neuron","language":"eng","author":[{"family":"Martínez-Trujillo","given":"Julio"},{"family":"Treue","given":"Stefan"}],"issued":{"date-parts":[["2002",7,18]]}}},{"id":218,"uris":["http://zotero.org/groups/318634/items/46KPA7FT"],"uri":["http://zotero.org/groups/318634/items/46KPA7FT"],"itemData":{"id":218,"type":"article-journal","title":"Feature-based attentional modulations in the absence of direct visual stimulation","container-title":"Neuron","page":"301-312","volume":"55","issue":"2","source":"PubMed","abstract":"When faced with a crowded visual scene, observers must selectively attend to behaviorally relevant objects to avoid sensory overload. Often this selection process is guided by prior knowledge of a target-defining feature (e.g., the color red when looking for an apple), which enhances the firing rate of visual neurons that are selective for the attended feature. Here, we used functional magnetic resonance imaging and a pattern classification algorithm to predict the attentional state of human observers as they monitored a visual feature (one of two directions of motion). We find that feature-specific attention effects spread across the visual field-even to regions of the scene that do not contain a stimulus. This spread of feature-based attention to empty regions of space may facilitate the perception of behaviorally relevant stimuli by increasing sensitivity to attended features at all locations in the visual field.","DOI":"10.1016/j.neuron.2007.06.015","ISSN":"0896-6273","note":"PMID: 17640530","journalAbbreviation":"Neuron","language":"eng","author":[{"family":"Serences","given":"John T."},{"family":"Boynton","given":"Geoffrey M."}],"issued":{"date-parts":[["2007",7,19]]}}}],"schema":"https://github.com/citation-style-language/schema/raw/master/csl-citation.json"}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color w:val="0D0D0D" w:themeColor="text1" w:themeTint="F2"/>
          <w:lang w:val="en-US"/>
        </w:rPr>
        <w:t>Duncan and Humphreys, 1989; Corbetta et al., 1990; Luck et al., 1997; Reynolds et al., 2000; Martínez-Trujillo and Treue, 2002; Serences and Boynton, 2007)</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rendering participants faster and more sensitive when detecting changes at attended locations, or in pre-cued features </w:t>
      </w:r>
      <w:r w:rsidRPr="00225AB0">
        <w:rPr>
          <w:rFonts w:ascii="Arial" w:hAnsi="Arial" w:cs="Arial"/>
          <w:color w:val="0D0D0D" w:themeColor="text1" w:themeTint="F2"/>
        </w:rPr>
        <w:fldChar w:fldCharType="begin"/>
      </w:r>
      <w:r w:rsidR="00EA4EBE">
        <w:rPr>
          <w:rFonts w:ascii="Arial" w:hAnsi="Arial" w:cs="Arial"/>
          <w:color w:val="0D0D0D" w:themeColor="text1" w:themeTint="F2"/>
        </w:rPr>
        <w:instrText xml:space="preserve"> ADDIN ZOTERO_ITEM CSL_CITATION {"citationID":"YpcHVUhq","properties":{"formattedCitation":"(Maurizio Corbetta et al., 1990; M. I. Posner et al., 1980; Michael I. Posner &amp; Cohen, 1984)","plainCitation":"(Maurizio Corbetta et al., 1990; M. I. Posner et al., 1980; Michael I. Posner &amp; Cohen, 1984)","noteIndex":0},"citationItems":[{"id":234,"uris":["http://zotero.org/groups/318634/items/D52XHSBT"],"uri":["http://zotero.org/groups/318634/items/D52XHSBT"],"itemData":{"id":234,"type":"article-journal","title":"Attention and the detection of signals","container-title":"Journal of Experimental Psychology","page":"160-174","volume":"109","issue":"2","source":"PubMed","abstract":"Detection of a visual signal requires information to reach a system capable of eliciting arbitrary responses required by the experimenter. Detection latencies are reduced when subjects receive a cue that indicates where in the visual field the signal will occur. This shift in efficiency appears to be due to an alignment (orienting) of the central attentional system with the pathways to be activated by the visual input. It would also be possible to describe these results as being due to a reduced criterion at the expected target position. However, this description ignores important constraints about the way in which expectancy improves performance. First, when subjects are cued on each trial, they show stronger expectancy effects than when a probable position is held constant for a block, indicating the active nature of the expectancy. Second, while information on spatial position improves performance, information on the form of the stimulus does not. Third, expectancy may lead to improvements in latency without a reduction in accuracy. Fourth, there appears to be little ability to lower the criterion at two positions that are not spatially contiguous. A framework involving the employment of a limited-capacity attentional mechanism seems to capture these constraints better than the more general language of criterion setting. Using this framework, we find that attention shifts are not closely related to the saccadic eye movement system. For luminance detection the retina appears to be equipotential with respect to attention shifts, since costs to unexpected stimuli are similar whether foveal or peripheral. These results appear to provide an important model system for the study of the relationship between attention and the structure of the visual system.","ISSN":"0022-1015","note":"PMID: 7381367","journalAbbreviation":"J Exp Psychol","language":"eng","author":[{"family":"Posner","given":"M. I."},{"family":"Snyder","given":"C. R."},{"family":"Davidson","given":"B. J."}],"issued":{"date-parts":[["1980",6]]}}},{"id":549,"uris":["http://zotero.org/groups/318634/items/6T3647Y5"],"uri":["http://zotero.org/groups/318634/items/6T3647Y5"],"itemData":{"id":549,"type":"article-journal","title":"Components of visual orienting","container-title":"Attention and performance X: Control of language processes","page":"531-556","volume":"32","author":[{"family":"Posner","given":"Michael I."},{"family":"Cohen","given":"Yoav"}],"issued":{"date-parts":[["1984"]]}}},{"id":128,"uris":["http://zotero.org/groups/318634/items/LHCBHC5P"],"uri":["http://zotero.org/groups/318634/items/LHCBHC5P"],"itemData":{"id":128,"type":"article-journal","title":"Attentional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E."}],"issued":{"date-parts":[["1990"]]}}}],"schema":"https://github.com/citation-style-language/schema/raw/master/csl-citation.json"} </w:instrText>
      </w:r>
      <w:r w:rsidRPr="00225AB0">
        <w:rPr>
          <w:rFonts w:ascii="Arial" w:hAnsi="Arial" w:cs="Arial"/>
          <w:color w:val="0D0D0D" w:themeColor="text1" w:themeTint="F2"/>
        </w:rPr>
        <w:fldChar w:fldCharType="separate"/>
      </w:r>
      <w:r w:rsidR="00EA4EBE">
        <w:rPr>
          <w:rFonts w:ascii="Arial" w:hAnsi="Arial" w:cs="Arial"/>
        </w:rPr>
        <w:t>(Corbetta et al., 1990; Posner et al., 1980; Posner &amp; Cohen, 1984)</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p>
    <w:p w14:paraId="13AEDE64" w14:textId="77777777" w:rsidR="00FA62F7" w:rsidRPr="00225AB0" w:rsidRDefault="00FA62F7" w:rsidP="00FA62F7">
      <w:pPr>
        <w:spacing w:line="480" w:lineRule="auto"/>
        <w:rPr>
          <w:rFonts w:ascii="Arial" w:hAnsi="Arial" w:cs="Arial"/>
          <w:color w:val="0D0D0D" w:themeColor="text1" w:themeTint="F2"/>
        </w:rPr>
      </w:pPr>
    </w:p>
    <w:p w14:paraId="369669A9" w14:textId="08AB28DF"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Given many early visual areas have been identified as having intrinsic preferences for particular features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{"citationID":"jjzidV3Y","properties":{"formattedCitation":"(Kanwisher, 2010)","plainCitation":"(Kanwisher, 2010)","dontUpdate":true,"noteIndex":0},"citationItems":[{"id":94,"uris":["http://zotero.org/groups/318634/items/7L6B9YZR"],"uri":["http://zotero.org/groups/318634/items/7L6B9YZR"],"itemData":{"id":94,"type":"article-journal","title":"Functional specificity in the human brain: A window into the functional architecture of the mind","container-title":"Proceedings of the National Academy of Sciences","page":"11163-11170","volume":"107","issue":"25","source":"www.pnas.org","abstract":"Is the human mind/brain composed of a set of highly specialized components, each carrying out a specific aspect of human cognition, or is it more of a general-purpose device, in which each component participates in a wide variety of cognitive processes? For nearly two centuries, proponents of specialized organs or modules of the mind and brain—from the phrenologists to Broca to Chomsky and Fodor—have jousted with the proponents of distributed cognitive and neural processing—from Flourens to Lashley to McClelland and Rumelhart. I argue here that research using functional MRI is beginning to answer this long-standing question with new clarity and precision by indicating that at least a few specific aspects of cognition are implemented in brain regions that are highly specialized for that process alone. Cortical regions have been identified that are specialized not only for basic sensory and motor processes but also for the high-level perceptual analysis of faces, places, bodies, visually presented words, and even for the very abstract cognitive function of thinking about another person’s thoughts. I further consider the as-yet unanswered questions of how much of the mind and brain are made up of these functionally specialized components and how they arise developmentally.","DOI":"10.1073/pnas.1005062107","ISSN":"0027-8424, 1091-6490","note":"PMID: 20484679","title-short":"Functional specificity in the human brain","journalAbbreviation":"PNAS","language":"en","author":[{"family":"Kanwisher","given":"Nancy"}],"issued":{"date-parts":[["2010",6,22]]}}}],"schema":"https://github.com/citation-style-language/schema/raw/master/csl-citation.json"}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rPr>
        <w:t>(for a review, see Kanwisher, 2010)</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it might seem obvious that attention towards those features would modulate activity </w:t>
      </w:r>
      <w:r w:rsidR="00D44AC6">
        <w:rPr>
          <w:rFonts w:ascii="Arial" w:hAnsi="Arial" w:cs="Arial"/>
          <w:color w:val="0D0D0D" w:themeColor="text1" w:themeTint="F2"/>
        </w:rPr>
        <w:t>in</w:t>
      </w:r>
      <w:r w:rsidRPr="00225AB0">
        <w:rPr>
          <w:rFonts w:ascii="Arial" w:hAnsi="Arial" w:cs="Arial"/>
          <w:color w:val="0D0D0D" w:themeColor="text1" w:themeTint="F2"/>
        </w:rPr>
        <w:t xml:space="preserve"> entire areas. For areas with high specificity for a single feature, this does seem to be the case</w:t>
      </w:r>
      <w:r w:rsidR="001A4E42">
        <w:rPr>
          <w:rFonts w:ascii="Arial" w:hAnsi="Arial" w:cs="Arial"/>
          <w:color w:val="0D0D0D" w:themeColor="text1" w:themeTint="F2"/>
        </w:rPr>
        <w:t xml:space="preserve">. </w:t>
      </w:r>
      <w:r w:rsidRPr="00225AB0">
        <w:rPr>
          <w:rFonts w:ascii="Arial" w:hAnsi="Arial" w:cs="Arial"/>
          <w:color w:val="0D0D0D" w:themeColor="text1" w:themeTint="F2"/>
        </w:rPr>
        <w:t xml:space="preserve">fMRI BOLD responses in </w:t>
      </w:r>
      <w:proofErr w:type="spellStart"/>
      <w:r w:rsidRPr="00225AB0">
        <w:rPr>
          <w:rFonts w:ascii="Arial" w:hAnsi="Arial" w:cs="Arial"/>
          <w:color w:val="0D0D0D" w:themeColor="text1" w:themeTint="F2"/>
        </w:rPr>
        <w:t>hMT</w:t>
      </w:r>
      <w:proofErr w:type="spellEnd"/>
      <w:r w:rsidRPr="00225AB0">
        <w:rPr>
          <w:rFonts w:ascii="Arial" w:hAnsi="Arial" w:cs="Arial"/>
          <w:color w:val="0D0D0D" w:themeColor="text1" w:themeTint="F2"/>
        </w:rPr>
        <w:t xml:space="preserve">+ increase during attention toward a visual motion stimulus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{"citationID":"ZNI30RSA","properties":{"formattedCitation":"(A. C. Huk et al., 2001; O\\uc0\\u8217{}Craven et al., 1997)","plainCitation":"(A. C. Huk et al., 2001; O’Craven et al., 1997)","dontUpdate":true,"noteIndex":0},"citationItems":[{"id":236,"uris":["http://zotero.org/groups/318634/items/S9QHXYQ5"],"uri":["http://zotero.org/groups/318634/items/S9QHXYQ5"],"itemData":{"id":236,"type":"article-journal","title":"Voluntary attention modulates fMRI activity in human MT–MST","container-title":"Neuron","page":"591–598","volume":"18","issue":"4","source":"Google Scholar","author":[{"family":"O'Craven","given":"Kathleen M."},{"family":"Rosen","given":"Bruce R."},{"family":"Kwong","given":"Kenneth K."},{"family":"Treisman","given":"Anne"},{"family":"Savoy","given":"Robert L."}],"issued":{"date-parts":[["1997"]]}}},{"id":206,"uris":["http://zotero.org/groups/318634/items/INQRMTNQ"],"uri":["http://zotero.org/groups/318634/items/INQRMTNQ"],"itemData":{"id":206,"type":"article-journal","title":"Neuronal basis of the motion aftereffect reconsidered","container-title":"Neuron","page":"161-172","volume":"32","issue":"1","source":"PubMed","abstract":"Several fMRI studies have reported MT+ response increases correlated with perception of the motion aftereffect (MAE). However, attention can strongly affect MT+ responses, and subjects may naturally attend more to the MAE than control trials without MAE. We found that requiring subjects to attend to motion on both MAE and control trials produced equal levels of MT+ response, suggesting that attention may have confounded the interpretation of previous experiments; in our data, attention accounts for the entire effect. After eliminating this confound, we observed that direction-selective motion adaptation produced a direction-selective imbalance in MT+ responses (and earlier visual areas), and yielded a corresponding asymmetry in speed discrimination thresholds. These findings provide physiological evidence that population level response imbalances underlie the MAE, and quantify the relative proportions of direction-selective neurons across human visual areas.","ISSN":"0896-6273","note":"PMID: 11604147","journalAbbreviation":"Neuron","language":"eng","author":[{"family":"Huk","given":"A. C."},{"family":"Ress","given":"D."},{"family":"Heeger","given":"D. J."}],"issued":{"date-parts":[["2001",10,11]]}}}],"schema":"https://github.com/citation-style-language/schema/raw/master/csl-citation.json"}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lang w:val="en-US"/>
        </w:rPr>
        <w:t>(Huk et al., 2001; O’Craven et al., 1997)</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Increased hV4 activation has been identified in response to attention to chromatic stimuli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{"citationID":"f86euKUw","properties":{"formattedCitation":"(Chawla et al., 1999; T. Liu et al., 2003; Schoenfeld et al., 2007)","plainCitation":"(Chawla et al., 1999; T. Liu et al., 2003; Schoenfeld et al., 2007)","dontUpdate":true,"noteIndex":0},"citationItems":[{"id":274,"uris":["http://zotero.org/groups/318634/items/UGNVMIQK"],"uri":["http://zotero.org/groups/318634/items/UGNVMIQK"],"itemData":{"id":274,"type":"article-journal","title":"The physiological basis of attentional modulation in extrastriate visual areas","container-title":"Nature neuroscience","page":"671","volume":"2","issue":"7","source":"Google Scholar","author":[{"family":"Chawla","given":"D."},{"family":"Rees","given":"G."},{"family":"Friston","given":"K. J."}],"issued":{"date-parts":[["1999"]]}}},{"id":122,"uris":["http://zotero.org/groups/318634/items/GGZJ7S7P"],"uri":["http://zotero.org/groups/318634/items/GGZJ7S7P"],"itemData":{"id":122,"type":"article-journal","title":"Cortical mechanisms of feature-based attentional control","container-title":"Cerebral cortex","page":"1334–1343","volume":"13","issue":"12","source":"Google Scholar","author":[{"family":"Liu","given":"Taosheng"},{"literal":"Scott D. Slotnick"},{"family":"Serences","given":"John T."},{"family":"Yantis","given":"Steven"}],"issued":{"date-parts":[["2003"]]}}},{"id":232,"uris":["http://zotero.org/groups/318634/items/QH8DZ4BM"],"uri":["http://zotero.org/groups/318634/items/QH8DZ4BM"],"itemData":{"id":232,"type":"article-journal","title":"Spatio-temporal analysis of feature-based attention","container-title":"Cerebral Cortex","page":"2468–2477","volume":"17","issue":"10","source":"Google Scholar","author":[{"family":"Schoenfeld","given":"Mircea Ariel"},{"family":"Hopf","given":"Jens-Max"},{"family":"Martinez","given":"A."},{"family":"Mai","given":"H. M."},{"family":"Sattler","given":"Christine"},{"family":"Gasde","given":"A."},{"family":"Heinze","given":"Hans-Jochen"},{"family":"Hillyard","given":"S. A."}],"issued":{"date-parts":[["2007"]]}}}],"schema":"https://github.com/citation-style-language/schema/raw/master/csl-citation.json"}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w:t>
      </w:r>
      <w:r w:rsidR="001A4E42" w:rsidRPr="004D3640">
        <w:rPr>
          <w:rFonts w:ascii="Arial" w:hAnsi="Arial" w:cs="Arial"/>
        </w:rPr>
        <w:t>Corbetta et al., 1991</w:t>
      </w:r>
      <w:r w:rsidR="001A4E42">
        <w:rPr>
          <w:rFonts w:ascii="Arial" w:hAnsi="Arial" w:cs="Arial"/>
        </w:rPr>
        <w:t xml:space="preserve">, </w:t>
      </w:r>
      <w:r w:rsidR="00967B1F" w:rsidRPr="00225AB0">
        <w:rPr>
          <w:rFonts w:ascii="Arial" w:hAnsi="Arial" w:cs="Arial"/>
        </w:rPr>
        <w:t>Chawla et al., 1999;</w:t>
      </w:r>
      <w:r w:rsidR="009B4445">
        <w:rPr>
          <w:rFonts w:ascii="Arial" w:hAnsi="Arial" w:cs="Arial"/>
        </w:rPr>
        <w:t xml:space="preserve"> </w:t>
      </w:r>
      <w:r w:rsidR="00967B1F" w:rsidRPr="00225AB0">
        <w:rPr>
          <w:rFonts w:ascii="Arial" w:hAnsi="Arial" w:cs="Arial"/>
        </w:rPr>
        <w:t>Liu et al., 2003; Schoenfeld et al., 2007)</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and attention to faces and places can drive robust responses in the fusiform face area (FFA) and parahippocampal place areas (PPA) respectively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{"citationID":"fZjK4Mx0","properties":{"formattedCitation":"(O\\uc0\\u8217{}Craven et al., 1999)","plainCitation":"(O’Craven et al., 1999)","noteIndex":0},"citationItems":[{"id":55,"uris":["http://zotero.org/groups/318634/items/2ECPCIJB"],"uri":["http://zotero.org/groups/318634/items/2ECPCIJB"],"itemData":{"id":55,"type":"article-journal","title":"fMRI evidence for objects as the units of attentional selection","container-title":"Nature","page":"584","volume":"401","issue":"6753","source":"www.nature.com","abstract":"Contrasting theories of visual attention emphasize selection by spatial location1, visual features (such as motion or colour)2,3,4 or whole objects5,6. Here we used functional magnetic resonance imaging (fMRI) to test key predictions of the object-based theory, which proposes that pre-attentive mechanisms segment the visual array into discrete objects, groups, or surfaces, which serve as targets for visual attention5,6,7,8,9. Subjects viewed stimuli consisting of a face transparently superimposed on a house, with one moving and the other stationary. In different conditions, subjects attended to the face, the house or the motion. The magnetic resonance signal from each subject's fusiform face area10, parahippocampal place area11 and area MT/MST12 provided a measure of the processing of faces, houses and visual motion, respectively. Although all three attributes occupied the same location, attending to one attribute of an object (such as the motion of a moving face) enhanced the neural representation not only of that attribute but also of the other attribute of the same object (for example, the face), compared with attributes of the other object (for example, the house). These results cannot be explained by models in which attention selects locations or features, and provide physiological evidence that whole objects are selected even when only one visual attribute is relevant.","DOI":"10.1038/44134","ISSN":"1476-4687","language":"En","author":[{"family":"O'Craven","given":"Kathleen M."},{"family":"Downing","given":"Paul E."},{"family":"Kanwisher","given":"Nancy"}],"issued":{"date-parts":[["1999",10]]}}}],"schema":"https://github.com/citation-style-language/schema/raw/master/csl-citation.json"}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rPr>
        <w:t>(O’Craven et al., 1999)</w:t>
      </w:r>
      <w:r w:rsidRPr="00225AB0">
        <w:rPr>
          <w:rFonts w:ascii="Arial" w:hAnsi="Arial" w:cs="Arial"/>
          <w:color w:val="0D0D0D" w:themeColor="text1" w:themeTint="F2"/>
        </w:rPr>
        <w:fldChar w:fldCharType="end"/>
      </w:r>
      <w:r w:rsidRPr="00225AB0">
        <w:rPr>
          <w:rFonts w:ascii="Arial" w:hAnsi="Arial" w:cs="Arial"/>
          <w:color w:val="0D0D0D" w:themeColor="text1" w:themeTint="F2"/>
        </w:rPr>
        <w:t>.</w:t>
      </w:r>
    </w:p>
    <w:p w14:paraId="43604F3D" w14:textId="77777777" w:rsidR="00FA62F7" w:rsidRPr="00225AB0" w:rsidRDefault="00FA62F7" w:rsidP="00FA62F7">
      <w:pPr>
        <w:spacing w:line="480" w:lineRule="auto"/>
        <w:rPr>
          <w:rFonts w:ascii="Arial" w:hAnsi="Arial" w:cs="Arial"/>
          <w:color w:val="0D0D0D" w:themeColor="text1" w:themeTint="F2"/>
        </w:rPr>
      </w:pPr>
    </w:p>
    <w:p w14:paraId="60CC9EA4" w14:textId="5E636C20"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lastRenderedPageBreak/>
        <w:t xml:space="preserve">However, recent work suggests </w:t>
      </w:r>
      <w:r w:rsidR="00EC6445">
        <w:rPr>
          <w:rFonts w:ascii="Arial" w:hAnsi="Arial" w:cs="Arial"/>
          <w:color w:val="0D0D0D" w:themeColor="text1" w:themeTint="F2"/>
        </w:rPr>
        <w:t xml:space="preserve">that </w:t>
      </w:r>
      <w:r w:rsidRPr="00225AB0">
        <w:rPr>
          <w:rFonts w:ascii="Arial" w:hAnsi="Arial" w:cs="Arial"/>
          <w:color w:val="0D0D0D" w:themeColor="text1" w:themeTint="F2"/>
        </w:rPr>
        <w:t xml:space="preserve">attention acts primarily through a gain control mechanism, whose primary effect is to alter inter-neuronal noise correlation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{"citationID":"jALittA0","properties":{"formattedCitation":"(Cohen &amp; Maunsell, 2009)","plainCitation":"(Cohen &amp; Maunsell, 2009)","noteIndex":0},"citationItems":[{"id":51,"uris":["http://zotero.org/groups/318634/items/BPRLRXJJ"],"uri":["http://zotero.org/groups/318634/items/BPRLRXJJ"],"itemData":{"id":51,"type":"article-journal","title":"Attention improves performance primarily by reducing interneuronal correlations","container-title":"Nature Neuroscience","page":"1594-1600","volume":"12","issue":"12","source":"www.nature.com","abstract":"Visual attention can improve behavioral performance by allowing observers to focus on the important information in a complex scene. Attention also typically increases the firing rates of cortical sensory neurons. Rate increases improve the signal-to-noise ratio of individual neurons, and this improvement has been assumed to underlie attention-related improvements in behavior. We recorded dozens of neurons simultaneously in visual area V4 and found that changes in single neurons accounted for only a small fraction of the improvement in the sensitivity of the population. Instead, over 80% of the attentional improvement in the population signal was caused by decreases in the correlations between the trial-to-trial fluctuations in the responses of pairs of neurons. These results suggest that the representation of sensory information in populations of neurons and the way attention affects the sensitivity of the population may only be understood by considering the interactions between neurons.","DOI":"10.1038/nn.2439","ISSN":"1546-1726","language":"en","author":[{"family":"Cohen","given":"Marlene R."},{"family":"Maunsell","given":"John H. R."}],"issued":{"date-parts":[["2009",12]]}}}],"schema":"https://github.com/citation-style-language/schema/raw/master/csl-citation.json"}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(Cohen &amp; Maunsell, 2009)</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If this is correct, we might expect to see relatively little attentionally-driven change in overall activity in earlier visual areas. While individual neuronal sub-populations might become more or less correlated in their trial-to-trial responses, normalization would serve to reduce any long-term response differences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{"citationID":"symsRJFu","properties":{"formattedCitation":"(Verhoef &amp; Maunsell, 2017)","plainCitation":"(Verhoef &amp; Maunsell, 2017)","noteIndex":0},"citationItems":[{"id":49,"uris":["http://zotero.org/groups/318634/items/SQQMR2JU"],"uri":["http://zotero.org/groups/318634/items/SQQMR2JU"],"itemData":{"id":49,"type":"article-journal","title":"Attention-related changes in correlated neuronal activity arise from normalization mechanisms","container-title":"Nature Neuroscience","page":"969-977","volume":"20","issue":"7","source":"www.nature.com","abstract":"Attention is believed to enhance perception by altering the activity-level correlations between pairs of neurons. How attention changes neuronal activity correlations is unknown. Using multielectrodes in monkey visual cortex, we measured spike-count correlations when single or multiple stimuli were presented and when stimuli were attended or unattended. When stimuli were unattended, adding a suppressive, nonpreferred stimulus beside a preferred stimulus increased spike-count correlations between pairs of similarly tuned neurons but decreased spike-count correlations between pairs of oppositely tuned neurons. A stochastic normalization model containing populations of oppositely tuned, mutually suppressive neurons explains these changes and also explains why attention decreased or increased correlations: as an indirect consequence of attention-related changes in the inputs to normalization mechanisms. Our findings link normalization mechanisms to correlated neuronal activity and attention, showing that normalization mechanisms shape response correlations and that these correlations change when attention biases normalization mechanisms.","DOI":"10.1038/nn.4572","ISSN":"1546-1726","language":"en","author":[{"family":"Verhoef","given":"Bram-Ernst"},{"family":"Maunsell","given":"John H. R."}],"issued":{"date-parts":[["2017",7]]}}}],"schema":"https://github.com/citation-style-language/schema/raw/master/csl-citation.json"}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(Verhoef &amp; Maunsell, 2017)</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p>
    <w:p w14:paraId="24EEDE5C" w14:textId="77777777" w:rsidR="00FA62F7" w:rsidRPr="00225AB0" w:rsidRDefault="00FA62F7" w:rsidP="00FA62F7">
      <w:pPr>
        <w:spacing w:line="480" w:lineRule="auto"/>
        <w:rPr>
          <w:rFonts w:ascii="Arial" w:hAnsi="Arial" w:cs="Arial"/>
          <w:color w:val="0D0D0D" w:themeColor="text1" w:themeTint="F2"/>
        </w:rPr>
      </w:pPr>
    </w:p>
    <w:p w14:paraId="7AD52EA8" w14:textId="481BAA1B"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This hypothesis is consistent with two findings from the literature: first that early visual areas exhibit relatively little overall change in activity when subjects switch low-level visual tasks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{"citationID":"eLLKwvRG","properties":{"formattedCitation":"(Brouwer &amp; Heeger, 2009; Kamitani &amp; Tong, 2006; K. Seymour, Clifford, Logothetis, &amp; Bartels, 2009, 2010; Song, Rowland, McPeek, &amp; Wade, 2011)","plainCitation":"(Brouwer &amp; Heeger, 2009; Kamitani &amp; Tong, 2006; K. Seymour, Clifford, Logothetis, &amp; Bartels, 2009, 2010; Song, Rowland, McPeek, &amp; Wade, 2011)","dontUpdate":true,"noteIndex":0},"citationItems":[{"id":252,"uris":["http://zotero.org/groups/318634/items/9NXTJXD4"],"uri":["http://zotero.org/groups/318634/items/9NXTJXD4"],"itemData":{"id":252,"type":"article-journal","title":"Decoding seen and attended motion directions from activity in the human visual cortex","container-title":"Current biology: CB","page":"1096-1102","volume":"16","issue":"11","source":"PubMed","abstract":"Functional neuroimaging has successfully identified brain areas that show greater responses to visual motion and adapted responses to repeated motion directions. However, such methods have been thought to lack the sensitivity and spatial resolution to isolate direction-selective responses to individual motion stimuli. Here, we used functional magnetic resonance imaging (fMRI) and pattern classification methods to show that ensemble activity patterns in human visual cortex contain robust direction-selective information, from which it is possible to decode seen and attended motion directions. Ensemble activity in areas V1-V4 and MT+/V5 allowed us to decode which of eight possible motion directions the subject was viewing on individual stimulus blocks. Moreover, ensemble activity evoked by single motion directions could effectively predict which of two overlapping motion directions was the focus of the subject's attention and presumably dominant in perception. Our results indicate that feature-based attention can bias direction-selective population activity in multiple visual areas, including MT+/V5 and early visual areas (V1-V4), consistent with gain-modulation models of feature-based attention and theories of early attentional selection. Our approach for measuring ensemble direction selectivity may provide new opportunities to investigate relationships between attentional selection, conscious perception, and direction-selective responses in the human brain.","DOI":"10.1016/j.cub.2006.04.003","ISSN":"0960-9822","note":"PMID: 16753563\nPMCID: PMC1635016","journalAbbreviation":"Curr. Biol.","language":"eng","author":[{"family":"Kamitani","given":"Yukiyasu"},{"family":"Tong","given":"Frank"}],"issued":{"date-parts":[["2006",6,6]]}}},{"id":275,"uris":["http://zotero.org/groups/318634/items/QTDSBB45"],"uri":["http://zotero.org/groups/318634/items/QTDSBB45"],"itemData":{"id":275,"type":"article-journal","title":"Decoding and reconstructing color from responses in human visual cortex","container-title":"The Journal of Neuroscience: The Official Journal of the Society for Neuroscience","page":"13992-14003","volume":"29","issue":"44","source":"PubMed","abstract":"How is color represented by spatially distributed patterns of activity in visual cortex? Functional magnetic resonance imaging responses to several stimulus colors were analyzed with multivariate techniques: conventional pattern classification, a forward model of idealized color tuning, and principal component analysis (PCA). Stimulus color was accurately decoded from activity in V1, V2, V3, V4, and VO1 but not LO1, LO2, V3A/B, or MT+. The conventional classifier and forward model yielded similar accuracies, but the forward model (unlike the classifier) also reliably reconstructed novel stimulus colors not used to train (specify parameters of) the model. The mean responses, averaged across voxels in each visual area, were not reliably distinguishable for the different stimulus colors. Hence, each stimulus color was associated with a unique spatially distributed pattern of activity, presumably reflecting the color selectivity of cortical neurons. Using PCA, a color space was derived from the covariation, across voxels, in the responses to different colors. In V4 and VO1, the first two principal component scores (main source of variation) of the responses revealed a progression through perceptual color space, with perceptually similar colors evoking the most similar responses. This was not the case for any of the other visual cortical areas, including V1, although decoding was most accurate in V1. This dissociation implies a transformation from the color representation in V1 to reflect perceptual color space in V4 and VO1.","DOI":"10.1523/JNEUROSCI.3577-09.2009","ISSN":"1529-2401","note":"PMID: 19890009\nPMCID: PMC2799419","journalAbbreviation":"J. Neurosci.","language":"eng","author":[{"family":"Brouwer","given":"Gijs Joost"},{"family":"Heeger","given":"David J."}],"issued":{"date-parts":[["2009",11,4]]}}},{"id":48,"uris":["http://zotero.org/groups/318634/items/J687G4R4"],"uri":["http://zotero.org/groups/318634/items/J687G4R4"],"itemData":{"id":48,"type":"article-journal","title":"The coding of color, motion, and their conjunction in the human visual cortex","container-title":"Current biology: CB","page":"177-183","volume":"19","issue":"3","source":"PubMed","abstract":"BACKGROUND: Color and motion serve as the prime examples of segregated processing in the visual brain, giving rise to the question how color-motion conjunctions are represented. This problem is also known as the \"binding problem.\"\nRESULTS: Human volunteers viewed visual displays containing colored dots rotating around the center. The dots could be red or green and rotate clockwise or counterclockwise, leading to four possible stimulus displays. Superimposed pairs of such stimuli provided two additional displays, each containing both colors and both directions of motion but differing in their feature conjunctions. We applied multivariate classifiers to voxel-activation patterns obtained while subjects viewed such displays. Our analyses confirm the presence of directional-motion information across visual cortex and provide evidence of hue coding in all early visual areas except V5/MT(+). Within each cortical area, information on color and motion appeared to be coded in distinct sets of voxels. Furthermore, our results demonstrate the explicit representation of feature conjunctions in the primary visual cortex and beyond.\nCONCLUSIONS: The results show that conjunctions can be decoded from spatial activation patterns already in V1, indicating an explicit coding of conjunctions at early stages of visual processing. Our findings raise the possibility that the solution of what has been taken as the prime example of the binding problem engages neural mechanisms as early as V1.","DOI":"10.1016/j.cub.2008.12.050","ISSN":"1879-0445","note":"PMID: 19185496","journalAbbreviation":"Curr. Biol.","language":"eng","author":[{"family":"Seymour","given":"Kiley"},{"family":"Clifford","given":"Colin W. G."},{"family":"Logothetis","given":"Nikos K."},{"family":"Bartels","given":"Andreas"}],"issued":{"date-parts":[["2009",2,10]]}}},{"id":230,"uris":["http://zotero.org/groups/318634/items/JVCLYXC6"],"uri":["http://zotero.org/groups/318634/items/JVCLYXC6"],"itemData":{"id":230,"type":"article-journal","title":"Coding and binding of color and form in visual cortex","container-title":"Cerebral Cortex (New York, N.Y.: 1991)","page":"1946-1954","volume":"20","issue":"8","source":"PubMed","abstract":"The processing of color and form is largely segregated within the visual brain. But there is also evidence to suggest that these features are coded in combination early in visual processing. Here, we combined high-resolution functional magnetic resonance imaging (fMRI) together with multivariate pattern classification to examine where in the visual cortex specific color form \"conjunctions\" are represented. Human subjects viewed visual displays containing colored spiral patterns. The spiral patterns could be red or green, and oriented either clockwise or counterclockwise, leading to 4 possible stimulus configurations. Two additional displays combined 2 of the above single color-form pairings, leading to double conjunctions. We applied linear classifiers to voxel activation patterns obtained while subjects viewed such displays. Our findings not only show that color and form information is coded across retinotopically defined visual areas, but also that the 2 double-conjunction stimuli can be distinguished. The voxels most informative about conjunctions were distinct from those most informative about color or form alone. Our results indicate that conjunctions of form and color may be coded by separate functional units as early as primary visual cortex. The results of this study have implications for theories concerning the segregation and binding of color and form information.","DOI":"10.1093/cercor/bhp265","ISSN":"1460-2199","note":"PMID: 20019147","journalAbbreviation":"Cereb. Cortex","language":"eng","author":[{"family":"Seymour","given":"Kiley"},{"family":"Clifford","given":"Colin W. G."},{"family":"Logothetis","given":"Nikos K."},{"family":"Bartels","given":"Andreas"}],"issued":{"date-parts":[["2010",8]]}}},{"id":216,"uris":["http://zotero.org/groups/318634/items/ET7SY4ZM"],"uri":["http://zotero.org/groups/318634/items/ET7SY4ZM"],"itemData":{"id":216,"type":"article-journal","title":"Attentional Modulation of fMRI Responses in Human V1 Is Consistent with Distinct Spatial Maps for Chromatically Defined Orientation and Contrast","container-title":"Journal of Neuroscience","page":"12900-12905","volume":"31","issue":"36","source":"www.jneurosci.org","abstract":"Attending to different stimulus features such as contrast or orientation can change the pattern of neural responses in human V1 measured with fMRI. We show that these pattern changes are much more distinct for colored stimuli than for achromatic stimuli. This is evidence for a classic model of V1 functional architecture in which chromatic contrast and orientation are coded in spatially distinct neural domains, while achromatic contrast and orientation are not.","DOI":"10.1523/JNEUROSCI.0580-11.2011","ISSN":"0270-6474, 1529-2401","note":"PMID: 21900568","journalAbbreviation":"J. Neurosci.","language":"en","author":[{"family":"Song","given":"Joo-Hyun"},{"family":"Rowland","given":"Jess"},{"family":"McPeek","given":"Robert M."},{"family":"Wade","given":"Alex R."}],"issued":{"date-parts":[["2011",9,7]]}}}],"schema":"https://github.com/citation-style-language/schema/raw/master/csl-citation.json"}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(Brouwer &amp; Heeger, 2009; Kamitani &amp; Tong, 2006;</w:t>
      </w:r>
      <w:r w:rsidR="009B4445">
        <w:rPr>
          <w:rFonts w:ascii="Arial" w:hAnsi="Arial" w:cs="Arial"/>
        </w:rPr>
        <w:t xml:space="preserve"> S</w:t>
      </w:r>
      <w:r w:rsidR="00967B1F" w:rsidRPr="00225AB0">
        <w:rPr>
          <w:rFonts w:ascii="Arial" w:hAnsi="Arial" w:cs="Arial"/>
        </w:rPr>
        <w:t>eymour, Clifford, Logothetis, &amp; Bartels, 2009, 2010; Song, Rowland, McPeek, &amp; Wade, 2011)</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Secondly, that attentional modulation is detected readily by EEG, which is sensitive to the level of correlated noise in large-scale neuronal populations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{"citationID":"tRDdF7yb","properties":{"formattedCitation":"(Di Russo, Mart\\uc0\\u237{}nez, &amp; Hillyard, 2003; Martinez et al., 2001; Verghese et al., 2012; Wang &amp; Wade, 2011)","plainCitation":"(Di Russo, Martínez, &amp; Hillyard, 2003; Martinez et al., 2001; Verghese et al., 2012; Wang &amp; Wade, 2011)","noteIndex":0},"citationItems":[{"id":64,"uris":["http://zotero.org/groups/318634/items/YFIDKZSU"],"uri":["http://zotero.org/groups/318634/items/YFIDKZSU"],"itemData":{"id":64,"type":"article-journal","title":"Putting spatial attention on the map: timing and localization of stimulus selection processes in striate and extrastriate visual areas","container-title":"Vision Research","page":"1437-1457","volume":"41","issue":"10-11","abstract":"This study investigated the cortical mechanisms of visual-spatial attention in a task where subjects discriminated patterned targets in one visual field at a time. Functional magnetic imaging (fMRI) was used to localize attention-related changes in neural activity within specific retinotopic visual areas, while recordings of event-related brain potentials (ERPs) traced the time course of these changes. The earliest ERP components enhanced by attention occurred in the time range 70-130 ms post-stimulus onset, and their neural generators were estimated to lie in the dorsal and ventral extrastriate visual cortex. The anatomical areas activated by attention corresponded closely to those showing increased neural activity during passive visual stimulation. Enhanced neural activity was also observed in the primary visual cortex (area V1) with fMRI, but ERP recordings indicated that the initial sensory response at 50-90 ms that was localized to V1 was not modulated by attention. Modeling of ERP sources over an extended time range showed that attended stimuli elicited a long-latency (160-260 ms) negativity that was attributed to the dipolar source in area V1. This finding is in line with hypotheses that V1 activity may be modulated by delayed, reentrant feedback from higher visual areas.","ISSN":"0042-6989 (Print) 0042-6989 (Linking)","language":"eng","author":[{"family":"Martinez","given":"A"},{"family":"DiRusso","given":"F"},{"family":"Anllo-Vento","given":"L"},{"family":"Sereno","given":"M I"},{"family":"Buxton","given":"R B"},{"family":"Hillyard","given":"S A"}],"issued":{"date-parts":[["2001"]]}}},{"id":271,"uris":["http://zotero.org/groups/318634/items/NK9JUBEV"],"uri":["http://zotero.org/groups/318634/items/NK9JUBEV"],"itemData":{"id":271,"type":"article-journal","title":"Source analysis of event-related cortical activity during visuo-spatial attention","container-title":"Cerebral Cortex (New York, N.Y.: 1991)","page":"486-499","volume":"13","issue":"5","source":"PubMed","abstract":"Recordings of event-related potentials (ERPs) were combined with structural and functional magnetic resonance imaging (fMRI) to study the spatio-temporal patterns of cortical activity that underlie visual-spatial attention. Small checkerboard stimuli were flashed in random order to the four quadrants of the visual field at a rapid rate while subjects attended to stimuli in one quadrant at a time. Attended stimuli elicited enhanced ERP components in the latency range 80-200 ms that were co-localized with fMRI activations in multiple extrastriate cortical regions. The earliest ERP component (C1 at 50-90 ms) was unaffected by attention and was localized by dipole modeling to calcarine cortex. A longer latency deflection in the 150-225 ms range that was accounted for by this same calcarine source, however, did show consistent modulation with attention. This late attention effect, like the C1, inverted in polarity for upper versus lower field stimuli, consistent with a neural generator in primary visual cortex (area V1). These results provide support to current hypotheses that spatial attention in humans is associated with delayed feedback to area V1 from higher extrastriate areas that may have the function of improving the salience of stimuli at attended locations.","ISSN":"1047-3211","note":"PMID: 12679295","journalAbbreviation":"Cereb. Cortex","language":"eng","author":[{"family":"Di Russo","given":"Francesco"},{"family":"Martínez","given":"Antigona"},{"family":"Hillyard","given":"Steven A."}],"issued":{"date-parts":[["2003",5]]}}},{"id":289,"uris":["http://zotero.org/groups/318634/items/QSDMITNB"],"uri":["http://zotero.org/groups/318634/items/QSDMITNB"],"itemData":{"id":289,"type":"article-journal","title":"Differential attentional modulation of cortical responses to S-cone and luminance stimuli","container-title":"Journal of Vision","page":"1-15","volume":"11","issue":"6","abstract":"Neural signals driven by short-wave-sensitive (S) cones are, to a large degree, anatomically and functionally separate from the achromatic luminance pathway until at least one synapse into V1. Attentional mechanisms that act at an anatomically early stage in V1 may, therefore, affect S-cone and luminance signals differently. Here, we used a steady-state visually evoked potential (SSVEP) paradigm combined with electrical source imaging to study the effects of contrast and attention on neural responses to both chromatic S-cone isolating and achromatic stimuli in five human visual areas including V1. The responses to these gratings were affected very differently by changes in contrast and attention. Increasing cone contrast increased the response amplitude for both types of stimulus. For the S-cone-defined stimuli, we also observed a systematic decrease in the response phase of the first harmonic with increasing stimulus contrast, but there was no corresponding change in phase for the first harmonic of the luminance probes. Attending to the contrast of the grating increased the amplitude and phase of luminance-driven responses but had no effect on S-cone-driven responses. We conclude that while attentional modulation can be observed in achromatic pathways as early as V1, attention may not affect SSVEP signals generated by S-cone stimuli.","DOI":"10.1167/11.6.1","ISSN":"1534-7362 (Electronic) 1534-7362 (Linking)","language":"eng","author":[{"family":"Wang","given":"J"},{"family":"Wade","given":"A R"}],"issued":{"date-parts":[["2011"]]}}},{"id":123,"uris":["http://zotero.org/groups/318634/items/9BJZM9LR"],"uri":["http://zotero.org/groups/318634/items/9BJZM9LR"],"itemData":{"id":123,"type":"article-journal","title":"Attention selects informative neural populations in human V1","container-title":"Journal of Neuroscience","page":"16379–16390","volume":"32","issue":"46","source":"Google Scholar","author":[{"family":"Verghese","given":"Preeti"},{"family":"Kim","given":"Yee-Joon"},{"family":"Wade","given":"Alex R."}],"issued":{"date-parts":[["2012"]]}}}],"schema":"https://github.com/citation-style-language/schema/raw/master/csl-citation.json"}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lang w:val="en-US"/>
        </w:rPr>
        <w:t>(Di Russo, Martínez, &amp; Hillyard, 2003; Martinez et al., 2001; Verghese et al., 2012; Wang &amp; Wade, 2011)</w:t>
      </w:r>
      <w:r w:rsidRPr="00225AB0">
        <w:rPr>
          <w:rFonts w:ascii="Arial" w:hAnsi="Arial" w:cs="Arial"/>
          <w:color w:val="0D0D0D" w:themeColor="text1" w:themeTint="F2"/>
        </w:rPr>
        <w:fldChar w:fldCharType="end"/>
      </w:r>
      <w:r w:rsidRPr="00225AB0">
        <w:rPr>
          <w:rFonts w:ascii="Arial" w:hAnsi="Arial" w:cs="Arial"/>
          <w:color w:val="0D0D0D" w:themeColor="text1" w:themeTint="F2"/>
        </w:rPr>
        <w:t>.</w:t>
      </w:r>
    </w:p>
    <w:p w14:paraId="5F6BEEEC" w14:textId="77777777" w:rsidR="00FA62F7" w:rsidRPr="00225AB0" w:rsidRDefault="00FA62F7" w:rsidP="00FA62F7">
      <w:pPr>
        <w:spacing w:line="480" w:lineRule="auto"/>
        <w:rPr>
          <w:rFonts w:ascii="Arial" w:hAnsi="Arial" w:cs="Arial"/>
          <w:color w:val="0D0D0D" w:themeColor="text1" w:themeTint="F2"/>
        </w:rPr>
      </w:pPr>
    </w:p>
    <w:p w14:paraId="4AB9B25E" w14:textId="294BACA2"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If attention drives changes in the relative sensitivity and noise correlation of neuronal sub-populations, it should alter activity at the level of feature maps </w:t>
      </w:r>
      <w:r w:rsidR="00D44AC6">
        <w:rPr>
          <w:rFonts w:ascii="Arial" w:hAnsi="Arial" w:cs="Arial"/>
          <w:color w:val="0D0D0D" w:themeColor="text1" w:themeTint="F2"/>
        </w:rPr>
        <w:t>in</w:t>
      </w:r>
      <w:r w:rsidRPr="00225AB0">
        <w:rPr>
          <w:rFonts w:ascii="Arial" w:hAnsi="Arial" w:cs="Arial"/>
          <w:color w:val="0D0D0D" w:themeColor="text1" w:themeTint="F2"/>
        </w:rPr>
        <w:t xml:space="preserve"> each visual area. These changes might be detected using multivariate fMRI methods, which in the past, have enabled researchers to decode participants’ featural attentional focus from fMRI BOLD activity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{"citationID":"WKBaBpbL","properties":{"formattedCitation":"(Brouwer &amp; Heeger, 2009; Freeman et al., 2011; Kamitani &amp; Tong, 2005, 2006; Song et al., 2011)","plainCitation":"(Brouwer &amp; Heeger, 2009; Freeman et al., 2011; Kamitani &amp; Tong, 2005, 2006; Song et al., 2011)","noteIndex":0},"citationItems":[{"id":242,"uris":["http://zotero.org/groups/318634/items/TYYPVP7C"],"uri":["http://zotero.org/groups/318634/items/TYYPVP7C"],"itemData":{"id":242,"type":"article-journal","title":"Decoding the visual and subjective contents of the human brain","container-title":"Nature Neuroscience","page":"679-685","volume":"8","issue":"5","source":"PubMed","abstract":"The potential for human neuroimaging to read out the detailed contents of a person's mental state has yet to be fully explored. We investigated whether the perception of edge orientation, a fundamental visual feature, can be decoded from human brain activity measured with functional magnetic resonance imaging (fMRI). Using statistical algorithms to classify brain states, we found that ensemble fMRI signals in early visual areas could reliably predict on individual trials which of eight stimulus orientations the subject was seeing. Moreover, when subjects had to attend to one of two overlapping orthogonal gratings, feature-based attention strongly biased ensemble activity toward the attended orientation. These results demonstrate that fMRI activity patterns in early visual areas, including primary visual cortex (V1), contain detailed orientation information that can reliably predict subjective perception. Our approach provides a framework for the readout of fine-tuned representations in the human brain and their subjective contents.","DOI":"10.1038/nn1444","ISSN":"1097-6256","note":"PMID: 15852014\nPMCID: PMC1808230","journalAbbreviation":"Nat. Neurosci.","language":"eng","author":[{"family":"Kamitani","given":"Yukiyasu"},{"family":"Tong","given":"Frank"}],"issued":{"date-parts":[["2005",5]]}}},{"id":252,"uris":["http://zotero.org/groups/318634/items/9NXTJXD4"],"uri":["http://zotero.org/groups/318634/items/9NXTJXD4"],"itemData":{"id":252,"type":"article-journal","title":"Decoding seen and attended motion directions from activity in the human visual cortex","container-title":"Current biology: CB","page":"1096-1102","volume":"16","issue":"11","source":"PubMed","abstract":"Functional neuroimaging has successfully identified brain areas that show greater responses to visual motion and adapted responses to repeated motion directions. However, such methods have been thought to lack the sensitivity and spatial resolution to isolate direction-selective responses to individual motion stimuli. Here, we used functional magnetic resonance imaging (fMRI) and pattern classification methods to show that ensemble activity patterns in human visual cortex contain robust direction-selective information, from which it is possible to decode seen and attended motion directions. Ensemble activity in areas V1-V4 and MT+/V5 allowed us to decode which of eight possible motion directions the subject was viewing on individual stimulus blocks. Moreover, ensemble activity evoked by single motion directions could effectively predict which of two overlapping motion directions was the focus of the subject's attention and presumably dominant in perception. Our results indicate that feature-based attention can bias direction-selective population activity in multiple visual areas, including MT+/V5 and early visual areas (V1-V4), consistent with gain-modulation models of feature-based attention and theories of early attentional selection. Our approach for measuring ensemble direction selectivity may provide new opportunities to investigate relationships between attentional selection, conscious perception, and direction-selective responses in the human brain.","DOI":"10.1016/j.cub.2006.04.003","ISSN":"0960-9822","note":"PMID: 16753563\nPMCID: PMC1635016","journalAbbreviation":"Curr. Biol.","language":"eng","author":[{"family":"Kamitani","given":"Yukiyasu"},{"family":"Tong","given":"Frank"}],"issued":{"date-parts":[["2006",6,6]]}}},{"id":275,"uris":["http://zotero.org/groups/318634/items/QTDSBB45"],"uri":["http://zotero.org/groups/318634/items/QTDSBB45"],"itemData":{"id":275,"type":"article-journal","title":"Decoding and reconstructing color from responses in human visual cortex","container-title":"The Journal of Neuroscience: The Official Journal of the Society for Neuroscience","page":"13992-14003","volume":"29","issue":"44","source":"PubMed","abstract":"How is color represented by spatially distributed patterns of activity in visual cortex? Functional magnetic resonance imaging responses to several stimulus colors were analyzed with multivariate techniques: conventional pattern classification, a forward model of idealized color tuning, and principal component analysis (PCA). Stimulus color was accurately decoded from activity in V1, V2, V3, V4, and VO1 but not LO1, LO2, V3A/B, or MT+. The conventional classifier and forward model yielded similar accuracies, but the forward model (unlike the classifier) also reliably reconstructed novel stimulus colors not used to train (specify parameters of) the model. The mean responses, averaged across voxels in each visual area, were not reliably distinguishable for the different stimulus colors. Hence, each stimulus color was associated with a unique spatially distributed pattern of activity, presumably reflecting the color selectivity of cortical neurons. Using PCA, a color space was derived from the covariation, across voxels, in the responses to different colors. In V4 and VO1, the first two principal component scores (main source of variation) of the responses revealed a progression through perceptual color space, with perceptually similar colors evoking the most similar responses. This was not the case for any of the other visual cortical areas, including V1, although decoding was most accurate in V1. This dissociation implies a transformation from the color representation in V1 to reflect perceptual color space in V4 and VO1.","DOI":"10.1523/JNEUROSCI.3577-09.2009","ISSN":"1529-2401","note":"PMID: 19890009\nPMCID: PMC2799419","journalAbbreviation":"J. Neurosci.","language":"eng","author":[{"family":"Brouwer","given":"Gijs Joost"},{"family":"Heeger","given":"David J."}],"issued":{"date-parts":[["2009",11,4]]}}},{"id":247,"uris":["http://zotero.org/groups/318634/items/87VKZCHG"],"uri":["http://zotero.org/groups/318634/items/87VKZCHG"],"itemData":{"id":247,"type":"article-journal","title":"Orientation decoding depends on maps, not columns","container-title":"Journal of Neuroscience","page":"4792–4804","volume":"31","issue":"13","source":"Google Scholar","author":[{"family":"Freeman","given":"Jeremy"},{"family":"Brouwer","given":"Gijs Joost"},{"family":"Heeger","given":"David J."},{"family":"Merriam","given":"Elisha P."}],"issued":{"date-parts":[["2011"]]}}},{"id":216,"uris":["http://zotero.org/groups/318634/items/ET7SY4ZM"],"uri":["http://zotero.org/groups/318634/items/ET7SY4ZM"],"itemData":{"id":216,"type":"article-journal","title":"Attentional Modulation of fMRI Responses in Human V1 Is Consistent with Distinct Spatial Maps for Chromatically Defined Orientation and Contrast","container-title":"Journal of Neuroscience","page":"12900-12905","volume":"31","issue":"36","source":"www.jneurosci.org","abstract":"Attending to different stimulus features such as contrast or orientation can change the pattern of neural responses in human V1 measured with fMRI. We show that these pattern changes are much more distinct for colored stimuli than for achromatic stimuli. This is evidence for a classic model of V1 functional architecture in which chromatic contrast and orientation are coded in spatially distinct neural domains, while achromatic contrast and orientation are not.","DOI":"10.1523/JNEUROSCI.0580-11.2011","ISSN":"0270-6474, 1529-2401","note":"PMID: 21900568","journalAbbreviation":"J. Neurosci.","language":"en","author":[{"family":"Song","given":"Joo-Hyun"},{"family":"Rowland","given":"Jess"},{"family":"McPeek","given":"Robert M."},{"family":"Wade","given":"Alex R."}],"issued":{"date-parts":[["2011",9,7]]}}}],"schema":"https://github.com/citation-style-language/schema/raw/master/csl-citation.json"}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(Brouwer &amp; Heeger, 2009; Freeman et al., 2011; Kamitani &amp; Tong, 2005, 2006; Song et al., 2011)</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p>
    <w:p w14:paraId="50FCA9CC" w14:textId="77777777" w:rsidR="00FA62F7" w:rsidRPr="00225AB0" w:rsidRDefault="00FA62F7" w:rsidP="00FA62F7">
      <w:pPr>
        <w:spacing w:line="480" w:lineRule="auto"/>
        <w:rPr>
          <w:rFonts w:ascii="Arial" w:hAnsi="Arial" w:cs="Arial"/>
          <w:color w:val="0D0D0D" w:themeColor="text1" w:themeTint="F2"/>
        </w:rPr>
      </w:pPr>
    </w:p>
    <w:p w14:paraId="080AD54C" w14:textId="572A907A"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lastRenderedPageBreak/>
        <w:t xml:space="preserve">Finally, attention can change patterns of activity </w:t>
      </w:r>
      <w:r w:rsidRPr="00225AB0">
        <w:rPr>
          <w:rFonts w:ascii="Arial" w:hAnsi="Arial" w:cs="Arial"/>
          <w:i/>
          <w:color w:val="0D0D0D" w:themeColor="text1" w:themeTint="F2"/>
        </w:rPr>
        <w:t>across</w:t>
      </w:r>
      <w:r w:rsidRPr="00225AB0">
        <w:rPr>
          <w:rFonts w:ascii="Arial" w:hAnsi="Arial" w:cs="Arial"/>
          <w:color w:val="0D0D0D" w:themeColor="text1" w:themeTint="F2"/>
        </w:rPr>
        <w:t xml:space="preserve"> areas as well as </w:t>
      </w:r>
      <w:r w:rsidR="00D44AC6">
        <w:rPr>
          <w:rFonts w:ascii="Arial" w:hAnsi="Arial" w:cs="Arial"/>
          <w:color w:val="0D0D0D" w:themeColor="text1" w:themeTint="F2"/>
        </w:rPr>
        <w:t>in</w:t>
      </w:r>
      <w:r w:rsidRPr="00225AB0">
        <w:rPr>
          <w:rFonts w:ascii="Arial" w:hAnsi="Arial" w:cs="Arial"/>
          <w:color w:val="0D0D0D" w:themeColor="text1" w:themeTint="F2"/>
        </w:rPr>
        <w:t xml:space="preserve"> a single region. Such changes could act at the level of input or output layers, altering not just the sensitivity of neurons performing within-area computations, but also the type of information passed between areas. In support of this hypothesis, it is clear that brain-wide changes in functional connectivity are associated with different mental states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{"citationID":"4f05bBHy","properties":{"formattedCitation":"(Fox et al., 2005; Greicius, Krasnow, Reiss, &amp; Menon, 2003)","plainCitation":"(Fox et al., 2005; Greicius, Krasnow, Reiss, &amp; Menon, 2003)","noteIndex":0},"citationItems":[{"id":57,"uris":["http://zotero.org/groups/318634/items/7L3ZKRUR"],"uri":["http://zotero.org/groups/318634/items/7L3ZKRUR"],"itemData":{"id":57,"type":"article-journal","title":"Functional connectivity in the resting brain: A network analysis of the default mode hypothesis","container-title":"Proceedings of the National Academy of Sciences","page":"253-258","volume":"100","issue":"1","source":"www.pnas.org","abstract":"Functional imaging studies have shown that certain brain regions, including posterior cingulate cortex (PCC) and ventral anterior cingulate cortex (vACC), consistently show greater activity during resting states than during cognitive tasks. This finding led to the hypothesis that these regions constitute a network supporting a default mode of brain function. In this study, we investigate three questions pertaining to this hypothesis: Does such a resting-state network exist in the human brain? Is it modulated during simple sensory processing? How is it modulated during cognitive processing? To address these questions, we defined PCC and vACC regions that showed decreased activity during a cognitive (working memory) task, then examined their functional connectivity during rest. PCC was strongly coupled with vACC and several other brain regions implicated in the default mode network. Next, we examined the functional connectivity of PCC and vACC during a visual processing task and show that the resultant connectivity maps are virtually identical to those obtained during rest. Last, we defined three lateral prefrontal regions showing increased activity during the cognitive task and examined their resting-state connectivity. We report significant inverse correlations among all three lateral prefrontal regions and PCC, suggesting a mechanism for attenuation of default mode network activity during cognitive processing. This study constitutes, to our knowledge, the first resting-state connectivity analysis of the default mode and provides the most compelling evidence to date for the existence of a cohesive default mode network. Our findings also provide insight into how this network is modulated by task demands and what functions it might subserve.","DOI":"10.1073/pnas.0135058100","ISSN":"0027-8424, 1091-6490","note":"PMID: 12506194","title-short":"Functional connectivity in the resting brain","journalAbbreviation":"PNAS","language":"en","author":[{"family":"Greicius","given":"Michael D."},{"family":"Krasnow","given":"Ben"},{"family":"Reiss","given":"Allan L."},{"family":"Menon","given":"Vinod"}],"issued":{"date-parts":[["2003",1,7]]}}},{"id":259,"uris":["http://zotero.org/groups/318634/items/7YHBRPAP"],"uri":["http://zotero.org/groups/318634/items/7YHBRPAP"],"itemData":{"id":259,"type":"article-journal","title":"The human brain is intrinsically organized into dynamic, anticorrelated functional networks","container-title":"Proceedings of the National Academy of Sciences of the United States of America","page":"9673-9678","volume":"102","issue":"27","source":"PubMed","abstract":"During performance of attention-demanding cognitive tasks, certain regions of the brain routinely increase activity, whereas others routinely decrease activity. In this study, we investigate the extent to which this task-related dichotomy is represented intrinsically in the resting human brain through examination of spontaneous fluctuations in the functional MRI blood oxygen level-dependent signal. We identify two diametrically opposed, widely distributed brain networks on the basis of both spontaneous correlations within each network and anticorrelations between networks. One network consists of regions routinely exhibiting task-related activations and the other of regions routinely exhibiting task-related deactivations. This intrinsic organization, featuring the presence of anticorrelated networks in the absence of overt task performance, provides a critical context in which to understand brain function. We suggest that both task-driven neuronal responses and behavior are reflections of this dynamic, ongoing, functional organization of the brain.","DOI":"10.1073/pnas.0504136102","ISSN":"0027-8424","note":"PMID: 15976020\nPMCID: PMC1157105","journalAbbreviation":"Proc. Natl. Acad. Sci. U.S.A.","language":"eng","author":[{"family":"Fox","given":"Michael D."},{"family":"Snyder","given":"Abraham Z."},{"family":"Vincent","given":"Justin L."},{"family":"Corbetta","given":"Maurizio"},{"family":"Van Essen","given":"David C."},{"family":"Raichle","given":"Marcus E."}],"issued":{"date-parts":[["2005",7,5]]}}}],"schema":"https://github.com/citation-style-language/schema/raw/master/csl-citation.json"}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(Fox et al., 2005; Greicius, Krasnow, Reiss, &amp; Menon, 2003)</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and, more specifically, previous literature has identified attentionally-driven changes in patterns of connectivity amongst regions involved in visuospatial tasks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{"citationID":"ADzCVEuV","properties":{"formattedCitation":"(Fox et al., 2005; Gao, Gilmore, Alcauter, &amp; Lin, 2013; Spadone et al., 2015)","plainCitation":"(Fox et al., 2005; Gao, Gilmore, Alcauter, &amp; Lin, 2013; Spadone et al., 2015)","noteIndex":0},"citationItems":[{"id":259,"uris":["http://zotero.org/groups/318634/items/7YHBRPAP"],"uri":["http://zotero.org/groups/318634/items/7YHBRPAP"],"itemData":{"id":259,"type":"article-journal","title":"The human brain is intrinsically organized into dynamic, anticorrelated functional networks","container-title":"Proceedings of the National Academy of Sciences of the United States of America","page":"9673-9678","volume":"102","issue":"27","source":"PubMed","abstract":"During performance of attention-demanding cognitive tasks, certain regions of the brain routinely increase activity, whereas others routinely decrease activity. In this study, we investigate the extent to which this task-related dichotomy is represented intrinsically in the resting human brain through examination of spontaneous fluctuations in the functional MRI blood oxygen level-dependent signal. We identify two diametrically opposed, widely distributed brain networks on the basis of both spontaneous correlations within each network and anticorrelations between networks. One network consists of regions routinely exhibiting task-related activations and the other of regions routinely exhibiting task-related deactivations. This intrinsic organization, featuring the presence of anticorrelated networks in the absence of overt task performance, provides a critical context in which to understand brain function. We suggest that both task-driven neuronal responses and behavior are reflections of this dynamic, ongoing, functional organization of the brain.","DOI":"10.1073/pnas.0504136102","ISSN":"0027-8424","note":"PMID: 15976020\nPMCID: PMC1157105","journalAbbreviation":"Proc. Natl. Acad. Sci. U.S.A.","language":"eng","author":[{"family":"Fox","given":"Michael D."},{"family":"Snyder","given":"Abraham Z."},{"family":"Vincent","given":"Justin L."},{"family":"Corbetta","given":"Maurizio"},{"family":"Van Essen","given":"David C."},{"family":"Raichle","given":"Marcus E."}],"issued":{"date-parts":[["2005",7,5]]}}},{"id":58,"uris":["http://zotero.org/groups/318634/items/PQ8ZYU4B"],"uri":["http://zotero.org/groups/318634/items/PQ8ZYU4B"],"itemData":{"id":58,"type":"article-journal","title":"The dynamic reorganization of the default-mode network during a visual classification task","container-title":"Frontiers in Systems Neuroscience","page":"34","volume":"7","source":"PubMed","abstract":"The default-mode network has been reported to possess highly versatile and even contrasting functions but the underlying functioning mechanism remains elusive. In this study, we adopt a dynamic view of the default-mode network structure and hypothesize that it could potentially contribute to different functions through dynamic reorganization of its functional interaction pattern within and across network boundaries depending on the ongoing cognitive demands. With four experimental states and functional connectivity magnetic resonance imaging, we show that the default-mode network is characterized by within-network desynchronization and outside-network integration during the transition from resting state to an external visual classification task. Such default-mode network dynamics are task demand-dependent and return to their original status during the transition back to resting. More importantly, the degree of within-network desynchronization correlates with reaction time while the level of outside-network integration indexes task performance accuracy. Overall, the documented dynamic reorganization of the default-mode network and the significant behavioral correlations provide new insights into our understanding of this complex network and emphasize a dynamic view in future studies of its functioning mechanism.","DOI":"10.3389/fnsys.2013.00034","ISSN":"1662-5137","note":"PMID: 23898240\nPMCID: PMC3724047","journalAbbreviation":"Front Syst Neurosci","language":"eng","author":[{"family":"Gao","given":"Wei"},{"family":"Gilmore","given":"John H."},{"family":"Alcauter","given":"Sarael"},{"family":"Lin","given":"Weili"}],"issued":{"date-parts":[["2013"]]}}},{"id":210,"uris":["http://zotero.org/groups/318634/items/BKT428JT"],"uri":["http://zotero.org/groups/318634/items/BKT428JT"],"itemData":{"id":210,"type":"article-journal","title":"Dynamic reorganization of human resting-state networks during visuospatial attention","container-title":"Proceedings of the National Academy of Sciences of the United States of America","page":"8112-8117","volume":"112","issue":"26","source":"PubMed","abstract":"Fundamental problems in neuroscience today are understanding how patterns of ongoing spontaneous activity are modified by task performance and whether/how these intrinsic patterns influence task-evoked activation and behavior. We examined these questions by comparing instantaneous functional connectivity (IFC) and directed functional connectivity (DFC) changes in two networks that are strongly correlated and segregated at rest: the visual (VIS) network and the dorsal attention network (DAN). We measured how IFC and DFC during a visuospatial attention task, which requires dynamic selective rerouting of visual information across hemispheres, changed with respect to rest. During the attention task, the two networks remained relatively segregated, and their general pattern of within-network correlation was maintained. However, attention induced a decrease of correlation in the VIS network and an increase of the DAN→VIS IFC and DFC, especially in a top-down direction. In contrast, within the DAN, IFC was not modified by attention, whereas DFC was enhanced. Importantly, IFC modulations were behaviorally relevant. We conclude that a stable backbone of within-network functional connectivity topography remains in place when transitioning between resting wakefulness and attention selection. However, relative decrease of correlation of ongoing \"idling\" activity in visual cortex and synchronization between frontoparietal and visual cortex were behaviorally relevant, indicating that modulations of resting activity patterns are important for task performance. Higher order resting connectivity in the DAN was relatively unaffected during attention, potentially indicating a role for simultaneous ongoing activity as a \"prior\" for attention selection.","DOI":"10.1073/pnas.1415439112","ISSN":"1091-6490","note":"PMID: 26080395\nPMCID: PMC4491799","journalAbbreviation":"Proc. Natl. Acad. Sci. U.S.A.","language":"eng","author":[{"family":"Spadone","given":"Sara"},{"family":"Della Penna","given":"Stefania"},{"family":"Sestieri","given":"Carlo"},{"family":"Betti","given":"Viviana"},{"family":"Tosoni","given":"Annalisa"},{"family":"Perrucci","given":"Mauro Gianni"},{"family":"Romani","given":"Gian Luca"},{"family":"Corbetta","given":"Maurizio"}],"issued":{"date-parts":[["2015",6,30]]}}}],"schema":"https://github.com/citation-style-language/schema/raw/master/csl-citation.json"}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(Fox et al., 2005; Gao, Gilmore, Alcauter, &amp; Lin, 2013; Spadone et al., 2015)</w:t>
      </w:r>
      <w:r w:rsidRPr="00225AB0">
        <w:rPr>
          <w:rFonts w:ascii="Arial" w:hAnsi="Arial" w:cs="Arial"/>
          <w:color w:val="0D0D0D" w:themeColor="text1" w:themeTint="F2"/>
        </w:rPr>
        <w:fldChar w:fldCharType="end"/>
      </w:r>
      <w:r w:rsidRPr="00225AB0">
        <w:rPr>
          <w:rFonts w:ascii="Arial" w:hAnsi="Arial" w:cs="Arial"/>
          <w:color w:val="0D0D0D" w:themeColor="text1" w:themeTint="F2"/>
        </w:rPr>
        <w:t>.</w:t>
      </w:r>
    </w:p>
    <w:p w14:paraId="22A58473" w14:textId="77777777" w:rsidR="00FA62F7" w:rsidRPr="00225AB0" w:rsidRDefault="00FA62F7" w:rsidP="00FA62F7">
      <w:pPr>
        <w:spacing w:line="480" w:lineRule="auto"/>
        <w:rPr>
          <w:rFonts w:ascii="Arial" w:hAnsi="Arial" w:cs="Arial"/>
          <w:color w:val="0D0D0D" w:themeColor="text1" w:themeTint="F2"/>
        </w:rPr>
      </w:pPr>
    </w:p>
    <w:p w14:paraId="42D70053" w14:textId="16F5790E"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Here, we looked for evidence of differential </w:t>
      </w:r>
      <w:r w:rsidRPr="00225AB0">
        <w:rPr>
          <w:rFonts w:ascii="Arial" w:hAnsi="Arial" w:cs="Arial"/>
          <w:i/>
          <w:color w:val="0D0D0D" w:themeColor="text1" w:themeTint="F2"/>
        </w:rPr>
        <w:t xml:space="preserve">univariate </w:t>
      </w:r>
      <w:r w:rsidRPr="00225AB0">
        <w:rPr>
          <w:rFonts w:ascii="Arial" w:hAnsi="Arial" w:cs="Arial"/>
          <w:color w:val="0D0D0D" w:themeColor="text1" w:themeTint="F2"/>
        </w:rPr>
        <w:t>or</w:t>
      </w:r>
      <w:r w:rsidRPr="00225AB0">
        <w:rPr>
          <w:rFonts w:ascii="Arial" w:hAnsi="Arial" w:cs="Arial"/>
          <w:i/>
          <w:color w:val="0D0D0D" w:themeColor="text1" w:themeTint="F2"/>
        </w:rPr>
        <w:t xml:space="preserve"> multivariate </w:t>
      </w:r>
      <w:r w:rsidRPr="00225AB0">
        <w:rPr>
          <w:rFonts w:ascii="Arial" w:hAnsi="Arial" w:cs="Arial"/>
          <w:color w:val="0D0D0D" w:themeColor="text1" w:themeTint="F2"/>
        </w:rPr>
        <w:t>responses</w:t>
      </w:r>
      <w:r w:rsidRPr="00225AB0">
        <w:rPr>
          <w:rFonts w:ascii="Arial" w:hAnsi="Arial" w:cs="Arial"/>
          <w:i/>
          <w:color w:val="0D0D0D" w:themeColor="text1" w:themeTint="F2"/>
        </w:rPr>
        <w:t xml:space="preserve"> </w:t>
      </w:r>
      <w:r w:rsidRPr="00225AB0">
        <w:rPr>
          <w:rFonts w:ascii="Arial" w:hAnsi="Arial" w:cs="Arial"/>
          <w:color w:val="0D0D0D" w:themeColor="text1" w:themeTint="F2"/>
        </w:rPr>
        <w:t xml:space="preserve">in regions-of-interest (ROIs) </w:t>
      </w:r>
      <w:r w:rsidR="00D44AC6">
        <w:rPr>
          <w:rFonts w:ascii="Arial" w:hAnsi="Arial" w:cs="Arial"/>
          <w:color w:val="0D0D0D" w:themeColor="text1" w:themeTint="F2"/>
        </w:rPr>
        <w:t>in</w:t>
      </w:r>
      <w:r w:rsidRPr="00225AB0">
        <w:rPr>
          <w:rFonts w:ascii="Arial" w:hAnsi="Arial" w:cs="Arial"/>
          <w:color w:val="0D0D0D" w:themeColor="text1" w:themeTint="F2"/>
        </w:rPr>
        <w:t xml:space="preserve"> the visual cortex, as well as differences in inter-areal</w:t>
      </w:r>
      <w:r w:rsidRPr="00225AB0">
        <w:rPr>
          <w:rFonts w:ascii="Arial" w:hAnsi="Arial" w:cs="Arial"/>
          <w:i/>
          <w:color w:val="0D0D0D" w:themeColor="text1" w:themeTint="F2"/>
        </w:rPr>
        <w:t xml:space="preserve"> connectivity</w:t>
      </w:r>
      <w:r w:rsidRPr="00225AB0">
        <w:rPr>
          <w:rFonts w:ascii="Arial" w:hAnsi="Arial" w:cs="Arial"/>
          <w:color w:val="0D0D0D" w:themeColor="text1" w:themeTint="F2"/>
        </w:rPr>
        <w:t xml:space="preserve">. In the multivariate case, we also asked if successful classification was driven by coarse-scale topographical maps or fine-scale voxel-level sensitivities. </w:t>
      </w:r>
    </w:p>
    <w:p w14:paraId="4D34541B" w14:textId="77777777" w:rsidR="00FA62F7" w:rsidRPr="00225AB0" w:rsidRDefault="00FA62F7" w:rsidP="00FA62F7">
      <w:pPr>
        <w:spacing w:line="480" w:lineRule="auto"/>
        <w:rPr>
          <w:rFonts w:ascii="Arial" w:hAnsi="Arial" w:cs="Arial"/>
          <w:color w:val="0D0D0D" w:themeColor="text1" w:themeTint="F2"/>
        </w:rPr>
      </w:pPr>
    </w:p>
    <w:p w14:paraId="68F43429" w14:textId="3F55368A" w:rsidR="002F4BDC"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Surprisingly, we found very few univariate differences in the regions we examined. However, voxel-level analyses revealed above-chance decoding of attentional focus in </w:t>
      </w:r>
      <w:r w:rsidRPr="00225AB0">
        <w:rPr>
          <w:rFonts w:ascii="Arial" w:hAnsi="Arial" w:cs="Arial"/>
          <w:i/>
          <w:color w:val="0D0D0D" w:themeColor="text1" w:themeTint="F2"/>
        </w:rPr>
        <w:t>all</w:t>
      </w:r>
      <w:r w:rsidRPr="00225AB0">
        <w:rPr>
          <w:rFonts w:ascii="Arial" w:hAnsi="Arial" w:cs="Arial"/>
          <w:color w:val="0D0D0D" w:themeColor="text1" w:themeTint="F2"/>
        </w:rPr>
        <w:t xml:space="preserve"> visual ROIs, with successful decoding driven by fine-grain participant-specific differences in voxel activity. Connectivity analyses revealed greater connectivity between visual regions during passive viewing than during feature-specific directed attentional focus, and these feature-specific connectivity patterns changed as a function of the ROI subset examined. </w:t>
      </w:r>
    </w:p>
    <w:p w14:paraId="539968EF" w14:textId="77777777" w:rsidR="00FA62F7" w:rsidRPr="00BB2CBE" w:rsidRDefault="00FA62F7" w:rsidP="001811CC">
      <w:pPr>
        <w:pStyle w:val="Heading2"/>
        <w:numPr>
          <w:ilvl w:val="1"/>
          <w:numId w:val="5"/>
        </w:numPr>
        <w:rPr>
          <w:rFonts w:ascii="Arial" w:hAnsi="Arial" w:cs="Arial"/>
          <w:b/>
          <w:color w:val="000000" w:themeColor="text1"/>
          <w:sz w:val="28"/>
          <w:szCs w:val="28"/>
        </w:rPr>
      </w:pPr>
      <w:bookmarkStart w:id="429" w:name="_Toc11147993"/>
      <w:bookmarkStart w:id="430" w:name="_Toc11153941"/>
      <w:bookmarkStart w:id="431" w:name="_Toc11753645"/>
      <w:bookmarkStart w:id="432" w:name="_Toc11926831"/>
      <w:bookmarkStart w:id="433" w:name="_Toc11930067"/>
      <w:bookmarkStart w:id="434" w:name="_Toc16075383"/>
      <w:bookmarkStart w:id="435" w:name="_Toc16237003"/>
      <w:r w:rsidRPr="00BB2CBE">
        <w:rPr>
          <w:rFonts w:ascii="Arial" w:hAnsi="Arial" w:cs="Arial"/>
          <w:b/>
          <w:color w:val="000000" w:themeColor="text1"/>
          <w:sz w:val="28"/>
          <w:szCs w:val="28"/>
        </w:rPr>
        <w:lastRenderedPageBreak/>
        <w:t>Methods</w:t>
      </w:r>
      <w:bookmarkEnd w:id="429"/>
      <w:bookmarkEnd w:id="430"/>
      <w:bookmarkEnd w:id="431"/>
      <w:bookmarkEnd w:id="432"/>
      <w:bookmarkEnd w:id="433"/>
      <w:bookmarkEnd w:id="434"/>
      <w:bookmarkEnd w:id="435"/>
    </w:p>
    <w:p w14:paraId="3F5B7BE1" w14:textId="77777777" w:rsidR="00BB2CBE" w:rsidRPr="00BB2CBE" w:rsidRDefault="00BB2CBE" w:rsidP="00BB2CBE"/>
    <w:p w14:paraId="33AC4586" w14:textId="77777777" w:rsidR="00FA62F7" w:rsidRDefault="00FA62F7" w:rsidP="001811CC">
      <w:pPr>
        <w:pStyle w:val="Heading3"/>
        <w:numPr>
          <w:ilvl w:val="2"/>
          <w:numId w:val="5"/>
        </w:numPr>
        <w:rPr>
          <w:rFonts w:ascii="Arial" w:hAnsi="Arial" w:cs="Arial"/>
          <w:b/>
          <w:i/>
          <w:color w:val="000000" w:themeColor="text1"/>
          <w:sz w:val="28"/>
          <w:szCs w:val="28"/>
        </w:rPr>
      </w:pPr>
      <w:bookmarkStart w:id="436" w:name="_Toc11147994"/>
      <w:bookmarkStart w:id="437" w:name="_Toc11153942"/>
      <w:bookmarkStart w:id="438" w:name="_Toc11753646"/>
      <w:bookmarkStart w:id="439" w:name="_Toc11926832"/>
      <w:bookmarkStart w:id="440" w:name="_Toc11930068"/>
      <w:bookmarkStart w:id="441" w:name="_Toc16075384"/>
      <w:bookmarkStart w:id="442" w:name="_Toc16237004"/>
      <w:r w:rsidRPr="00BB2CBE">
        <w:rPr>
          <w:rFonts w:ascii="Arial" w:hAnsi="Arial" w:cs="Arial"/>
          <w:b/>
          <w:i/>
          <w:color w:val="000000" w:themeColor="text1"/>
          <w:sz w:val="28"/>
          <w:szCs w:val="28"/>
        </w:rPr>
        <w:t>Participants</w:t>
      </w:r>
      <w:bookmarkEnd w:id="436"/>
      <w:bookmarkEnd w:id="437"/>
      <w:bookmarkEnd w:id="438"/>
      <w:bookmarkEnd w:id="439"/>
      <w:bookmarkEnd w:id="440"/>
      <w:bookmarkEnd w:id="441"/>
      <w:bookmarkEnd w:id="442"/>
    </w:p>
    <w:p w14:paraId="72F3F6E6" w14:textId="77777777" w:rsidR="00BB2CBE" w:rsidRPr="00BB2CBE" w:rsidRDefault="00BB2CBE" w:rsidP="00BB2CBE"/>
    <w:p w14:paraId="1453D1DD" w14:textId="77777777"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12 participants were recruited (8 female, mean age 25 years). All participants had normal or corrected-to-normal vision and provided informed consent. Ethical approval for the study was granted by the University of York Department of Psychology and York Neuroimaging Centre ethics boards. Participants completed two 1.5-hour scanning sessions as part of this experiment, during which we collected high resolution anatomical scans, population receptive field mapping (pRF) and attentional modulation data. </w:t>
      </w:r>
    </w:p>
    <w:p w14:paraId="6EA6CBF2" w14:textId="77777777" w:rsidR="00FA62F7" w:rsidRPr="00225AB0" w:rsidRDefault="00FA62F7" w:rsidP="00FA62F7">
      <w:pPr>
        <w:spacing w:line="480" w:lineRule="auto"/>
        <w:rPr>
          <w:rFonts w:ascii="Arial" w:hAnsi="Arial" w:cs="Arial"/>
          <w:color w:val="0D0D0D" w:themeColor="text1" w:themeTint="F2"/>
        </w:rPr>
      </w:pPr>
    </w:p>
    <w:p w14:paraId="0FEAF9C1" w14:textId="77777777" w:rsidR="00FA62F7" w:rsidRDefault="00FA62F7" w:rsidP="001811CC">
      <w:pPr>
        <w:pStyle w:val="Heading3"/>
        <w:numPr>
          <w:ilvl w:val="2"/>
          <w:numId w:val="5"/>
        </w:numPr>
        <w:rPr>
          <w:rFonts w:ascii="Arial" w:hAnsi="Arial" w:cs="Arial"/>
          <w:b/>
          <w:i/>
          <w:color w:val="000000" w:themeColor="text1"/>
          <w:sz w:val="28"/>
          <w:szCs w:val="28"/>
        </w:rPr>
      </w:pPr>
      <w:bookmarkStart w:id="443" w:name="_Toc11147995"/>
      <w:bookmarkStart w:id="444" w:name="_Toc11153943"/>
      <w:bookmarkStart w:id="445" w:name="_Toc11753647"/>
      <w:bookmarkStart w:id="446" w:name="_Toc11926833"/>
      <w:bookmarkStart w:id="447" w:name="_Toc11930069"/>
      <w:bookmarkStart w:id="448" w:name="_Toc16075385"/>
      <w:bookmarkStart w:id="449" w:name="_Toc16237005"/>
      <w:r w:rsidRPr="00BB2CBE">
        <w:rPr>
          <w:rFonts w:ascii="Arial" w:hAnsi="Arial" w:cs="Arial"/>
          <w:b/>
          <w:i/>
          <w:color w:val="000000" w:themeColor="text1"/>
          <w:sz w:val="28"/>
          <w:szCs w:val="28"/>
        </w:rPr>
        <w:t>Experimental Design</w:t>
      </w:r>
      <w:bookmarkEnd w:id="443"/>
      <w:bookmarkEnd w:id="444"/>
      <w:bookmarkEnd w:id="445"/>
      <w:bookmarkEnd w:id="446"/>
      <w:bookmarkEnd w:id="447"/>
      <w:bookmarkEnd w:id="448"/>
      <w:bookmarkEnd w:id="449"/>
    </w:p>
    <w:p w14:paraId="447C17E3" w14:textId="77777777" w:rsidR="00BB2CBE" w:rsidRPr="00BB2CBE" w:rsidRDefault="00BB2CBE" w:rsidP="00BB2CBE"/>
    <w:p w14:paraId="67AD30D6" w14:textId="77777777" w:rsidR="00FA62F7" w:rsidRDefault="00FA62F7" w:rsidP="001811CC">
      <w:pPr>
        <w:pStyle w:val="Heading4"/>
        <w:numPr>
          <w:ilvl w:val="3"/>
          <w:numId w:val="5"/>
        </w:numPr>
        <w:rPr>
          <w:rFonts w:ascii="Arial" w:hAnsi="Arial" w:cs="Arial"/>
          <w:color w:val="000000" w:themeColor="text1"/>
          <w:sz w:val="28"/>
          <w:szCs w:val="28"/>
        </w:rPr>
      </w:pPr>
      <w:bookmarkStart w:id="450" w:name="_Toc11930070"/>
      <w:bookmarkStart w:id="451" w:name="_Toc16075386"/>
      <w:r w:rsidRPr="00BB2CBE">
        <w:rPr>
          <w:rFonts w:ascii="Arial" w:hAnsi="Arial" w:cs="Arial"/>
          <w:color w:val="000000" w:themeColor="text1"/>
          <w:sz w:val="28"/>
          <w:szCs w:val="28"/>
        </w:rPr>
        <w:t>Behavioural Psychophysics</w:t>
      </w:r>
      <w:bookmarkEnd w:id="450"/>
      <w:bookmarkEnd w:id="451"/>
    </w:p>
    <w:p w14:paraId="7A37659E" w14:textId="77777777" w:rsidR="00BB2CBE" w:rsidRPr="00BB2CBE" w:rsidRDefault="00BB2CBE" w:rsidP="00BB2CBE"/>
    <w:p w14:paraId="3A426379" w14:textId="6231D4AB"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To control for difficulty and levels of attention, prior to fMRI scanning, each participant completed 1 hour of psychophysical testing, to identify their 75% correct detection thresholds for each visual feature (orientation, contrast and shape). Prior testing revealed no significant differences in difficulty (indexed by loglinear d’) or reaction time across the attentional focus conditions</w:t>
      </w:r>
      <w:r w:rsidR="009B4445" w:rsidRPr="009B4445">
        <w:rPr>
          <w:rFonts w:ascii="Arial" w:hAnsi="Arial" w:cs="Arial"/>
        </w:rPr>
        <w:t xml:space="preserve"> </w:t>
      </w:r>
      <w:r w:rsidR="00371E7B" w:rsidRPr="00371E7B">
        <w:rPr>
          <w:rFonts w:ascii="Arial" w:hAnsi="Arial" w:cs="Arial"/>
        </w:rPr>
        <w:t xml:space="preserve">F(2,22) = 0.61, </w:t>
      </w:r>
      <w:r w:rsidR="00371E7B" w:rsidRPr="00371E7B">
        <w:rPr>
          <w:rFonts w:ascii="Arial" w:hAnsi="Arial" w:cs="Arial"/>
          <w:i/>
        </w:rPr>
        <w:t xml:space="preserve">p </w:t>
      </w:r>
      <w:r w:rsidR="00371E7B" w:rsidRPr="00371E7B">
        <w:rPr>
          <w:rFonts w:ascii="Arial" w:hAnsi="Arial" w:cs="Arial"/>
        </w:rPr>
        <w:t xml:space="preserve">= 0.553, F(2,22) = 1.36, </w:t>
      </w:r>
      <w:r w:rsidR="00371E7B" w:rsidRPr="00371E7B">
        <w:rPr>
          <w:rFonts w:ascii="Arial" w:hAnsi="Arial" w:cs="Arial"/>
          <w:i/>
        </w:rPr>
        <w:t>p</w:t>
      </w:r>
      <w:r w:rsidR="00371E7B" w:rsidRPr="00371E7B">
        <w:rPr>
          <w:rFonts w:ascii="Arial" w:hAnsi="Arial" w:cs="Arial"/>
        </w:rPr>
        <w:t xml:space="preserve"> = 0.275 (no significant Bonferroni-corrected post-hoc tests</w:t>
      </w:r>
      <w:r w:rsidR="001F140E">
        <w:rPr>
          <w:rFonts w:ascii="Arial" w:hAnsi="Arial" w:cs="Arial"/>
        </w:rPr>
        <w:t>)</w:t>
      </w:r>
      <w:r w:rsidR="00371E7B" w:rsidRPr="00371E7B">
        <w:rPr>
          <w:rFonts w:ascii="Arial" w:hAnsi="Arial" w:cs="Arial"/>
        </w:rPr>
        <w:t xml:space="preserve"> respectively. This ensured task difficulty</w:t>
      </w:r>
      <w:r w:rsidR="001F140E">
        <w:rPr>
          <w:rFonts w:ascii="Arial" w:hAnsi="Arial" w:cs="Arial"/>
        </w:rPr>
        <w:t>, and associated attentional effort</w:t>
      </w:r>
      <w:r w:rsidR="002A134D">
        <w:rPr>
          <w:rFonts w:ascii="Arial" w:hAnsi="Arial" w:cs="Arial"/>
        </w:rPr>
        <w:t xml:space="preserve"> </w:t>
      </w:r>
      <w:r w:rsidR="00371E7B" w:rsidRPr="00371E7B">
        <w:rPr>
          <w:rFonts w:ascii="Arial" w:hAnsi="Arial" w:cs="Arial"/>
        </w:rPr>
        <w:t xml:space="preserve">was constant across attention conditions </w:t>
      </w:r>
      <w:r w:rsidR="00D44AC6">
        <w:rPr>
          <w:rFonts w:ascii="Arial" w:hAnsi="Arial" w:cs="Arial"/>
        </w:rPr>
        <w:t>in</w:t>
      </w:r>
      <w:r w:rsidR="00371E7B" w:rsidRPr="00371E7B">
        <w:rPr>
          <w:rFonts w:ascii="Arial" w:hAnsi="Arial" w:cs="Arial"/>
        </w:rPr>
        <w:t xml:space="preserve"> our fMRI experiment.</w:t>
      </w:r>
    </w:p>
    <w:p w14:paraId="1FEEE337" w14:textId="77777777" w:rsidR="00FA62F7" w:rsidRPr="00225AB0" w:rsidRDefault="00FA62F7" w:rsidP="00FA62F7">
      <w:pPr>
        <w:spacing w:line="480" w:lineRule="auto"/>
        <w:rPr>
          <w:rFonts w:ascii="Arial" w:hAnsi="Arial" w:cs="Arial"/>
          <w:color w:val="0D0D0D" w:themeColor="text1" w:themeTint="F2"/>
        </w:rPr>
      </w:pPr>
    </w:p>
    <w:p w14:paraId="2A8F68AF" w14:textId="0E3294BA" w:rsidR="00FA62F7" w:rsidRDefault="00FA62F7" w:rsidP="00FA62F7">
      <w:pPr>
        <w:pStyle w:val="Bibliography"/>
        <w:ind w:left="0" w:firstLine="0"/>
        <w:rPr>
          <w:rFonts w:ascii="Arial" w:hAnsi="Arial" w:cs="Arial"/>
          <w:color w:val="0D0D0D" w:themeColor="text1" w:themeTint="F2"/>
        </w:rPr>
      </w:pPr>
      <w:r w:rsidRPr="00225AB0">
        <w:rPr>
          <w:rFonts w:ascii="Arial" w:hAnsi="Arial" w:cs="Arial"/>
          <w:color w:val="0D0D0D" w:themeColor="text1" w:themeTint="F2"/>
        </w:rPr>
        <w:t>Stimuli were presented on a ViewPixx monitor (120Hz, 1920x1220 pixels resolution) at 57cm viewing distance. Stimulus presentation was performed on a Shuttle XPC SZ87RG high-end graphics system with an Intel Core i7-</w:t>
      </w:r>
      <w:r w:rsidRPr="00225AB0">
        <w:rPr>
          <w:rFonts w:ascii="Arial" w:hAnsi="Arial" w:cs="Arial"/>
          <w:color w:val="0D0D0D" w:themeColor="text1" w:themeTint="F2"/>
        </w:rPr>
        <w:lastRenderedPageBreak/>
        <w:t xml:space="preserve">4790K processor at 4GHz and a NVIDIA GeForce GTX970 graphics card with 4GB DDR5 memory. All stimuli and experimental procedures were controlled by Psychtoolbox 3.0.12 routines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{"citationID":"QSLFpi7m","properties":{"formattedCitation":"(Brainard, 1997; Pelli, 1997)","plainCitation":"(Brainard, 1997; Pelli, 1997)","noteIndex":0},"citationItems":[{"id":266,"uris":["http://zotero.org/groups/318634/items/DPFM722D"],"uri":["http://zotero.org/groups/318634/items/DPFM722D"],"itemData":{"id":266,"type":"article-journal","title":"The psychophysics toolbox","container-title":"Spatial vision","page":"433–436","volume":"10","source":"Google Scholar","author":[{"family":"Brainard","given":"David H."}],"issued":{"date-parts":[["1997"]]}}},{"id":235,"uris":["http://zotero.org/groups/318634/items/I9QQF3XD"],"uri":["http://zotero.org/groups/318634/items/I9QQF3XD"],"itemData":{"id":235,"type":"article-journal","title":"The VideoToolbox software for visual psychophysics: Transforming numbers into movies","container-title":"Spatial vision","page":"437–442","volume":"10","issue":"4","source":"Google Scholar","title-short":"The VideoToolbox software for visual psychophysics","author":[{"family":"Pelli","given":"Denis G."}],"issued":{"date-parts":[["1997"]]}}}],"schema":"https://github.com/citation-style-language/schema/raw/master/csl-citation.json"}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rPr>
        <w:t>(Brainard, 1997; Pelli, 1997)</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p>
    <w:p w14:paraId="5AAFC1C9" w14:textId="77777777" w:rsidR="00BB2CBE" w:rsidRPr="00BB2CBE" w:rsidRDefault="00BB2CBE" w:rsidP="00BB2CBE"/>
    <w:p w14:paraId="23AA2F69" w14:textId="2CB88202" w:rsidR="00FA62F7"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To estimate detection thresholds, we used a Bayesian adaptive staircase design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{"citationID":"pwbtGooX","properties":{"formattedCitation":"(Watson &amp; Pelli, 1983)","plainCitation":"(Watson &amp; Pelli, 1983)","noteIndex":0},"citationItems":[{"id":208,"uris":["http://zotero.org/groups/318634/items/JKVKSGEP"],"uri":["http://zotero.org/groups/318634/items/JKVKSGEP"],"itemData":{"id":208,"type":"article-journal","title":"QUEST: A Bayesian adaptive psychometric method","container-title":"Perception &amp; psychophysics","page":"113–120","volume":"33","issue":"2","source":"Google Scholar","title-short":"QUEST","author":[{"family":"Watson","given":"Andrew B."},{"family":"Pelli","given":"Denis G."}],"issued":{"date-parts":[["1983"]]}}}],"schema":"https://github.com/citation-style-language/schema/raw/master/csl-citation.json"}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(Watson &amp; Pelli, 1983)</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Feature-specific initial estimates of threshold (0.3 radians orientation, 30% contrast, 0.08 radial amplitude modulation/shape) were provided with 0.5-unit standard deviation. Our stimuli were variants of a radial frequency pattern (RFPs): radially modulated circular contours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{"citationID":"dB4h7Y7f","properties":{"formattedCitation":"(Ivanov &amp; Mullen, 2012b; Frances Wilkinson et al., 1998b; Wilson &amp; Wilkinson, 1997b)","plainCitation":"(Ivanov &amp; Mullen, 2012b; Frances Wilkinson et al., 1998b; Wilson &amp; Wilkinson, 1997b)","dontUpdate":true,"noteIndex":0},"citationItems":[{"id":207,"uris":["http://zotero.org/groups/318634/items/X7KGNNN5"],"uri":["http://zotero.org/groups/318634/items/X7KGNNN5"],"itemData":{"id":207,"type":"article-journal","title":"Evolving concepts of spatial channels in vision: from independence to nonlinear interactions","container-title":"Perception","page":"939-960","volume":"26","issue":"8","source":"PubMed","abstract":"By the 1960s it was evident from neuroanatomy that there were extensive recurrent interactions, both excitatory and inhibitory, among visual cortical neurons. Nevertheless, the psychophysical discovery of 'spatial-frequency channels' gave rise to a decade in which parallel, independent channels were thought to subserve early spatial vision. Recent work, however, has clearly demonstrated that early visual channels do not perform a Fourier or wavelet decomposition of the image. Instead, they interact through a variety of nonlinear pooling mechanisms. Such nonlinear interactions perform important computations in texture perception, stereopsis, and motion and form vision.","DOI":"10.1068/p260939","ISSN":"0301-0066","note":"PMID: 9509156","title-short":"Evolving concepts of spatial channels in vision","journalAbbreviation":"Perception","language":"eng","author":[{"family":"Wilson","given":"H. R."},{"family":"Wilkinson","given":"F."}],"issued":{"date-parts":[["1997"]]}}},{"id":212,"uris":["http://zotero.org/groups/318634/items/E6DHL36K"],"uri":["http://zotero.org/groups/318634/items/E6DHL36K"],"itemData":{"id":212,"type":"article-journal","title":"Detection and recognition of radial frequency patterns 1","container-title":"Vision research","page":"3555–3568","volume":"38","issue":"22","source":"Google Scholar","author":[{"family":"Wilkinson","given":"Frances"},{"family":"Wilson","given":"Hugh R."},{"family":"Habak","given":"Claudine"}],"issued":{"date-parts":[["1998"]]}}},{"id":243,"uris":["http://zotero.org/groups/318634/items/AVCHMRX7"],"uri":["http://zotero.org/groups/318634/items/AVCHMRX7"],"itemData":{"id":243,"type":"article-journal","title":"The role of local features in shape discrimination of contour- and surface-defined radial frequency patterns at low contrast","container-title":"Vision Research","page":"1-10","volume":"52","issue":"1","source":"PubMed","abstract":"Shape processing involves a progression from local to global analysis. A key aspect of this is the binding of distributed local features into an overall form followed by the extraction of the shape independently of its local contrast and spatial scales, so enabling the shape to be encoded based on its proportions without reference to its exact size or retinal location. Here we use contour- and surface-defined radial frequency (RF) patterns in a shape discrimination task, previously thought to reflect a global processing stage that has reached contrast and scale invariance. We compare performance across different spatial scales for a wide range of RF patterns (contour spatial frequencies of 0.7-10.0cpd, pattern radii of 0.5-10.5°), and sharp- and smooth-edged surface-RF patterns, all at low contrast (5× detection threshold). We show that shape discrimination thresholds for RF patterns have a complex series of dependencies on stimulus size (radius), contour spatial frequency (thickness) and contrast, with no scale invariance. Our results are at odds with earlier work showing no effect of radius and spatial frequency on discrimination thresholds. We show that this discrepancy can be accounted for by a differential effect of contrast on shape discrimination, with shape invariance only stabilizing at higher contrasts (10-20× threshold).","DOI":"10.1016/j.visres.2011.10.002","ISSN":"1878-5646","note":"PMID: 22037304","journalAbbreviation":"Vision Res.","language":"eng","author":[{"family":"Ivanov","given":"Iliya V."},{"family":"Mullen","given":"Kathy T."}],"issued":{"date-parts":[["2012",1,1]]}}}],"schema":"https://github.com/citation-style-language/schema/raw/master/csl-citation.json"}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(Ivanov &amp; Mullen, 2012; Wilkinson et al., 1998; Wilson &amp; Wilkinson, 1997)</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p>
    <w:p w14:paraId="52E99E7E" w14:textId="77777777" w:rsidR="00F35905" w:rsidRPr="00225AB0" w:rsidRDefault="00F35905" w:rsidP="00FA62F7">
      <w:pPr>
        <w:spacing w:line="480" w:lineRule="auto"/>
        <w:rPr>
          <w:rFonts w:ascii="Arial" w:hAnsi="Arial" w:cs="Arial"/>
          <w:color w:val="0D0D0D" w:themeColor="text1" w:themeTint="F2"/>
        </w:rPr>
      </w:pPr>
    </w:p>
    <w:p w14:paraId="67722F52" w14:textId="6F1D5D15"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This stimulus allowed for an investigation of shape processing and reflected naturalistic stimuli to a greater extent than traditional Gabors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{"citationID":"FvY0Qz6b","properties":{"formattedCitation":"(Lawrence et al., 2016; Vernon et al., 2016)","plainCitation":"(Lawrence et al., 2016; Vernon et al., 2016)","noteIndex":0},"citationItems":[{"id":59,"uris":["http://zotero.org/groups/318634/items/8JEHJBX5"],"uri":["http://zotero.org/groups/318634/items/8JEHJBX5"],"itemData":{"id":59,"type":"article-journal","title":"Global shape aftereffects in composite radial frequency patterns","container-title":"Journal of Vision","page":"17–17","volume":"16","issue":"7","source":"Google Scholar","author":[{"family":"Lawrence","given":"Samuel JD"},{"family":"Keefe","given":"Bruce D."},{"family":"Vernon","given":"Richard JW"},{"family":"Wade","given":"Alex R."},{"family":"McKeefry","given":"Declan J."},{"family":"Morland","given":"Antony B."}],"issued":{"date-parts":[["2016"]]}}},{"id":52,"uris":["http://zotero.org/groups/318634/items/SQGC7HHQ"],"uri":["http://zotero.org/groups/318634/items/SQGC7HHQ"],"itemData":{"id":52,"type":"article-journal","title":"Multivariate Patterns in the Human Object-Processing Pathway Reveal a Shift from Retinotopic to Shape Curvature Representations in Lateral Occipital Areas, LO-1 and LO-2","container-title":"Journal of Neuroscience","page":"5763-5774","volume":"36","issue":"21","source":"www.jneurosci.org","abstract":"Representations in early visual areas are organized on the basis of retinotopy, but this organizational principle appears to lose prominence in the extrastriate cortex. Nevertheless, an extrastriate region, such as the shape-selective lateral occipital cortex (LO), must still base its activation on the responses from earlier retinotopic visual areas, implying that a transition from retinotopic to “functional” organizations should exist. We hypothesized that such a transition may lie in LO-1 or LO-2, two visual areas lying between retinotopically defined V3d and functionally defined LO. Using a rapid event-related fMRI paradigm, we measured neural similarity in 12 human participants between pairs of stimuli differing along dimensions of shape exemplar and shape complexity within both retinotopically and functionally defined visual areas. These neural similarity measures were then compared with low-level and more abstract (curvature-based) measures of stimulus similarity. We found that low-level, but not abstract, stimulus measures predicted V1–V3 responses, whereas the converse was true for LO, a double dissociation. Critically, abstract stimulus measures were most predictive of responses within LO-2, akin to LO, whereas both low-level and abstract measures were predictive for responses within LO-1, perhaps indicating a transitional point between those two organizational principles. Similar transitions to abstract representations were not observed in the more ventral stream passing through V4 and VO-1/2. The transition we observed in LO-1 and LO-2 demonstrates that a more “abstracted” representation, typically considered the preserve of “category-selective” extrastriate cortex, can nevertheless emerge in retinotopic regions.\nSIGNIFICANCE STATEMENT Visual areas are typically identified either through retinotopy (e.g., V1–V3) or from functional selectivity [e.g., shape-selective lateral occipital complex (LOC)]. We combined these approaches to explore the nature of shape representations through the visual hierarchy. Two different representations emerged: the first reflected low-level shape properties (dependent on the spatial layout of the shape outline), whereas the second captured more abstract curvature-related shape features. Critically, early visual cortex represented low-level information but this diminished in the extrastriate cortex (LO-1/LO-2/LOC), in which the abstract representation emerged. Therefore, this work further elucidates the nature of shape representations in the LOC, provides insight into how those representations emerge from early retinotopic cortex, and crucially demonstrates that retinotopically tuned regions (LO-1/LO-2) are not necessarily constrained to retinotopic representations.","DOI":"10.1523/JNEUROSCI.3603-15.2016","ISSN":"0270-6474, 1529-2401","note":"PMID: 27225766","journalAbbreviation":"J. Neurosci.","language":"en","author":[{"family":"Vernon","given":"Richard J. W."},{"family":"Gouws","given":"André D."},{"family":"Lawrence","given":"Samuel J. D."},{"family":"Wade","given":"Alex R."},{"family":"Morland","given":"Antony B."}],"issued":{"date-parts":[["2016",5,25]]}}}],"schema":"https://github.com/citation-style-language/schema/raw/master/csl-citation.json"}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rPr>
        <w:t>(Lawrence et al., 2016; Vernon et al., 2016)</w:t>
      </w:r>
      <w:r w:rsidRPr="00225AB0">
        <w:rPr>
          <w:rFonts w:ascii="Arial" w:hAnsi="Arial" w:cs="Arial"/>
          <w:color w:val="0D0D0D" w:themeColor="text1" w:themeTint="F2"/>
        </w:rPr>
        <w:fldChar w:fldCharType="end"/>
      </w:r>
      <w:r w:rsidRPr="00225AB0">
        <w:rPr>
          <w:rFonts w:ascii="Arial" w:hAnsi="Arial" w:cs="Arial"/>
          <w:color w:val="0D0D0D" w:themeColor="text1" w:themeTint="F2"/>
        </w:rPr>
        <w:t>. Reference RF pattern stimuli had a 2.0° average radius, 0° orientation and 50% contrast (see Figure</w:t>
      </w:r>
      <w:r w:rsidR="002F3392">
        <w:rPr>
          <w:rFonts w:ascii="Arial" w:hAnsi="Arial" w:cs="Arial"/>
          <w:color w:val="0D0D0D" w:themeColor="text1" w:themeTint="F2"/>
        </w:rPr>
        <w:t xml:space="preserve"> 4.</w:t>
      </w:r>
      <w:r w:rsidRPr="00225AB0">
        <w:rPr>
          <w:rFonts w:ascii="Arial" w:hAnsi="Arial" w:cs="Arial"/>
          <w:color w:val="0D0D0D" w:themeColor="text1" w:themeTint="F2"/>
        </w:rPr>
        <w:t xml:space="preserve">1A). </w:t>
      </w:r>
    </w:p>
    <w:p w14:paraId="228E5E0B" w14:textId="77777777" w:rsidR="00FA62F7" w:rsidRPr="00225AB0" w:rsidRDefault="00FA62F7" w:rsidP="00FA62F7">
      <w:pPr>
        <w:spacing w:line="480" w:lineRule="auto"/>
        <w:rPr>
          <w:rFonts w:ascii="Arial" w:hAnsi="Arial" w:cs="Arial"/>
          <w:i/>
          <w:color w:val="0D0D0D" w:themeColor="text1" w:themeTint="F2"/>
        </w:rPr>
      </w:pPr>
    </w:p>
    <w:p w14:paraId="4ABA8C22" w14:textId="3D60510E" w:rsidR="00FA62F7" w:rsidRDefault="00FA62F7" w:rsidP="00F72546">
      <w:pPr>
        <w:spacing w:line="480" w:lineRule="auto"/>
        <w:rPr>
          <w:rFonts w:ascii="Arial" w:hAnsi="Arial" w:cs="Arial"/>
          <w:color w:val="0D0D0D" w:themeColor="text1" w:themeTint="F2"/>
        </w:rPr>
      </w:pPr>
      <w:r w:rsidRPr="00225AB0">
        <w:rPr>
          <w:rFonts w:ascii="Arial" w:hAnsi="Arial" w:cs="Arial"/>
          <w:color w:val="0D0D0D" w:themeColor="text1" w:themeTint="F2"/>
        </w:rPr>
        <w:t>Attended features were cued by a central white fixation letter present across trials (‘O - orientation’, ‘C - contrast’ or ‘S - shape’). Trials began with a 200ms presentation of a grayscale reference stimulus against a mean luminance background</w:t>
      </w:r>
      <w:r w:rsidR="00B050E8">
        <w:rPr>
          <w:rFonts w:ascii="Arial" w:hAnsi="Arial" w:cs="Arial"/>
          <w:color w:val="0D0D0D" w:themeColor="text1" w:themeTint="F2"/>
        </w:rPr>
        <w:t xml:space="preserve">. </w:t>
      </w:r>
      <w:r w:rsidR="00B050E8" w:rsidRPr="00170639">
        <w:rPr>
          <w:rFonts w:ascii="Arial" w:hAnsi="Arial" w:cs="Arial"/>
          <w:color w:val="0D0D0D" w:themeColor="text1" w:themeTint="F2"/>
        </w:rPr>
        <w:t xml:space="preserve">The reference RF pattern stimuli had a constant 2.0° average radius, 0° orientation and 50% contrast (see Figure 4.1A). For all visual features, the testing of participant’s thresholds </w:t>
      </w:r>
      <w:proofErr w:type="gramStart"/>
      <w:r w:rsidR="00B050E8" w:rsidRPr="00170639">
        <w:rPr>
          <w:rFonts w:ascii="Arial" w:hAnsi="Arial" w:cs="Arial"/>
          <w:color w:val="0D0D0D" w:themeColor="text1" w:themeTint="F2"/>
        </w:rPr>
        <w:t>were</w:t>
      </w:r>
      <w:proofErr w:type="gramEnd"/>
      <w:r w:rsidR="00B050E8" w:rsidRPr="00170639">
        <w:rPr>
          <w:rFonts w:ascii="Arial" w:hAnsi="Arial" w:cs="Arial"/>
          <w:color w:val="0D0D0D" w:themeColor="text1" w:themeTint="F2"/>
        </w:rPr>
        <w:t xml:space="preserve"> modulated above and below this reference value, such that participants were responding to increments of change within the stimulus feature. For example, within the contrast task, a reference stimulus of 50% contrast was always presented, </w:t>
      </w:r>
      <w:r w:rsidR="00B050E8" w:rsidRPr="00170639">
        <w:rPr>
          <w:rFonts w:ascii="Arial" w:hAnsi="Arial" w:cs="Arial"/>
          <w:color w:val="0D0D0D" w:themeColor="text1" w:themeTint="F2"/>
        </w:rPr>
        <w:lastRenderedPageBreak/>
        <w:t>and participants responded to relative increases or decreases in contrast from this reference value. This reference stimulus was</w:t>
      </w:r>
      <w:r w:rsidR="00B050E8" w:rsidRPr="00B050E8">
        <w:rPr>
          <w:rFonts w:ascii="Arial" w:hAnsi="Arial" w:cs="Arial"/>
          <w:color w:val="0D0D0D" w:themeColor="text1" w:themeTint="F2"/>
        </w:rPr>
        <w:t xml:space="preserve"> </w:t>
      </w:r>
      <w:r w:rsidRPr="00B050E8">
        <w:rPr>
          <w:rFonts w:ascii="Arial" w:hAnsi="Arial" w:cs="Arial"/>
          <w:color w:val="0D0D0D" w:themeColor="text1" w:themeTint="F2"/>
        </w:rPr>
        <w:t>followed</w:t>
      </w:r>
      <w:r w:rsidRPr="00225AB0">
        <w:rPr>
          <w:rFonts w:ascii="Arial" w:hAnsi="Arial" w:cs="Arial"/>
          <w:color w:val="0D0D0D" w:themeColor="text1" w:themeTint="F2"/>
        </w:rPr>
        <w:t xml:space="preserve"> by a 200ms inter-stimulus interval with presentation of the letter-fixation cue only. A target stimulus was then presented for 200ms, with a change in the attended visual feature derived from the initial estimate and individual participant’s previous trial performance. For each feature, a stimulus change could be in one of two directions (with equal probability) - clockwise versus anticlockwise orientation, high contrast versus low contrast, ‘spiky’ versus ‘smooth’ shape. This was followed by a central black fixation cross for 800ms, during which participants </w:t>
      </w:r>
      <w:r w:rsidR="00EC6445">
        <w:rPr>
          <w:rFonts w:ascii="Arial" w:hAnsi="Arial" w:cs="Arial"/>
          <w:color w:val="0D0D0D" w:themeColor="text1" w:themeTint="F2"/>
        </w:rPr>
        <w:t>i</w:t>
      </w:r>
      <w:r w:rsidRPr="00225AB0">
        <w:rPr>
          <w:rFonts w:ascii="Arial" w:hAnsi="Arial" w:cs="Arial"/>
          <w:color w:val="0D0D0D" w:themeColor="text1" w:themeTint="F2"/>
        </w:rPr>
        <w:t>ndicat</w:t>
      </w:r>
      <w:r w:rsidR="00EC6445">
        <w:rPr>
          <w:rFonts w:ascii="Arial" w:hAnsi="Arial" w:cs="Arial"/>
          <w:color w:val="0D0D0D" w:themeColor="text1" w:themeTint="F2"/>
        </w:rPr>
        <w:t>ed</w:t>
      </w:r>
      <w:r w:rsidRPr="00225AB0">
        <w:rPr>
          <w:rFonts w:ascii="Arial" w:hAnsi="Arial" w:cs="Arial"/>
          <w:color w:val="0D0D0D" w:themeColor="text1" w:themeTint="F2"/>
        </w:rPr>
        <w:t xml:space="preserve"> the</w:t>
      </w:r>
      <w:r w:rsidR="00EC6445">
        <w:rPr>
          <w:rFonts w:ascii="Arial" w:hAnsi="Arial" w:cs="Arial"/>
          <w:color w:val="0D0D0D" w:themeColor="text1" w:themeTint="F2"/>
        </w:rPr>
        <w:t xml:space="preserve"> </w:t>
      </w:r>
      <w:r w:rsidR="00194172">
        <w:rPr>
          <w:rFonts w:ascii="Arial" w:hAnsi="Arial" w:cs="Arial"/>
          <w:color w:val="0D0D0D" w:themeColor="text1" w:themeTint="F2"/>
        </w:rPr>
        <w:t>perceived</w:t>
      </w:r>
      <w:r w:rsidRPr="00225AB0">
        <w:rPr>
          <w:rFonts w:ascii="Arial" w:hAnsi="Arial" w:cs="Arial"/>
          <w:color w:val="0D0D0D" w:themeColor="text1" w:themeTint="F2"/>
        </w:rPr>
        <w:t xml:space="preserve"> direction of change between the reference and target stimulus (‘A’ or ‘L’ keyboard press). Participants were informed via a toned ‘beep’ if their response was correct or incorrect. Each participant completed 50 trials (alongside 10 discarded practice trials at the start of each run) to provide an estimated 75% correct detection threshold for each feature. Each feature-specific staircase was repeated three times with a participant’s final detection thresholds reflecting the average of these three repetitions. Each run lasted approximately two minutes. </w:t>
      </w:r>
    </w:p>
    <w:p w14:paraId="719EE0C5" w14:textId="77777777" w:rsidR="00F72546" w:rsidRPr="00F72546" w:rsidRDefault="00F72546" w:rsidP="00F72546">
      <w:pPr>
        <w:spacing w:line="480" w:lineRule="auto"/>
        <w:rPr>
          <w:rFonts w:ascii="Arial" w:hAnsi="Arial" w:cs="Arial"/>
          <w:color w:val="0D0D0D" w:themeColor="text1" w:themeTint="F2"/>
        </w:rPr>
      </w:pPr>
    </w:p>
    <w:p w14:paraId="7721DF66" w14:textId="77777777" w:rsidR="00FA62F7" w:rsidRPr="00B050E8" w:rsidRDefault="00FA62F7" w:rsidP="001811CC">
      <w:pPr>
        <w:pStyle w:val="Heading4"/>
        <w:numPr>
          <w:ilvl w:val="3"/>
          <w:numId w:val="5"/>
        </w:numPr>
        <w:rPr>
          <w:rFonts w:ascii="Arial" w:hAnsi="Arial" w:cs="Arial"/>
          <w:color w:val="000000" w:themeColor="text1"/>
          <w:sz w:val="28"/>
          <w:szCs w:val="28"/>
        </w:rPr>
      </w:pPr>
      <w:bookmarkStart w:id="452" w:name="_Toc11930071"/>
      <w:bookmarkStart w:id="453" w:name="_Toc16075387"/>
      <w:r w:rsidRPr="00B050E8">
        <w:rPr>
          <w:rFonts w:ascii="Arial" w:hAnsi="Arial" w:cs="Arial"/>
          <w:color w:val="000000" w:themeColor="text1"/>
          <w:sz w:val="28"/>
          <w:szCs w:val="28"/>
        </w:rPr>
        <w:t>fMRI Attentional Modulation</w:t>
      </w:r>
      <w:bookmarkEnd w:id="452"/>
      <w:bookmarkEnd w:id="453"/>
    </w:p>
    <w:p w14:paraId="766620AC" w14:textId="3312671F" w:rsidR="00EA4EBE" w:rsidRDefault="00B050E8" w:rsidP="00FA62F7">
      <w:pPr>
        <w:spacing w:line="480" w:lineRule="auto"/>
        <w:rPr>
          <w:rFonts w:ascii="Arial" w:hAnsi="Arial" w:cs="Arial"/>
          <w:color w:val="0D0D0D" w:themeColor="text1" w:themeTint="F2"/>
        </w:rPr>
      </w:pPr>
      <w:r w:rsidRPr="00170639">
        <w:rPr>
          <w:rFonts w:ascii="Arial" w:hAnsi="Arial" w:cs="Arial"/>
          <w:color w:val="0D0D0D" w:themeColor="text1" w:themeTint="F2"/>
        </w:rPr>
        <w:t>The same 12 participants who completed the psychophysics testing also completed the fMRI experiment.</w:t>
      </w:r>
      <w:r>
        <w:rPr>
          <w:rFonts w:ascii="Arial" w:hAnsi="Arial" w:cs="Arial"/>
          <w:color w:val="0D0D0D" w:themeColor="text1" w:themeTint="F2"/>
        </w:rPr>
        <w:t xml:space="preserve"> </w:t>
      </w:r>
      <w:r w:rsidR="00B56F61" w:rsidRPr="00B56F61">
        <w:rPr>
          <w:rFonts w:ascii="Arial" w:hAnsi="Arial" w:cs="Arial"/>
          <w:color w:val="0D0D0D" w:themeColor="text1" w:themeTint="F2"/>
        </w:rPr>
        <w:t xml:space="preserve">The fMRI experimental design followed a similar procedure to the psychophysics paradigm. However, here we wished to examine the effects of participants directing attention toward changes in individual visual features. To ensure participants maintained a constant attentional load, they constantly monitored the stimulus for the a near-threshold-level change in an attended feature (ignoring changes in </w:t>
      </w:r>
      <w:proofErr w:type="spellStart"/>
      <w:r w:rsidR="00B56F61" w:rsidRPr="00B56F61">
        <w:rPr>
          <w:rFonts w:ascii="Arial" w:hAnsi="Arial" w:cs="Arial"/>
          <w:color w:val="0D0D0D" w:themeColor="text1" w:themeTint="F2"/>
        </w:rPr>
        <w:t>uncued</w:t>
      </w:r>
      <w:proofErr w:type="spellEnd"/>
      <w:r w:rsidR="00B56F61" w:rsidRPr="00B56F61">
        <w:rPr>
          <w:rFonts w:ascii="Arial" w:hAnsi="Arial" w:cs="Arial"/>
          <w:color w:val="0D0D0D" w:themeColor="text1" w:themeTint="F2"/>
        </w:rPr>
        <w:t xml:space="preserve"> </w:t>
      </w:r>
      <w:r w:rsidR="00B56F61" w:rsidRPr="00B56F61">
        <w:rPr>
          <w:rFonts w:ascii="Arial" w:hAnsi="Arial" w:cs="Arial"/>
          <w:color w:val="0D0D0D" w:themeColor="text1" w:themeTint="F2"/>
        </w:rPr>
        <w:lastRenderedPageBreak/>
        <w:t xml:space="preserve">features). In this respect, our fMRI experiment differed from the psychophysics- each visual feature was not modulated on every trial, and changes in multiple visual features could co-occur.  The fMRI experiment was also designed such that we presented the same average stimulus (i.e. the probability of a change in each feature was constant across blocks), so that any effects we identify should be driven by differing attentional focus as oppose to stimulus-driven effects. The timing of each trial </w:t>
      </w:r>
      <w:r w:rsidR="00D44AC6">
        <w:rPr>
          <w:rFonts w:ascii="Arial" w:hAnsi="Arial" w:cs="Arial"/>
          <w:color w:val="0D0D0D" w:themeColor="text1" w:themeTint="F2"/>
        </w:rPr>
        <w:t>in</w:t>
      </w:r>
      <w:r w:rsidR="00B56F61" w:rsidRPr="00B56F61">
        <w:rPr>
          <w:rFonts w:ascii="Arial" w:hAnsi="Arial" w:cs="Arial"/>
          <w:color w:val="0D0D0D" w:themeColor="text1" w:themeTint="F2"/>
        </w:rPr>
        <w:t xml:space="preserve"> our fMRI experiment, however, was identical to the psychophysical testing paradigm.</w:t>
      </w:r>
    </w:p>
    <w:p w14:paraId="6A62A867" w14:textId="77777777" w:rsidR="00B56F61" w:rsidRDefault="00B56F61" w:rsidP="00FA62F7">
      <w:pPr>
        <w:spacing w:line="480" w:lineRule="auto"/>
        <w:rPr>
          <w:rFonts w:ascii="Arial" w:hAnsi="Arial" w:cs="Arial"/>
          <w:color w:val="0D0D0D" w:themeColor="text1" w:themeTint="F2"/>
        </w:rPr>
      </w:pPr>
    </w:p>
    <w:p w14:paraId="70B2D020" w14:textId="5F5DBD9C" w:rsidR="002F4BDC" w:rsidRDefault="00FA62F7" w:rsidP="00FA62F7">
      <w:pPr>
        <w:spacing w:line="480" w:lineRule="auto"/>
        <w:rPr>
          <w:rFonts w:ascii="Arial" w:hAnsi="Arial" w:cs="Arial"/>
          <w:i/>
          <w:color w:val="0D0D0D" w:themeColor="text1" w:themeTint="F2"/>
        </w:rPr>
      </w:pPr>
      <w:r w:rsidRPr="00225AB0">
        <w:rPr>
          <w:rFonts w:ascii="Arial" w:hAnsi="Arial" w:cs="Arial"/>
          <w:color w:val="0D0D0D" w:themeColor="text1" w:themeTint="F2"/>
        </w:rPr>
        <w:t>Prior to each attentional focus block a 1.5s visual cue directing participants</w:t>
      </w:r>
      <w:r w:rsidR="00331B19">
        <w:rPr>
          <w:rFonts w:ascii="Arial" w:hAnsi="Arial" w:cs="Arial"/>
          <w:color w:val="0D0D0D" w:themeColor="text1" w:themeTint="F2"/>
        </w:rPr>
        <w:t>’</w:t>
      </w:r>
      <w:r w:rsidRPr="00225AB0">
        <w:rPr>
          <w:rFonts w:ascii="Arial" w:hAnsi="Arial" w:cs="Arial"/>
          <w:color w:val="0D0D0D" w:themeColor="text1" w:themeTint="F2"/>
        </w:rPr>
        <w:t xml:space="preserve"> attentional focus was presented (white text; ‘ORIENTATION’, ‘CONTRAST’, ‘SHAPE’ or ‘PASSIVE’) against a mean luminance background. During passive blocks, participants were instructed to view the stimulus without directed attention and were not required to respond. As before, each trial began with a 200ms presentation of the reference RFP with a white central fixation letter matching the cued feature of attention (‘O’, ‘C’, ‘S’ or ‘P’), followed by a 200ms presentation of the fixation cue. This was followed by a 200ms presentation of the target RFP stimulus, which could vary in no, </w:t>
      </w:r>
      <w:r w:rsidR="005E4376">
        <w:rPr>
          <w:rFonts w:ascii="Arial" w:hAnsi="Arial" w:cs="Arial"/>
          <w:color w:val="0D0D0D" w:themeColor="text1" w:themeTint="F2"/>
        </w:rPr>
        <w:t>single</w:t>
      </w:r>
      <w:r w:rsidRPr="00225AB0">
        <w:rPr>
          <w:rFonts w:ascii="Arial" w:hAnsi="Arial" w:cs="Arial"/>
          <w:color w:val="0D0D0D" w:themeColor="text1" w:themeTint="F2"/>
        </w:rPr>
        <w:t xml:space="preserve"> or multiple visual features with respect to the reference stimulus.  The degree of change between the reference and target RFP was double the participant’s previously-recorded feature-specific 75% averaged correct detection threshold. Each feature varied in only one direction (anticlockwise orientation, high contrast and spikier shape). For each feature, the target stimulus differed from the reference on approximately 20% of trials, hence a constant level of visual modulation was present across blocks on average. A central fixation letter was then presented for 800ms, during which </w:t>
      </w:r>
      <w:r w:rsidRPr="00225AB0">
        <w:rPr>
          <w:rFonts w:ascii="Arial" w:hAnsi="Arial" w:cs="Arial"/>
          <w:color w:val="0D0D0D" w:themeColor="text1" w:themeTint="F2"/>
        </w:rPr>
        <w:lastRenderedPageBreak/>
        <w:t xml:space="preserve">participants made a same/different response. Each trial was 1.5s duration, with a block consisting of 10 trials (15s). Each block was followed by a black central fixation cross (7.5s) allowing BOLD signal to return to baseline. Blocks were presented in a pseudo-randomised order, with the randomised four-block cycle presented four times </w:t>
      </w:r>
      <w:r w:rsidR="00D44AC6">
        <w:rPr>
          <w:rFonts w:ascii="Arial" w:hAnsi="Arial" w:cs="Arial"/>
          <w:color w:val="0D0D0D" w:themeColor="text1" w:themeTint="F2"/>
        </w:rPr>
        <w:t>in</w:t>
      </w:r>
      <w:r w:rsidRPr="00225AB0">
        <w:rPr>
          <w:rFonts w:ascii="Arial" w:hAnsi="Arial" w:cs="Arial"/>
          <w:color w:val="0D0D0D" w:themeColor="text1" w:themeTint="F2"/>
        </w:rPr>
        <w:t xml:space="preserve"> each run</w:t>
      </w:r>
      <w:r w:rsidRPr="00225AB0">
        <w:rPr>
          <w:rFonts w:ascii="Arial" w:hAnsi="Arial" w:cs="Arial"/>
          <w:i/>
          <w:color w:val="0D0D0D" w:themeColor="text1" w:themeTint="F2"/>
        </w:rPr>
        <w:t xml:space="preserve">. </w:t>
      </w:r>
    </w:p>
    <w:p w14:paraId="60D88B74" w14:textId="77777777" w:rsidR="007B68C2" w:rsidRPr="00085A82" w:rsidRDefault="007B68C2" w:rsidP="00FA62F7">
      <w:pPr>
        <w:spacing w:line="480" w:lineRule="auto"/>
        <w:rPr>
          <w:rFonts w:ascii="Arial" w:hAnsi="Arial" w:cs="Arial"/>
          <w:i/>
          <w:color w:val="0D0D0D" w:themeColor="text1" w:themeTint="F2"/>
        </w:rPr>
      </w:pPr>
    </w:p>
    <w:p w14:paraId="06F0B2DE" w14:textId="77777777" w:rsidR="00FA62F7" w:rsidRDefault="00FA62F7" w:rsidP="001811CC">
      <w:pPr>
        <w:pStyle w:val="Heading3"/>
        <w:numPr>
          <w:ilvl w:val="2"/>
          <w:numId w:val="5"/>
        </w:numPr>
        <w:rPr>
          <w:rFonts w:ascii="Arial" w:hAnsi="Arial" w:cs="Arial"/>
          <w:b/>
          <w:i/>
          <w:color w:val="000000" w:themeColor="text1"/>
          <w:sz w:val="28"/>
          <w:szCs w:val="28"/>
        </w:rPr>
      </w:pPr>
      <w:bookmarkStart w:id="454" w:name="_Toc11147996"/>
      <w:bookmarkStart w:id="455" w:name="_Toc11153944"/>
      <w:bookmarkStart w:id="456" w:name="_Toc11753648"/>
      <w:bookmarkStart w:id="457" w:name="_Toc11926834"/>
      <w:bookmarkStart w:id="458" w:name="_Toc11930072"/>
      <w:bookmarkStart w:id="459" w:name="_Toc16075388"/>
      <w:bookmarkStart w:id="460" w:name="_Toc16237006"/>
      <w:r w:rsidRPr="00F35905">
        <w:rPr>
          <w:rFonts w:ascii="Arial" w:hAnsi="Arial" w:cs="Arial"/>
          <w:b/>
          <w:i/>
          <w:color w:val="000000" w:themeColor="text1"/>
          <w:sz w:val="28"/>
          <w:szCs w:val="28"/>
        </w:rPr>
        <w:t>Functional Neuroimaging</w:t>
      </w:r>
      <w:bookmarkEnd w:id="454"/>
      <w:bookmarkEnd w:id="455"/>
      <w:bookmarkEnd w:id="456"/>
      <w:bookmarkEnd w:id="457"/>
      <w:bookmarkEnd w:id="458"/>
      <w:bookmarkEnd w:id="459"/>
      <w:bookmarkEnd w:id="460"/>
    </w:p>
    <w:p w14:paraId="5B0AAF76" w14:textId="77777777" w:rsidR="00F35905" w:rsidRPr="00F35905" w:rsidRDefault="00F35905" w:rsidP="00F35905"/>
    <w:p w14:paraId="43FA2047" w14:textId="77777777" w:rsidR="00FA62F7" w:rsidRPr="00F35905" w:rsidRDefault="00FA62F7" w:rsidP="001811CC">
      <w:pPr>
        <w:pStyle w:val="Heading4"/>
        <w:numPr>
          <w:ilvl w:val="3"/>
          <w:numId w:val="5"/>
        </w:numPr>
        <w:rPr>
          <w:rFonts w:ascii="Arial" w:hAnsi="Arial" w:cs="Arial"/>
          <w:color w:val="000000" w:themeColor="text1"/>
          <w:sz w:val="28"/>
          <w:szCs w:val="28"/>
        </w:rPr>
      </w:pPr>
      <w:bookmarkStart w:id="461" w:name="_Toc11930073"/>
      <w:bookmarkStart w:id="462" w:name="_Toc16075389"/>
      <w:r w:rsidRPr="00F35905">
        <w:rPr>
          <w:rFonts w:ascii="Arial" w:hAnsi="Arial" w:cs="Arial"/>
          <w:color w:val="000000" w:themeColor="text1"/>
          <w:sz w:val="28"/>
          <w:szCs w:val="28"/>
        </w:rPr>
        <w:t>fMRI data acquisition</w:t>
      </w:r>
      <w:bookmarkEnd w:id="461"/>
      <w:bookmarkEnd w:id="462"/>
    </w:p>
    <w:p w14:paraId="6DB51889" w14:textId="2A3FE66F"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Visual stimuli were presented using a </w:t>
      </w:r>
      <w:proofErr w:type="spellStart"/>
      <w:r w:rsidRPr="00225AB0">
        <w:rPr>
          <w:rFonts w:ascii="Arial" w:hAnsi="Arial" w:cs="Arial"/>
          <w:color w:val="0D0D0D" w:themeColor="text1" w:themeTint="F2"/>
        </w:rPr>
        <w:t>PROpixx</w:t>
      </w:r>
      <w:proofErr w:type="spellEnd"/>
      <w:r w:rsidRPr="00225AB0">
        <w:rPr>
          <w:rFonts w:ascii="Arial" w:hAnsi="Arial" w:cs="Arial"/>
          <w:color w:val="0D0D0D" w:themeColor="text1" w:themeTint="F2"/>
        </w:rPr>
        <w:t xml:space="preserve"> DLP LED projector (</w:t>
      </w:r>
      <w:proofErr w:type="spellStart"/>
      <w:r w:rsidRPr="00225AB0">
        <w:rPr>
          <w:rFonts w:ascii="Arial" w:hAnsi="Arial" w:cs="Arial"/>
          <w:color w:val="0D0D0D" w:themeColor="text1" w:themeTint="F2"/>
        </w:rPr>
        <w:t>Vpixx</w:t>
      </w:r>
      <w:proofErr w:type="spellEnd"/>
      <w:r w:rsidRPr="00225AB0">
        <w:rPr>
          <w:rFonts w:ascii="Arial" w:hAnsi="Arial" w:cs="Arial"/>
          <w:color w:val="0D0D0D" w:themeColor="text1" w:themeTint="F2"/>
        </w:rPr>
        <w:t xml:space="preserve"> Technologies Inc., Saint-Bruno-de-</w:t>
      </w:r>
      <w:proofErr w:type="spellStart"/>
      <w:r w:rsidRPr="00225AB0">
        <w:rPr>
          <w:rFonts w:ascii="Arial" w:hAnsi="Arial" w:cs="Arial"/>
          <w:color w:val="0D0D0D" w:themeColor="text1" w:themeTint="F2"/>
        </w:rPr>
        <w:t>Montarvile</w:t>
      </w:r>
      <w:proofErr w:type="spellEnd"/>
      <w:r w:rsidRPr="00225AB0">
        <w:rPr>
          <w:rFonts w:ascii="Arial" w:hAnsi="Arial" w:cs="Arial"/>
          <w:color w:val="0D0D0D" w:themeColor="text1" w:themeTint="F2"/>
        </w:rPr>
        <w:t xml:space="preserve">, QC, Canada) with a long throw lens which projected the image through a waveguide behind the scanner bore and onto an acrylic screen. Presented images had 1920x1080 pixels resolution and 120Hz refresh rate. Participants viewed the stimulus at 57cm viewing distance </w:t>
      </w:r>
      <w:r w:rsidR="00D44AC6">
        <w:rPr>
          <w:rFonts w:ascii="Arial" w:hAnsi="Arial" w:cs="Arial"/>
          <w:color w:val="0D0D0D" w:themeColor="text1" w:themeTint="F2"/>
        </w:rPr>
        <w:t>in</w:t>
      </w:r>
      <w:r w:rsidRPr="00225AB0">
        <w:rPr>
          <w:rFonts w:ascii="Arial" w:hAnsi="Arial" w:cs="Arial"/>
          <w:color w:val="0D0D0D" w:themeColor="text1" w:themeTint="F2"/>
        </w:rPr>
        <w:t xml:space="preserve"> the scanner. </w:t>
      </w:r>
    </w:p>
    <w:p w14:paraId="577B2A51" w14:textId="77777777" w:rsidR="00FA62F7" w:rsidRPr="00225AB0" w:rsidRDefault="00FA62F7" w:rsidP="00FA62F7">
      <w:pPr>
        <w:spacing w:line="480" w:lineRule="auto"/>
        <w:rPr>
          <w:rFonts w:ascii="Arial" w:hAnsi="Arial" w:cs="Arial"/>
          <w:i/>
          <w:color w:val="0D0D0D" w:themeColor="text1" w:themeTint="F2"/>
        </w:rPr>
      </w:pPr>
    </w:p>
    <w:p w14:paraId="2B134AA8" w14:textId="70780537"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A Shuttle XPC SZ87RG high-end graphics system with Intel Core i7-4790K processor at 4GHz and a NVIDIA GeForce GTX970 graphics card with 4GB DDR5 memory matched to the system used in the Psychophysical testing were used to control the fMRI experiment. All stimuli and experimental procedures were controlled by MATLAB 8.5.0 (2016a) in conjunction </w:t>
      </w:r>
      <w:r w:rsidR="00D44AC6">
        <w:rPr>
          <w:rFonts w:ascii="Arial" w:hAnsi="Arial" w:cs="Arial"/>
          <w:color w:val="0D0D0D" w:themeColor="text1" w:themeTint="F2"/>
        </w:rPr>
        <w:t>in</w:t>
      </w:r>
      <w:r w:rsidRPr="00225AB0">
        <w:rPr>
          <w:rFonts w:ascii="Arial" w:hAnsi="Arial" w:cs="Arial"/>
          <w:color w:val="0D0D0D" w:themeColor="text1" w:themeTint="F2"/>
        </w:rPr>
        <w:t xml:space="preserve"> Psychtoolbox 3.0.12 routines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{"citationID":"IUOFfz6M","properties":{"formattedCitation":"(Brainard, 1997; Pelli, 1997)","plainCitation":"(Brainard, 1997; Pelli, 1997)","noteIndex":0},"citationItems":[{"id":266,"uris":["http://zotero.org/groups/318634/items/DPFM722D"],"uri":["http://zotero.org/groups/318634/items/DPFM722D"],"itemData":{"id":266,"type":"article-journal","title":"The psychophysics toolbox","container-title":"Spatial vision","page":"433–436","volume":"10","source":"Google Scholar","author":[{"family":"Brainard","given":"David H."}],"issued":{"date-parts":[["1997"]]}}},{"id":235,"uris":["http://zotero.org/groups/318634/items/I9QQF3XD"],"uri":["http://zotero.org/groups/318634/items/I9QQF3XD"],"itemData":{"id":235,"type":"article-journal","title":"The VideoToolbox software for visual psychophysics: Transforming numbers into movies","container-title":"Spatial vision","page":"437–442","volume":"10","issue":"4","source":"Google Scholar","title-short":"The VideoToolbox software for visual psychophysics","author":[{"family":"Pelli","given":"Denis G."}],"issued":{"date-parts":[["1997"]]}}}],"schema":"https://github.com/citation-style-language/schema/raw/master/csl-citation.json"}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rPr>
        <w:t>(Brainard, 1997; Pelli, 1997)</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During scanning behavioural responses and scanner trigger pulses were acquired using a fibre-optic response pad Forp-932 (Current Designs, Philadelphia, PA). </w:t>
      </w:r>
    </w:p>
    <w:p w14:paraId="1E23D1B8" w14:textId="77777777" w:rsidR="00FA62F7" w:rsidRPr="00225AB0" w:rsidRDefault="00FA62F7" w:rsidP="00FA62F7">
      <w:pPr>
        <w:spacing w:line="480" w:lineRule="auto"/>
        <w:rPr>
          <w:rFonts w:ascii="Arial" w:hAnsi="Arial" w:cs="Arial"/>
          <w:color w:val="0D0D0D" w:themeColor="text1" w:themeTint="F2"/>
        </w:rPr>
      </w:pPr>
    </w:p>
    <w:p w14:paraId="5F314CA5" w14:textId="77777777"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lastRenderedPageBreak/>
        <w:t>fMRI data were collected at the York Neuroimaging Centre using a GE 3T Excite MRI scanner (GE Healthcare, Milwaukee, WI). Structural scans were obtained using an 8-channel head coil (MRI Devices Corporation, Waukesha, WI) to minimise magnetic field inhomogeneity. Population receptive field and attentional modulation data were obtained with a 16-channel posterior head coil (Nova Medical, Wilmington, WI) to improve signal-to-noise in the occipital lobe. Two high-resolution, T1-weighed full-brain anatomical structural scans were acquired for each participant (TR 7.8ms, TE 3.0ms, T1 450ms, voxel size 1 x 1 x 1.3mm</w:t>
      </w:r>
      <w:r w:rsidRPr="00225AB0">
        <w:rPr>
          <w:rFonts w:ascii="Arial" w:hAnsi="Arial" w:cs="Arial"/>
          <w:color w:val="0D0D0D" w:themeColor="text1" w:themeTint="F2"/>
          <w:vertAlign w:val="superscript"/>
        </w:rPr>
        <w:t>3</w:t>
      </w:r>
      <w:r w:rsidRPr="00225AB0">
        <w:rPr>
          <w:rFonts w:ascii="Arial" w:hAnsi="Arial" w:cs="Arial"/>
          <w:color w:val="0D0D0D" w:themeColor="text1" w:themeTint="F2"/>
        </w:rPr>
        <w:t>).</w:t>
      </w:r>
    </w:p>
    <w:p w14:paraId="015636C1" w14:textId="77777777" w:rsidR="00FA62F7" w:rsidRPr="00225AB0" w:rsidRDefault="00FA62F7" w:rsidP="00FA62F7">
      <w:pPr>
        <w:spacing w:line="480" w:lineRule="auto"/>
        <w:rPr>
          <w:rFonts w:ascii="Arial" w:hAnsi="Arial" w:cs="Arial"/>
          <w:color w:val="0D0D0D" w:themeColor="text1" w:themeTint="F2"/>
        </w:rPr>
      </w:pPr>
    </w:p>
    <w:p w14:paraId="637F314D" w14:textId="3CC43D11"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pRF scan sessions consisted of 6.5-minute stimulus presentation runs collected using a standard EPI sequence (TR 3000ms, TE 30ms, voxel size 2.0 x 2.0 x 2.5mm</w:t>
      </w:r>
      <w:r w:rsidRPr="00225AB0">
        <w:rPr>
          <w:rFonts w:ascii="Arial" w:hAnsi="Arial" w:cs="Arial"/>
          <w:color w:val="0D0D0D" w:themeColor="text1" w:themeTint="F2"/>
          <w:vertAlign w:val="superscript"/>
        </w:rPr>
        <w:t>3</w:t>
      </w:r>
      <w:r w:rsidRPr="00225AB0">
        <w:rPr>
          <w:rFonts w:ascii="Arial" w:hAnsi="Arial" w:cs="Arial"/>
          <w:color w:val="0D0D0D" w:themeColor="text1" w:themeTint="F2"/>
        </w:rPr>
        <w:t>, flip angle 20</w:t>
      </w:r>
      <w:r w:rsidRPr="00B050E8">
        <w:rPr>
          <w:rFonts w:ascii="Arial" w:hAnsi="Arial" w:cs="Arial"/>
          <w:color w:val="0D0D0D" w:themeColor="text1" w:themeTint="F2"/>
        </w:rPr>
        <w:t>°, matrix</w:t>
      </w:r>
      <w:r w:rsidRPr="00225AB0">
        <w:rPr>
          <w:rFonts w:ascii="Arial" w:hAnsi="Arial" w:cs="Arial"/>
          <w:color w:val="0D0D0D" w:themeColor="text1" w:themeTint="F2"/>
        </w:rPr>
        <w:t xml:space="preserve"> size 96 x 96 x 39). </w:t>
      </w:r>
      <w:r w:rsidR="00B56F61">
        <w:rPr>
          <w:rFonts w:ascii="Arial" w:hAnsi="Arial" w:cs="Arial"/>
          <w:color w:val="0D0D0D" w:themeColor="text1" w:themeTint="F2"/>
        </w:rPr>
        <w:t xml:space="preserve">pRF parameters were obtained using procedures very similar to those described by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{"citationID":"XE4blgWa","properties":{"formattedCitation":"(Serge O. Dumoulin &amp; Wandell, 2008)","plainCitation":"(Serge O. Dumoulin &amp; Wandell, 2008)","dontUpdate":true,"noteIndex":0},"citationItems":[{"id":261,"uris":["http://zotero.org/groups/318634/items/KHNH62CY"],"uri":["http://zotero.org/groups/318634/items/KHNH62CY"],"itemData":{"id":261,"type":"article-journal","title":"Population receptive field estimates in human visual cortex","container-title":"Neuroimage","page":"647–660","volume":"39","issue":"2","source":"Google Scholar","author":[{"family":"Dumoulin","given":"Serge O."},{"family":"Wandell","given":"Brian A."}],"issued":{"date-parts":[["2008"]]}}}],"schema":"https://github.com/citation-style-language/schema/raw/master/csl-citation.json"}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 xml:space="preserve">Dumoulin &amp; Wandell </w:t>
      </w:r>
      <w:r w:rsidR="00B56F61">
        <w:rPr>
          <w:rFonts w:ascii="Arial" w:hAnsi="Arial" w:cs="Arial"/>
        </w:rPr>
        <w:t>(</w:t>
      </w:r>
      <w:r w:rsidR="00967B1F" w:rsidRPr="00225AB0">
        <w:rPr>
          <w:rFonts w:ascii="Arial" w:hAnsi="Arial" w:cs="Arial"/>
        </w:rPr>
        <w:t>2008)</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(see Figure</w:t>
      </w:r>
      <w:r w:rsidR="002F3392">
        <w:rPr>
          <w:rFonts w:ascii="Arial" w:hAnsi="Arial" w:cs="Arial"/>
          <w:color w:val="0D0D0D" w:themeColor="text1" w:themeTint="F2"/>
        </w:rPr>
        <w:t xml:space="preserve"> 4.</w:t>
      </w:r>
      <w:r w:rsidRPr="00225AB0">
        <w:rPr>
          <w:rFonts w:ascii="Arial" w:hAnsi="Arial" w:cs="Arial"/>
          <w:color w:val="0D0D0D" w:themeColor="text1" w:themeTint="F2"/>
        </w:rPr>
        <w:t xml:space="preserve">1B). </w:t>
      </w:r>
    </w:p>
    <w:p w14:paraId="219330BD" w14:textId="77777777" w:rsidR="00FA62F7" w:rsidRPr="00225AB0" w:rsidRDefault="00FA62F7" w:rsidP="00FA62F7">
      <w:pPr>
        <w:spacing w:line="480" w:lineRule="auto"/>
        <w:rPr>
          <w:rFonts w:ascii="Arial" w:hAnsi="Arial" w:cs="Arial"/>
          <w:i/>
          <w:color w:val="0D0D0D" w:themeColor="text1" w:themeTint="F2"/>
        </w:rPr>
      </w:pPr>
    </w:p>
    <w:p w14:paraId="6C10D282" w14:textId="5333FAA2"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Attentional modulation scan sessions consisted of an average of 6, </w:t>
      </w:r>
      <w:r w:rsidR="00885D32">
        <w:rPr>
          <w:rFonts w:ascii="Arial" w:hAnsi="Arial" w:cs="Arial"/>
          <w:color w:val="0D0D0D" w:themeColor="text1" w:themeTint="F2"/>
        </w:rPr>
        <w:t>6:42</w:t>
      </w:r>
      <w:r w:rsidRPr="00225AB0">
        <w:rPr>
          <w:rFonts w:ascii="Arial" w:hAnsi="Arial" w:cs="Arial"/>
          <w:color w:val="0D0D0D" w:themeColor="text1" w:themeTint="F2"/>
        </w:rPr>
        <w:t>-minute runs, containing 134 volumes of data, including 3 dummy TRs later removed to allow for the scanner magnetisation to reach a steady-state. 39 slices were acquired in a bottom-up interleaved acquisition order (TR 3000ms, TE 30ms, field-of-view 19.2cm</w:t>
      </w:r>
      <w:r w:rsidRPr="00225AB0">
        <w:rPr>
          <w:rFonts w:ascii="Arial" w:hAnsi="Arial" w:cs="Arial"/>
          <w:color w:val="0D0D0D" w:themeColor="text1" w:themeTint="F2"/>
          <w:vertAlign w:val="superscript"/>
        </w:rPr>
        <w:t>3</w:t>
      </w:r>
      <w:r w:rsidRPr="00225AB0">
        <w:rPr>
          <w:rFonts w:ascii="Arial" w:hAnsi="Arial" w:cs="Arial"/>
          <w:color w:val="0D0D0D" w:themeColor="text1" w:themeTint="F2"/>
        </w:rPr>
        <w:t>, matrix size = 96 x 96, voxel size 2.0 x 2.0 x 2.5mm</w:t>
      </w:r>
      <w:r w:rsidRPr="00225AB0">
        <w:rPr>
          <w:rFonts w:ascii="Arial" w:hAnsi="Arial" w:cs="Arial"/>
          <w:color w:val="0D0D0D" w:themeColor="text1" w:themeTint="F2"/>
          <w:vertAlign w:val="superscript"/>
        </w:rPr>
        <w:t>3</w:t>
      </w:r>
      <w:r w:rsidRPr="00225AB0">
        <w:rPr>
          <w:rFonts w:ascii="Arial" w:hAnsi="Arial" w:cs="Arial"/>
          <w:color w:val="0D0D0D" w:themeColor="text1" w:themeTint="F2"/>
        </w:rPr>
        <w:t xml:space="preserve">, flip angle 90°). </w:t>
      </w:r>
    </w:p>
    <w:p w14:paraId="5C68A8BB" w14:textId="0C22F611"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During the pRF and attentional modulation scanning sessions, one 16 channel coil T1-weighted structural scan with the same spatial prescriptions as the functional scans was acquired to aid in the alignment of the functional data to the T1-weighted anatomical structural scan (TR 2100ms, TE 8.6ms, </w:t>
      </w:r>
      <w:r w:rsidRPr="00225AB0">
        <w:rPr>
          <w:rFonts w:ascii="Arial" w:hAnsi="Arial" w:cs="Arial"/>
          <w:color w:val="0D0D0D" w:themeColor="text1" w:themeTint="F2"/>
        </w:rPr>
        <w:lastRenderedPageBreak/>
        <w:t>field-of-view 19.2cm</w:t>
      </w:r>
      <w:r w:rsidRPr="00225AB0">
        <w:rPr>
          <w:rFonts w:ascii="Arial" w:hAnsi="Arial" w:cs="Arial"/>
          <w:color w:val="0D0D0D" w:themeColor="text1" w:themeTint="F2"/>
          <w:vertAlign w:val="superscript"/>
        </w:rPr>
        <w:t>3</w:t>
      </w:r>
      <w:r w:rsidRPr="00225AB0">
        <w:rPr>
          <w:rFonts w:ascii="Arial" w:hAnsi="Arial" w:cs="Arial"/>
          <w:color w:val="0D0D0D" w:themeColor="text1" w:themeTint="F2"/>
        </w:rPr>
        <w:t>, matrix size 512 x 512, voxel size 0.38 x 0.38 x 2.5mm</w:t>
      </w:r>
      <w:r w:rsidRPr="00225AB0">
        <w:rPr>
          <w:rFonts w:ascii="Arial" w:hAnsi="Arial" w:cs="Arial"/>
          <w:color w:val="0D0D0D" w:themeColor="text1" w:themeTint="F2"/>
          <w:vertAlign w:val="superscript"/>
        </w:rPr>
        <w:t>3</w:t>
      </w:r>
      <w:r w:rsidRPr="00225AB0">
        <w:rPr>
          <w:rFonts w:ascii="Arial" w:hAnsi="Arial" w:cs="Arial"/>
          <w:color w:val="0D0D0D" w:themeColor="text1" w:themeTint="F2"/>
        </w:rPr>
        <w:t xml:space="preserve">, flip angle 90°, 39 slices). </w:t>
      </w:r>
    </w:p>
    <w:p w14:paraId="361DF02A" w14:textId="77777777" w:rsidR="00FA62F7" w:rsidRPr="00225AB0" w:rsidRDefault="00FA62F7" w:rsidP="00FA62F7">
      <w:pPr>
        <w:spacing w:line="480" w:lineRule="auto"/>
        <w:rPr>
          <w:rFonts w:ascii="Arial" w:hAnsi="Arial" w:cs="Arial"/>
          <w:color w:val="0D0D0D" w:themeColor="text1" w:themeTint="F2"/>
        </w:rPr>
      </w:pPr>
    </w:p>
    <w:p w14:paraId="35935A1E" w14:textId="77777777" w:rsidR="00F35905" w:rsidRPr="00CC7DCB" w:rsidRDefault="00FA62F7" w:rsidP="00F35905">
      <w:pPr>
        <w:pStyle w:val="Heading4"/>
        <w:numPr>
          <w:ilvl w:val="3"/>
          <w:numId w:val="5"/>
        </w:numPr>
        <w:rPr>
          <w:rFonts w:ascii="Arial" w:hAnsi="Arial" w:cs="Arial"/>
          <w:color w:val="000000" w:themeColor="text1"/>
          <w:sz w:val="28"/>
          <w:szCs w:val="28"/>
        </w:rPr>
      </w:pPr>
      <w:bookmarkStart w:id="463" w:name="_Toc11930074"/>
      <w:bookmarkStart w:id="464" w:name="_Toc16075390"/>
      <w:r w:rsidRPr="00F35905">
        <w:rPr>
          <w:rFonts w:ascii="Arial" w:hAnsi="Arial" w:cs="Arial"/>
          <w:color w:val="000000" w:themeColor="text1"/>
          <w:sz w:val="28"/>
          <w:szCs w:val="28"/>
        </w:rPr>
        <w:t>fMRI Pre-processing</w:t>
      </w:r>
      <w:bookmarkEnd w:id="463"/>
      <w:bookmarkEnd w:id="464"/>
    </w:p>
    <w:p w14:paraId="70F50916" w14:textId="46B9B958"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To improve grey-white matter contrast, the two T1 high-resolution anatomical scans were aligned and averaged together using the FLIRT FSL tool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{"citationID":"IlS55u4T","properties":{"formattedCitation":"(Jenkinson, Beckmann, Behrens, Woolrich, &amp; Smith, 2012)","plainCitation":"(Jenkinson, Beckmann, Behrens, Woolrich, &amp; Smith, 2012)","noteIndex":0},"citationItems":[{"id":253,"uris":["http://zotero.org/groups/318634/items/6TL3BBS7"],"uri":["http://zotero.org/groups/318634/items/6TL3BBS7"],"itemData":{"id":253,"type":"article-journal","title":"FSL","container-title":"NeuroImage","collection-title":"20 YEARS OF fMRI","page":"782-790","volume":"62","issue":"2","source":"ScienceDirect","abstract":"FSL (the FMRIB Software Library) is a comprehensive library of analysis tools for functional, structural and diffusion MRI brain imaging data, written mainly by members of the Analysis Group, FMRIB, Oxford. For this NeuroImage special issue on “20 years of fMRI” we have been asked to write about the history, developments and current status of FSL. We also include some descriptions of parts of FSL that are not well covered in the existing literature. We hope that some of this content might be of interest to users of FSL, and also maybe to new research groups considering creating, releasing and supporting new software packages for brain image analysis.","DOI":"10.1016/j.neuroimage.2011.09.015","ISSN":"1053-8119","journalAbbreviation":"NeuroImage","author":[{"family":"Jenkinson","given":"Mark"},{"family":"Beckmann","given":"Christian F."},{"family":"Behrens","given":"Timothy E. J."},{"family":"Woolrich","given":"Mark W."},{"family":"Smith","given":"Stephen M."}],"issued":{"date-parts":[["2012",8,15]]}}}],"schema":"https://github.com/citation-style-language/schema/raw/master/csl-citation.json"}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(Jenkinson, Beckmann, Behrens, Woolrich, &amp; Smith, 2012)</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This averaged T1 was automatically segmented using a combination of </w:t>
      </w:r>
      <w:proofErr w:type="spellStart"/>
      <w:r w:rsidRPr="00225AB0">
        <w:rPr>
          <w:rFonts w:ascii="Arial" w:hAnsi="Arial" w:cs="Arial"/>
          <w:color w:val="0D0D0D" w:themeColor="text1" w:themeTint="F2"/>
        </w:rPr>
        <w:t>FreeSurfer</w:t>
      </w:r>
      <w:proofErr w:type="spellEnd"/>
      <w:r w:rsidRPr="00225AB0">
        <w:rPr>
          <w:rFonts w:ascii="Arial" w:hAnsi="Arial" w:cs="Arial"/>
          <w:color w:val="0D0D0D" w:themeColor="text1" w:themeTint="F2"/>
        </w:rPr>
        <w:t xml:space="preserve">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{"citationID":"lMGHJVYw","properties":{"formattedCitation":"(Fischl, 2012)","plainCitation":"(Fischl, 2012)","noteIndex":0},"citationItems":[{"id":127,"uris":["http://zotero.org/groups/318634/items/DI42Q86S"],"uri":["http://zotero.org/groups/318634/items/DI42Q86S"],"itemData":{"id":127,"type":"article-journal","title":"FreeSurfer","container-title":"Neuroimage","page":"774–781","volume":"62","issue":"2","source":"Google Scholar","author":[{"family":"Fischl","given":"Bruce"}],"issued":{"date-parts":[["2012"]]}}}],"schema":"https://github.com/citation-style-language/schema/raw/master/csl-citation.json"}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rPr>
        <w:t>(</w:t>
      </w:r>
      <w:proofErr w:type="spellStart"/>
      <w:r w:rsidRPr="00225AB0">
        <w:rPr>
          <w:rFonts w:ascii="Arial" w:hAnsi="Arial" w:cs="Arial"/>
        </w:rPr>
        <w:t>Fischl</w:t>
      </w:r>
      <w:proofErr w:type="spellEnd"/>
      <w:r w:rsidRPr="00225AB0">
        <w:rPr>
          <w:rFonts w:ascii="Arial" w:hAnsi="Arial" w:cs="Arial"/>
        </w:rPr>
        <w:t>, 2012)</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and FSL, and manual corrections were made to the segmentation using ITK-SNAP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{"citationID":"IUet7h9I","properties":{"formattedCitation":"(Teo, Sapiro, &amp; Wandell, 1997)","plainCitation":"(Teo, Sapiro, &amp; Wandell, 1997)","noteIndex":0},"citationItems":[{"id":209,"uris":["http://zotero.org/groups/318634/items/8NK6RWU5"],"uri":["http://zotero.org/groups/318634/items/8NK6RWU5"],"itemData":{"id":209,"type":"article-journal","title":"Creating connected representations of cortical gray matter for functional MRI visualization","container-title":"IEEE transactions on medical imaging","page":"852-863","volume":"16","issue":"6","source":"PubMed","abstract":"We describe a system that is being used to segment gray matter from magnetic resonance imaging (MRI) and to create connected cortical representations for functional MRI visualization (fMRI). The method exploits knowledge of the anatomy of the cortex and incorporates structural constraints into the segmentation. First, the white matter and cerebral spinal fluid (CSF) regions in the MR volume are segmented using a novel techniques of posterior anisotropic diffusion. Then, the user selects the cortical white matter component of interest, and its structure is verified by checking for cavities and handles. After this, a connected representation of the gray matter is created by a constrained growing-out from the white matter boundary. Because the connectivity is computed, the segmentation can be used as input to several methods of visualizing the spatial pattern of cortical activity within gray matter. In our case, the connected representation of gray matter is used to create a flattened representation of the cortex. Then, fMRI measurements are overlaid on the flattened representation, yielding a representation of the volumetric data within a single image. The software is freely available to the research community.","DOI":"10.1109/42.650881","ISSN":"0278-0062","note":"PMID: 9533585","journalAbbreviation":"IEEE Trans Med Imaging","language":"eng","author":[{"family":"Teo","given":"P. C."},{"family":"Sapiro","given":"G."},{"family":"Wandell","given":"B. A."}],"issued":{"date-parts":[["1997",12]]}}}],"schema":"https://github.com/citation-style-language/schema/raw/master/csl-citation.json"}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(Teo, Sapiro, &amp; Wandell, 1997)</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p>
    <w:p w14:paraId="036A892E" w14:textId="77777777" w:rsidR="00FA62F7" w:rsidRPr="00225AB0" w:rsidRDefault="00FA62F7" w:rsidP="00FA62F7">
      <w:pPr>
        <w:spacing w:line="480" w:lineRule="auto"/>
        <w:rPr>
          <w:rFonts w:ascii="Arial" w:hAnsi="Arial" w:cs="Arial"/>
          <w:color w:val="0D0D0D" w:themeColor="text1" w:themeTint="F2"/>
        </w:rPr>
      </w:pPr>
    </w:p>
    <w:p w14:paraId="689234D4" w14:textId="5B0B1300"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Functional data were analysed using MATLAB 2016a (</w:t>
      </w:r>
      <w:proofErr w:type="spellStart"/>
      <w:r w:rsidRPr="00225AB0">
        <w:rPr>
          <w:rFonts w:ascii="Arial" w:hAnsi="Arial" w:cs="Arial"/>
          <w:color w:val="0D0D0D" w:themeColor="text1" w:themeTint="F2"/>
        </w:rPr>
        <w:t>Mathworks</w:t>
      </w:r>
      <w:proofErr w:type="spellEnd"/>
      <w:r w:rsidRPr="00225AB0">
        <w:rPr>
          <w:rFonts w:ascii="Arial" w:hAnsi="Arial" w:cs="Arial"/>
          <w:color w:val="0D0D0D" w:themeColor="text1" w:themeTint="F2"/>
        </w:rPr>
        <w:t xml:space="preserve">, MA) and VISTA software (Vista Lab, Stanford University). Between- and within-scan motion correction was performed to compensate for motion artefacts occurring during the scan session. Any scans with &gt; 3mm movement were removed from further analysis (no attentional modulation runs were removed on the basis of excessive movement). The Vista </w:t>
      </w:r>
      <w:proofErr w:type="spellStart"/>
      <w:r w:rsidRPr="00225AB0">
        <w:rPr>
          <w:rFonts w:ascii="Arial" w:hAnsi="Arial" w:cs="Arial"/>
          <w:color w:val="0D0D0D" w:themeColor="text1" w:themeTint="F2"/>
        </w:rPr>
        <w:t>rxAlign</w:t>
      </w:r>
      <w:proofErr w:type="spellEnd"/>
      <w:r w:rsidRPr="00225AB0">
        <w:rPr>
          <w:rFonts w:ascii="Arial" w:hAnsi="Arial" w:cs="Arial"/>
          <w:color w:val="0D0D0D" w:themeColor="text1" w:themeTint="F2"/>
        </w:rPr>
        <w:t xml:space="preserve"> tool was then used to co-register the 16-channel coil T1-weighted structural scan to the 8-channel coil T1-weighted full-brain anatomical scan. We applied a manual alignment by using landmark points to bring the two volumes into approximate register, followed by a robust EM-based registration algorithm to fine-tune the alignment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{"citationID":"Dryekb6q","properties":{"formattedCitation":"(Nestares &amp; Heeger, 2000)","plainCitation":"(Nestares &amp; Heeger, 2000)","noteIndex":0},"citationItems":[{"id":223,"uris":["http://zotero.org/groups/318634/items/A2LX4I6M"],"uri":["http://zotero.org/groups/318634/items/A2LX4I6M"],"itemData":{"id":223,"type":"article-journal","title":"Robust multiresolution alignment of MRI brain volumes","container-title":"Magnetic Resonance in Medicine: An Official Journal of the International Society for Magnetic Resonance in Medicine","page":"705–715","volume":"43","issue":"5","source":"Google Scholar","author":[{"family":"Nestares","given":"Oscar"},{"family":"Heeger","given":"David J."}],"issued":{"date-parts":[["2000"]]}}}],"schema":"https://github.com/citation-style-language/schema/raw/master/csl-citation.json"}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(Nestares &amp; Heeger, 2000)</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The final alignment was visually inspected to ensure the automatic registration procedure optimised the fit. This alignment was then used as a reference to align the functional data to the full-brain anatomical scan. These functional data were then interpolated to the anatomical segmentation. </w:t>
      </w:r>
    </w:p>
    <w:p w14:paraId="4C019BE1" w14:textId="77777777" w:rsidR="00F35905" w:rsidRPr="00CC7DCB" w:rsidRDefault="00FA62F7" w:rsidP="00F35905">
      <w:pPr>
        <w:pStyle w:val="Heading4"/>
        <w:numPr>
          <w:ilvl w:val="3"/>
          <w:numId w:val="5"/>
        </w:numPr>
        <w:rPr>
          <w:rFonts w:ascii="Arial" w:hAnsi="Arial" w:cs="Arial"/>
          <w:color w:val="000000" w:themeColor="text1"/>
          <w:sz w:val="28"/>
          <w:szCs w:val="28"/>
        </w:rPr>
      </w:pPr>
      <w:bookmarkStart w:id="465" w:name="_Toc11930075"/>
      <w:bookmarkStart w:id="466" w:name="_Toc16075391"/>
      <w:r w:rsidRPr="00F35905">
        <w:rPr>
          <w:rFonts w:ascii="Arial" w:hAnsi="Arial" w:cs="Arial"/>
          <w:color w:val="000000" w:themeColor="text1"/>
          <w:sz w:val="28"/>
          <w:szCs w:val="28"/>
        </w:rPr>
        <w:lastRenderedPageBreak/>
        <w:t>Population receptive field mapping</w:t>
      </w:r>
      <w:bookmarkEnd w:id="465"/>
      <w:bookmarkEnd w:id="466"/>
      <w:r w:rsidRPr="00F35905">
        <w:rPr>
          <w:rFonts w:ascii="Arial" w:hAnsi="Arial" w:cs="Arial"/>
          <w:color w:val="000000" w:themeColor="text1"/>
          <w:sz w:val="28"/>
          <w:szCs w:val="28"/>
        </w:rPr>
        <w:t xml:space="preserve"> </w:t>
      </w:r>
    </w:p>
    <w:p w14:paraId="74C5F208" w14:textId="0FF6E3B8"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To probe attentional modulation across the visual system, we focused our analysis on early visual regions with clear feature-specific preferences or organisation related to our stimulus modulations. The discrete cytoarchitecture of V1, consisting of regular blobs and interblobs with differential spatial and contrast tuning might result distinct activation patterns associated with orientation and contrast.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{"citationID":"OBt8DisA","properties":{"formattedCitation":"(Horton &amp; Hubel, 1981; M. Livingstone &amp; Hubel, 1988; Song et al., 2011)","plainCitation":"(Horton &amp; Hubel, 1981; M. Livingstone &amp; Hubel, 1988; Song et al., 2011)","dontUpdate":true,"noteIndex":0},"citationItems":[{"id":132,"uris":["http://zotero.org/groups/318634/items/BK99UKCT"],"uri":["http://zotero.org/groups/318634/items/BK99UKCT"],"itemData":{"id":132,"type":"article-journal","title":"Regular patchy distribution of cytochrome oxidase staining in primary visual cortex of macaque monkey","container-title":"Nature","page":"762","volume":"292","issue":"5825","source":"Google Scholar","author":[{"family":"Horton","given":"Jonathan C."},{"family":"Hubel","given":"David H."}],"issued":{"date-parts":[["1981"]]}}},{"id":248,"uris":["http://zotero.org/groups/318634/items/HQJBH3W8"],"uri":["http://zotero.org/groups/318634/items/HQJBH3W8"],"itemData":{"id":248,"type":"article-journal","title":"Segregation of form, color, movement, and depth: anatomy, physiology, and perception","container-title":"Science","page":"740–749","volume":"240","issue":"4853","source":"Google Scholar","title-short":"Segregation of form, color, movement, and depth","author":[{"family":"Livingstone","given":"Margaret"},{"family":"Hubel","given":"David"}],"issued":{"date-parts":[["1988"]]}}},{"id":216,"uris":["http://zotero.org/groups/318634/items/ET7SY4ZM"],"uri":["http://zotero.org/groups/318634/items/ET7SY4ZM"],"itemData":{"id":216,"type":"article-journal","title":"Attentional Modulation of fMRI Responses in Human V1 Is Consistent with Distinct Spatial Maps for Chromatically Defined Orientation and Contrast","container-title":"Journal of Neuroscience","page":"12900-12905","volume":"31","issue":"36","source":"www.jneurosci.org","abstract":"Attending to different stimulus features such as contrast or orientation can change the pattern of neural responses in human V1 measured with fMRI. We show that these pattern changes are much more distinct for colored stimuli than for achromatic stimuli. This is evidence for a classic model of V1 functional architecture in which chromatic contrast and orientation are coded in spatially distinct neural domains, while achromatic contrast and orientation are not.","DOI":"10.1523/JNEUROSCI.0580-11.2011","ISSN":"0270-6474, 1529-2401","note":"PMID: 21900568","journalAbbreviation":"J. Neurosci.","language":"en","author":[{"family":"Song","given":"Joo-Hyun"},{"family":"Rowland","given":"Jess"},{"family":"McPeek","given":"Robert M."},{"family":"Wade","given":"Alex R."}],"issued":{"date-parts":[["2011",9,7]]}}}],"schema":"https://github.com/citation-style-language/schema/raw/master/csl-citation.json"}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(Horton &amp; Hubel, 1981; Livingstone &amp; Hubel, 1988; Song et al., 2011)</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Regions LO-1 and LO-2 are clearly-defined, retinotopic areas on the lateral surface of visual cortex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{"citationID":"9YxKahHT","properties":{"formattedCitation":"(Larsson &amp; Heeger, 2006)","plainCitation":"(Larsson &amp; Heeger, 2006)","noteIndex":0},"citationItems":[{"id":239,"uris":["http://zotero.org/groups/318634/items/7JCMQW5A"],"uri":["http://zotero.org/groups/318634/items/7JCMQW5A"],"itemData":{"id":239,"type":"article-journal","title":"Two retinotopic visual areas in human lateral occipital cortex","container-title":"Journal of Neuroscience","page":"13128–13142","volume":"26","issue":"51","source":"Google Scholar","author":[{"family":"Larsson","given":"Jonas"},{"family":"Heeger","given":"David J."}],"issued":{"date-parts":[["2006"]]}}}],"schema":"https://github.com/citation-style-language/schema/raw/master/csl-citation.json"}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(Larsson &amp; Heeger, 2006)</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that have been identified as having a particular significance in both shape and orientation processing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{"citationID":"pLUord7Z","properties":{"formattedCitation":"(Larsson &amp; Heeger, 2006; Silson et al., 2013a)","plainCitation":"(Larsson &amp; Heeger, 2006; Silson et al., 2013a)","dontUpdate":true,"noteIndex":0},"citationItems":[{"id":239,"uris":["http://zotero.org/groups/318634/items/7JCMQW5A"],"uri":["http://zotero.org/groups/318634/items/7JCMQW5A"],"itemData":{"id":239,"type":"article-journal","title":"Two retinotopic visual areas in human lateral occipital cortex","container-title":"Journal of Neuroscience","page":"13128–13142","volume":"26","issue":"51","source":"Google Scholar","author":[{"family":"Larsson","given":"Jonas"},{"family":"Heeger","given":"David J."}],"issued":{"date-parts":[["2006"]]}}},{"id":229,"uris":["http://zotero.org/groups/318634/items/W2MJSXD2"],"uri":["http://zotero.org/groups/318634/items/W2MJSXD2"],"itemData":{"id":229,"type":"article-journal","title":"Specialized and independent processing of orientation and shape in visual field maps LO1 and LO2","container-title":"Nature Neuroscience","page":"267","volume":"16","issue":"3","source":"Google Scholar","author":[{"family":"Silson","given":"Edward H."},{"family":"McKeefry","given":"Declan J."},{"family":"Rodgers","given":"Jessica"},{"family":"Gouws","given":"Andre D."},{"family":"Hymers","given":"Mark"},{"family":"Morland","given":"Antony B."}],"issued":{"date-parts":[["2013"]]}}}],"schema":"https://github.com/citation-style-language/schema/raw/master/csl-citation.json"}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(Larsson &amp; Heeger, 2006; Silson et al., 2013)</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We also selected two additional visual ROIs, a ‘ventral’ area, hV4 and a ‘dorsal’ area V3A/B; regions with no clear expected patterns of attentional modulation to summarise patterns of attentional modulation across the visual cortex. For example, hV4 has been implicated in contrast, orientation and shape processing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{"citationID":"fDz3J3ha","properties":{"formattedCitation":"(S. Dumoulin &amp; Hess, 2007; Ghose &amp; Ts\\uc0\\u8217{} O, 1997; Sani, Santandrea, Golzar, Morrone, &amp; Chelazzi, 2013)","plainCitation":"(S. Dumoulin &amp; Hess, 2007; Ghose &amp; Ts’ O, 1997; Sani, Santandrea, Golzar, Morrone, &amp; Chelazzi, 2013)","dontUpdate":true,"noteIndex":0},"citationItems":[{"id":245,"uris":["http://zotero.org/groups/318634/items/4ABVK7P7"],"uri":["http://zotero.org/groups/318634/items/4ABVK7P7"],"itemData":{"id":245,"type":"article-journal","title":"Form processing modules in primate area V4","container-title":"Journal of Neurophysiology","page":"2191–2196","volume":"77","issue":"4","source":"Google Scholar","author":[{"family":"Ghose","given":"Geoffrey M."},{"family":"Ts' O","given":"Daniel Y."}],"issued":{"date-parts":[["1997"]]}}},{"id":135,"uris":["http://zotero.org/groups/318634/items/Z3WCJEEH"],"uri":["http://zotero.org/groups/318634/items/Z3WCJEEH"],"itemData":{"id":135,"type":"article-journal","title":"Cortical specialization for concentric shape processing","container-title":"Vision research","page":"1608–1613","volume":"47","issue":"12","source":"Google Scholar","author":[{"family":"Dumoulin","given":"S"},{"family":"Hess","given":"R"}],"issued":{"date-parts":[["2007"]]}}},{"id":219,"uris":["http://zotero.org/groups/318634/items/YP7YCGXK"],"uri":["http://zotero.org/groups/318634/items/YP7YCGXK"],"itemData":{"id":219,"type":"article-journal","title":"Selective tuning for contrast in macaque area V4","container-title":"Journal of Neuroscience","page":"18583–18596","volume":"33","issue":"47","source":"Google Scholar","author":[{"family":"Sani","given":"Ilaria"},{"family":"Santandrea","given":"Elisa"},{"family":"Golzar","given":"Ashkan"},{"family":"Morrone","given":"Maria Concetta"},{"family":"Chelazzi","given":"Leonardo"}],"issued":{"date-parts":[["2013"]]}}}],"schema":"https://github.com/citation-style-language/schema/raw/master/csl-citation.json"}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lang w:val="en-US"/>
        </w:rPr>
        <w:t>(Dumoulin &amp; Hess, 2007; Ghose &amp; Ts’ O, 1997; Sani, Santandrea, Golzar, Morrone, &amp; Chelazzi, 2013)</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p>
    <w:p w14:paraId="68E3214D" w14:textId="77777777" w:rsidR="00FA62F7" w:rsidRPr="00225AB0" w:rsidRDefault="00FA62F7" w:rsidP="00FA62F7">
      <w:pPr>
        <w:spacing w:line="480" w:lineRule="auto"/>
        <w:rPr>
          <w:rFonts w:ascii="Arial" w:hAnsi="Arial" w:cs="Arial"/>
          <w:color w:val="0D0D0D" w:themeColor="text1" w:themeTint="F2"/>
        </w:rPr>
      </w:pPr>
    </w:p>
    <w:p w14:paraId="6C8185AD" w14:textId="79EAAD49"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We additionally noted attentional modulation driven by changes in cued task demands must involve feedback signals from higher cortical areas such as the IPS to lower-level visual regions (e.g.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{"citationID":"oVc7ynwY","properties":{"formattedCitation":"(Di Russo et al., 2003; Bressler et al., 2008; Lauritzen et al., 2009; Buffalo et al., 2010)","plainCitation":"(Di Russo et al., 2003; Bressler et al., 2008; Lauritzen et al., 2009; Buffalo et al., 2010)","dontUpdate":true,"noteIndex":0},"citationItems":[{"id":271,"uris":["http://zotero.org/groups/318634/items/NK9JUBEV"],"uri":["http://zotero.org/groups/318634/items/NK9JUBEV"],"itemData":{"id":271,"type":"article-journal","title":"Source analysis of event-related cortical activity during visuo-spatial attention","container-title":"Cerebral Cortex (New York, N.Y.: 1991)","page":"486-499","volume":"13","issue":"5","source":"PubMed","abstract":"Recordings of event-related potentials (ERPs) were combined with structural and functional magnetic resonance imaging (fMRI) to study the spatio-temporal patterns of cortical activity that underlie visual-spatial attention. Small checkerboard stimuli were flashed in random order to the four quadrants of the visual field at a rapid rate while subjects attended to stimuli in one quadrant at a time. Attended stimuli elicited enhanced ERP components in the latency range 80-200 ms that were co-localized with fMRI activations in multiple extrastriate cortical regions. The earliest ERP component (C1 at 50-90 ms) was unaffected by attention and was localized by dipole modeling to calcarine cortex. A longer latency deflection in the 150-225 ms range that was accounted for by this same calcarine source, however, did show consistent modulation with attention. This late attention effect, like the C1, inverted in polarity for upper versus lower field stimuli, consistent with a neural generator in primary visual cortex (area V1). These results provide support to current hypotheses that spatial attention in humans is associated with delayed feedback to area V1 from higher extrastriate areas that may have the function of improving the salience of stimuli at attended locations.","ISSN":"1047-3211","note":"PMID: 12679295","journalAbbreviation":"Cereb. Cortex","language":"eng","author":[{"family":"Di Russo","given":"Francesco"},{"family":"Martínez","given":"Antigona"},{"family":"Hillyard","given":"Steven A."}],"issued":{"date-parts":[["2003",5]]}}},{"id":265,"uris":["http://zotero.org/groups/318634/items/9PBQYS5L"],"uri":["http://zotero.org/groups/318634/items/9PBQYS5L"],"itemData":{"id":265,"type":"article-journal","title":"Top-down control of human visual cortex by frontal and parietal cortex in anticipatory visual spatial attention","container-title":"The Journal of Neuroscience: The Official Journal of the Society for Neuroscience","page":"10056-10061","volume":"28","issue":"40","source":"PubMed","abstract":"Advance information about an impending stimulus facilitates its subsequent identification and ensuing behavioral responses. This facilitation is thought to be mediated by top-down control signals from frontal and parietal cortex that modulate sensory cortical activity. Here we show, using Granger causality measures on blood oxygen level-dependent time series, that frontal eye field (FEF) and intraparietal sulcus (IPS) activity predicts visual occipital activity before an expected visual stimulus. Top-down levels of Granger causality from FEF and IPS to visual occipital cortex were significantly greater than both bottom-up and mean cortex-wide levels in all individual subjects and the group. In the group and most individual subjects, Granger causality was significantly greater from FEF to IPS than from IPS to FEF, and significantly greater from both FEF and IPS to intermediate-tier than lower-tier ventral visual areas. Moreover, top-down Granger causality from right IPS to intermediate-tier areas was predictive of correct behavioral performance. These results suggest that FEF and IPS modulate visual occipital cortex, and FEF modulates IPS, in relation to visual attention. The current approach may prove advantageous for the investigation of interregional directed influences in other human brain functions.","DOI":"10.1523/JNEUROSCI.1776-08.2008","ISSN":"1529-2401","note":"PMID: 18829963\nPMCID: PMC2583122","journalAbbreviation":"J. Neurosci.","language":"eng","author":[{"family":"Bressler","given":"Steven L."},{"family":"Tang","given":"Wei"},{"family":"Sylvester","given":"Chad M."},{"family":"Shulman","given":"Gordon L."},{"family":"Corbetta","given":"Maurizio"}],"issued":{"date-parts":[["2008",10,1]]}}},{"id":250,"uris":["http://zotero.org/groups/318634/items/7NW7VQQ4"],"uri":["http://zotero.org/groups/318634/items/7NW7VQQ4"],"itemData":{"id":250,"type":"article-journal","title":"Top-down flow of visual spatial attention signals from parietal to occipital cortex","container-title":"Journal of Vision","page":"18.1-14","volume":"9","issue":"13","source":"PubMed","abstract":"Given the complexity of our visual environment, the ability to selectively attend to certain locations, while ignoring others, is crucial for reducing the amount of visual information to manageable levels and for optimizing behavioral performance. Sustained allocation of spatial attention causes persistent increases in functional magnetic resonance imaging (fMRI) signals in portions of early visual cortex that retinotopically represent the attended location, even in the absence of a visual stimulus. Here we test the hypothesis that topographically organized posterior parietal cortical areas IPS1 and IPS2 transmit top-down spatial attention signals to early visual cortex. We employed fMRI and coherency analysis to measure functional connectivity among cortical areas V1, V2, V3, V3A, V3B, V7, IPS1, and IPS2 during sustained visual spatial attention. Attention increased the magnitude of coherency for many pairs of areas in occipital and parietal cortex. Additionally, attention-related activity in IPS1 and IPS2 led activity in several visual cortical areas by a few hundred milliseconds. These results are consistent with transmission of top-down spatial attention signals from IPS1 and IPS2 to early visual cortex.","DOI":"10.1167/9.13.18","ISSN":"1534-7362","note":"PMID: 20055551\nPMCID: PMC2857595","journalAbbreviation":"J Vis","language":"eng","author":[{"family":"Lauritzen","given":"Thomas Z."},{"family":"D'Esposito","given":"Mark"},{"family":"Heeger","given":"David J."},{"family":"Silver","given":"Michael A."}],"issued":{"date-parts":[["2009",12,16]]}}},{"id":264,"uris":["http://zotero.org/groups/318634/items/NH8B5CQA"],"uri":["http://zotero.org/groups/318634/items/NH8B5CQA"],"itemData":{"id":264,"type":"article-journal","title":"A backward progression of attentional effects in the ventral stream","container-title":"Proceedings of the National Academy of Sciences of the United States of America","page":"361-365","volume":"107","issue":"1","source":"PubMed","abstract":"The visual processing of behaviorally relevant stimuli is enhanced through top-down attentional feedback. One possibility is that feedback targets early visual areas first and the attentional enhancement builds up at progressively later stages of the visual hierarchy. An alternative possibility is that the feedback targets the higher-order areas first and the attentional effects are communicated \"backward\" to early visual areas. Here, we compared the magnitude and latency of attentional enhancement of firing rates in V1, V2, and V4 in the same animals performing the same task. We found a reverse order of attentional effects, such that attentional enhancement was larger and earlier in V4 and smaller and later in V1, with intermediate results in V2. These results suggest that attentional mechanisms operate via feedback from higher-order areas to lower-order ones.","DOI":"10.1073/pnas.0907658106","ISSN":"1091-6490","note":"PMID: 20007766\nPMCID: PMC2806732","journalAbbreviation":"Proc. Natl. Acad. Sci. U.S.A.","language":"eng","author":[{"family":"Buffalo","given":"Elizabeth A."},{"family":"Fries","given":"Pascal"},{"family":"Landman","given":"Rogier"},{"family":"Liang","given":"Hualou"},{"family":"Desimone","given":"Robert"}],"issued":{"date-parts":[["2010",1,5]]}}}],"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noProof/>
          <w:color w:val="0D0D0D" w:themeColor="text1" w:themeTint="F2"/>
        </w:rPr>
        <w:t>Di Russo et al., 2003; Bressler et al., 2008; Lauritzen et al., 2009)</w:t>
      </w:r>
      <w:r w:rsidRPr="00225AB0">
        <w:rPr>
          <w:rFonts w:ascii="Arial" w:hAnsi="Arial" w:cs="Arial"/>
          <w:color w:val="0D0D0D" w:themeColor="text1" w:themeTint="F2"/>
        </w:rPr>
        <w:fldChar w:fldCharType="end"/>
      </w:r>
      <w:r w:rsidRPr="00225AB0">
        <w:rPr>
          <w:rFonts w:ascii="Arial" w:hAnsi="Arial" w:cs="Arial"/>
          <w:color w:val="0D0D0D" w:themeColor="text1" w:themeTint="F2"/>
        </w:rPr>
        <w:t>. We therefore included the IPS as a separate ROI of particular interest in our analysis of connectivity.</w:t>
      </w:r>
    </w:p>
    <w:p w14:paraId="3FF21D9B" w14:textId="77777777" w:rsidR="00FA62F7" w:rsidRPr="00225AB0" w:rsidRDefault="00FA62F7" w:rsidP="00FA62F7">
      <w:pPr>
        <w:spacing w:line="480" w:lineRule="auto"/>
        <w:rPr>
          <w:rFonts w:ascii="Arial" w:hAnsi="Arial" w:cs="Arial"/>
          <w:color w:val="0D0D0D" w:themeColor="text1" w:themeTint="F2"/>
        </w:rPr>
      </w:pPr>
    </w:p>
    <w:p w14:paraId="4666A28B" w14:textId="34469C27"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pRF parameters (eccentricity, polar angle and size) were estimated for each voxel using the standard pRF model </w:t>
      </w:r>
      <w:r w:rsidR="00D44AC6">
        <w:rPr>
          <w:rFonts w:ascii="Arial" w:hAnsi="Arial" w:cs="Arial"/>
          <w:color w:val="0D0D0D" w:themeColor="text1" w:themeTint="F2"/>
        </w:rPr>
        <w:t>in</w:t>
      </w:r>
      <w:r w:rsidRPr="00225AB0">
        <w:rPr>
          <w:rFonts w:ascii="Arial" w:hAnsi="Arial" w:cs="Arial"/>
          <w:color w:val="0D0D0D" w:themeColor="text1" w:themeTint="F2"/>
        </w:rPr>
        <w:t xml:space="preserve"> </w:t>
      </w:r>
      <w:proofErr w:type="spellStart"/>
      <w:r w:rsidRPr="00225AB0">
        <w:rPr>
          <w:rFonts w:ascii="Arial" w:hAnsi="Arial" w:cs="Arial"/>
          <w:color w:val="0D0D0D" w:themeColor="text1" w:themeTint="F2"/>
        </w:rPr>
        <w:t>mrVista</w:t>
      </w:r>
      <w:proofErr w:type="spellEnd"/>
      <w:r w:rsidRPr="00225AB0">
        <w:rPr>
          <w:rFonts w:ascii="Arial" w:hAnsi="Arial" w:cs="Arial"/>
          <w:color w:val="0D0D0D" w:themeColor="text1" w:themeTint="F2"/>
        </w:rPr>
        <w:t xml:space="preserve">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{"citationID":"9N40JnAd","properties":{"formattedCitation":"(Serge O. Dumoulin &amp; Wandell, 2008)","plainCitation":"(Serge O. Dumoulin &amp; Wandell, 2008)","dontUpdate":true,"noteIndex":0},"citationItems":[{"id":261,"uris":["http://zotero.org/groups/318634/items/KHNH62CY"],"uri":["http://zotero.org/groups/318634/items/KHNH62CY"],"itemData":{"id":261,"type":"article-journal","title":"Population receptive field estimates in human visual cortex","container-title":"Neuroimage","page":"647–660","volume":"39","issue":"2","source":"Google Scholar","author":[{"family":"Dumoulin","given":"Serge O."},{"family":"Wandell","given":"Brian A."}],"issued":{"date-parts":[["2008"]]}}}],"schema":"https://github.com/citation-style-language/schema/raw/master/csl-citation.json"}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(Dumoulin &amp; Wandell, 2008)</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r w:rsidRPr="00225AB0">
        <w:rPr>
          <w:rFonts w:ascii="Arial" w:hAnsi="Arial" w:cs="Arial"/>
          <w:color w:val="0D0D0D" w:themeColor="text1" w:themeTint="F2"/>
        </w:rPr>
        <w:lastRenderedPageBreak/>
        <w:t xml:space="preserve">Following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{"citationID":"NJatPOnf","properties":{"formattedCitation":"(Wandell et al., 2007)","plainCitation":"(Wandell et al., 2007)","dontUpdate":true,"noteIndex":0},"citationItems":[{"id":214,"uris":["http://zotero.org/groups/318634/items/Z883U2GA"],"uri":["http://zotero.org/groups/318634/items/Z883U2GA"],"itemData":{"id":214,"type":"article-journal","title":"Visual field maps in human cortex","container-title":"Neuron","page":"366–383","volume":"56","issue":"2","source":"Google Scholar","author":[{"family":"Wandell","given":"Brian A."},{"family":"Dumoulin","given":"Serge O."},{"family":"Brewer","given":"Alyssa A."}],"issued":{"date-parts":[["2007"]]}}}],"schema":"https://github.com/citation-style-language/schema/raw/master/csl-citation.json"}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noProof/>
          <w:color w:val="0D0D0D" w:themeColor="text1" w:themeTint="F2"/>
        </w:rPr>
        <w:t>Wandell et al., (2007)</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we manually delineated 9 bilateral ROIs: V1, V2, V3, V3A/B, hV4, LO-1, LO-2, MT+ and IPS0 on cortical flat maps on the basis of polar angle reversals and eccentricity for each participant (see Figure</w:t>
      </w:r>
      <w:r w:rsidR="002F3392">
        <w:rPr>
          <w:rFonts w:ascii="Arial" w:hAnsi="Arial" w:cs="Arial"/>
          <w:color w:val="0D0D0D" w:themeColor="text1" w:themeTint="F2"/>
        </w:rPr>
        <w:t xml:space="preserve"> 4.</w:t>
      </w:r>
      <w:r w:rsidRPr="00225AB0">
        <w:rPr>
          <w:rFonts w:ascii="Arial" w:hAnsi="Arial" w:cs="Arial"/>
          <w:color w:val="0D0D0D" w:themeColor="text1" w:themeTint="F2"/>
        </w:rPr>
        <w:t>1D and Figure</w:t>
      </w:r>
      <w:r w:rsidR="002F3392">
        <w:rPr>
          <w:rFonts w:ascii="Arial" w:hAnsi="Arial" w:cs="Arial"/>
          <w:color w:val="0D0D0D" w:themeColor="text1" w:themeTint="F2"/>
        </w:rPr>
        <w:t xml:space="preserve"> 4.</w:t>
      </w:r>
      <w:r w:rsidRPr="00225AB0">
        <w:rPr>
          <w:rFonts w:ascii="Arial" w:hAnsi="Arial" w:cs="Arial"/>
          <w:color w:val="0D0D0D" w:themeColor="text1" w:themeTint="F2"/>
        </w:rPr>
        <w:t xml:space="preserve">1E). </w:t>
      </w:r>
    </w:p>
    <w:p w14:paraId="1CBC8BF2" w14:textId="57B372A9" w:rsidR="0039680E" w:rsidRDefault="009F3085" w:rsidP="00FA62F7">
      <w:pPr>
        <w:spacing w:line="480" w:lineRule="auto"/>
        <w:rPr>
          <w:rFonts w:ascii="Arial" w:hAnsi="Arial" w:cs="Arial"/>
          <w:color w:val="0D0D0D" w:themeColor="text1" w:themeTint="F2"/>
        </w:rPr>
      </w:pPr>
      <w:r w:rsidRPr="00225AB0">
        <w:rPr>
          <w:rFonts w:ascii="Arial" w:hAnsi="Arial" w:cs="Arial"/>
          <w:noProof/>
          <w:color w:val="0D0D0D" w:themeColor="text1" w:themeTint="F2"/>
          <w:lang w:eastAsia="en-GB"/>
        </w:rPr>
        <w:lastRenderedPageBreak/>
        <mc:AlternateContent>
          <mc:Choice Requires="wps">
            <w:drawing>
              <wp:anchor distT="0" distB="0" distL="114300" distR="114300" simplePos="0" relativeHeight="251809792" behindDoc="1" locked="0" layoutInCell="1" allowOverlap="1" wp14:anchorId="6AEA51FF" wp14:editId="77E22E12">
                <wp:simplePos x="0" y="0"/>
                <wp:positionH relativeFrom="column">
                  <wp:posOffset>-1864995</wp:posOffset>
                </wp:positionH>
                <wp:positionV relativeFrom="paragraph">
                  <wp:posOffset>1727200</wp:posOffset>
                </wp:positionV>
                <wp:extent cx="8869045" cy="5420995"/>
                <wp:effectExtent l="0" t="3175" r="5080" b="5080"/>
                <wp:wrapTight wrapText="bothSides">
                  <wp:wrapPolygon edited="0">
                    <wp:start x="21608" y="13"/>
                    <wp:lineTo x="19" y="13"/>
                    <wp:lineTo x="19" y="21570"/>
                    <wp:lineTo x="21608" y="21570"/>
                    <wp:lineTo x="21608" y="13"/>
                  </wp:wrapPolygon>
                </wp:wrapTight>
                <wp:docPr id="12" name="Text Box 12"/>
                <wp:cNvGraphicFramePr/>
                <a:graphic xmlns:a="http://schemas.openxmlformats.org/drawingml/2006/main">
                  <a:graphicData uri="http://schemas.microsoft.com/office/word/2010/wordprocessingShape">
                    <wps:wsp>
                      <wps:cNvSpPr txBox="1"/>
                      <wps:spPr>
                        <a:xfrm rot="16200000">
                          <a:off x="0" y="0"/>
                          <a:ext cx="8869045" cy="5420995"/>
                        </a:xfrm>
                        <a:prstGeom prst="rect">
                          <a:avLst/>
                        </a:prstGeom>
                        <a:solidFill>
                          <a:schemeClr val="lt1"/>
                        </a:solidFill>
                        <a:ln w="6350">
                          <a:noFill/>
                        </a:ln>
                      </wps:spPr>
                      <wps:txbx>
                        <w:txbxContent>
                          <w:p w14:paraId="65CC726B" w14:textId="77777777" w:rsidR="00C93BE0" w:rsidRDefault="00C93BE0" w:rsidP="009F3085">
                            <w:pPr>
                              <w:keepNext/>
                              <w:jc w:val="center"/>
                            </w:pPr>
                            <w:r>
                              <w:rPr>
                                <w:noProof/>
                                <w:lang w:eastAsia="en-GB"/>
                              </w:rPr>
                              <w:drawing>
                                <wp:inline distT="0" distB="0" distL="0" distR="0" wp14:anchorId="495A09C6" wp14:editId="1E35C18E">
                                  <wp:extent cx="7625594" cy="37719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png"/>
                                          <pic:cNvPicPr/>
                                        </pic:nvPicPr>
                                        <pic:blipFill rotWithShape="1">
                                          <a:blip r:embed="rId42">
                                            <a:extLst>
                                              <a:ext uri="{28A0092B-C50C-407E-A947-70E740481C1C}">
                                                <a14:useLocalDpi xmlns:a14="http://schemas.microsoft.com/office/drawing/2010/main" val="0"/>
                                              </a:ext>
                                            </a:extLst>
                                          </a:blip>
                                          <a:srcRect t="7027" r="4463"/>
                                          <a:stretch/>
                                        </pic:blipFill>
                                        <pic:spPr bwMode="auto">
                                          <a:xfrm>
                                            <a:off x="0" y="0"/>
                                            <a:ext cx="7629253" cy="3773710"/>
                                          </a:xfrm>
                                          <a:prstGeom prst="rect">
                                            <a:avLst/>
                                          </a:prstGeom>
                                          <a:ln>
                                            <a:noFill/>
                                          </a:ln>
                                          <a:extLst>
                                            <a:ext uri="{53640926-AAD7-44D8-BBD7-CCE9431645EC}">
                                              <a14:shadowObscured xmlns:a14="http://schemas.microsoft.com/office/drawing/2010/main"/>
                                            </a:ext>
                                          </a:extLst>
                                        </pic:spPr>
                                      </pic:pic>
                                    </a:graphicData>
                                  </a:graphic>
                                </wp:inline>
                              </w:drawing>
                            </w:r>
                          </w:p>
                          <w:p w14:paraId="6F4E5699" w14:textId="308115C6" w:rsidR="00C93BE0" w:rsidRPr="002F3392" w:rsidRDefault="00C93BE0" w:rsidP="009F3085">
                            <w:pPr>
                              <w:pStyle w:val="Caption"/>
                              <w:spacing w:line="360" w:lineRule="auto"/>
                              <w:jc w:val="both"/>
                              <w:rPr>
                                <w:rFonts w:ascii="Arial" w:hAnsi="Arial" w:cs="Arial"/>
                                <w:i w:val="0"/>
                                <w:color w:val="000000" w:themeColor="text1"/>
                                <w:sz w:val="24"/>
                                <w:szCs w:val="24"/>
                              </w:rPr>
                            </w:pPr>
                            <w:bookmarkStart w:id="467" w:name="_Toc12363349"/>
                            <w:bookmarkStart w:id="468" w:name="_Toc16242706"/>
                            <w:r w:rsidRPr="002F3392">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2F3392">
                              <w:rPr>
                                <w:rFonts w:ascii="Arial" w:hAnsi="Arial" w:cs="Arial"/>
                                <w:i w:val="0"/>
                                <w:color w:val="000000" w:themeColor="text1"/>
                                <w:sz w:val="24"/>
                                <w:szCs w:val="24"/>
                              </w:rPr>
                              <w:t xml:space="preserve"> </w:t>
                            </w:r>
                            <w:r w:rsidRPr="002F3392">
                              <w:rPr>
                                <w:rFonts w:ascii="Arial" w:hAnsi="Arial" w:cs="Arial"/>
                                <w:i w:val="0"/>
                                <w:iCs w:val="0"/>
                                <w:color w:val="000000" w:themeColor="text1"/>
                                <w:sz w:val="24"/>
                                <w:szCs w:val="24"/>
                                <w:lang w:val="en-US"/>
                              </w:rPr>
                              <w:t xml:space="preserve">Exemplar stimuli and retinotopic maps. A) Example psychophysics/fMRI trial structure B) Example high-contrast phase-reversing checkerboard drifting bar stimulus used to gain estimates of population receptive field size, as in Dumoulin &amp; Wandell (2008). C) Full-field motion stimulus used to help delineate MT+ ROIs, (adapted from </w:t>
                            </w:r>
                            <w:r w:rsidRPr="002F3392">
                              <w:rPr>
                                <w:rFonts w:ascii="Arial" w:hAnsi="Arial" w:cs="Arial"/>
                                <w:i w:val="0"/>
                                <w:noProof/>
                                <w:color w:val="000000" w:themeColor="text1"/>
                                <w:sz w:val="24"/>
                                <w:szCs w:val="24"/>
                              </w:rPr>
                              <w:t xml:space="preserve">Huk et al., 2002; Fischer et al., 2012; Maloney et al., 2013). </w:t>
                            </w:r>
                            <w:r w:rsidRPr="002F3392">
                              <w:rPr>
                                <w:rFonts w:ascii="Arial" w:hAnsi="Arial" w:cs="Arial"/>
                                <w:i w:val="0"/>
                                <w:iCs w:val="0"/>
                                <w:color w:val="000000" w:themeColor="text1"/>
                                <w:sz w:val="24"/>
                                <w:szCs w:val="24"/>
                                <w:lang w:val="en-US"/>
                              </w:rPr>
                              <w:t>D &amp; E) Exemplar left hemisphere retinotopic maps with ROI border overlays presented on flattened cortical representations for one participant. Visual ROIs were defined on the basis of eccentricity (A) and polar angle (B) in accordance with the processes described in Dumoulin, Wandell &amp; Brewer (2007).</w:t>
                            </w:r>
                            <w:bookmarkEnd w:id="467"/>
                            <w:bookmarkEnd w:id="468"/>
                          </w:p>
                          <w:p w14:paraId="2B5D22B8" w14:textId="77777777" w:rsidR="00C93BE0" w:rsidRPr="002F3392" w:rsidRDefault="00C93BE0" w:rsidP="009F3085">
                            <w:pPr>
                              <w:keepNext/>
                              <w:spacing w:line="360" w:lineRule="auto"/>
                              <w:jc w:val="both"/>
                              <w:rPr>
                                <w:rFonts w:ascii="Arial" w:hAnsi="Arial" w:cs="Arial"/>
                                <w:color w:val="000000" w:themeColor="text1"/>
                              </w:rPr>
                            </w:pPr>
                          </w:p>
                          <w:p w14:paraId="2F09BF7E" w14:textId="77777777" w:rsidR="00C93BE0" w:rsidRPr="002F3392" w:rsidRDefault="00C93BE0" w:rsidP="009F3085">
                            <w:pPr>
                              <w:pStyle w:val="Caption"/>
                              <w:spacing w:line="360" w:lineRule="auto"/>
                              <w:jc w:val="both"/>
                              <w:rPr>
                                <w:rFonts w:ascii="Arial" w:hAnsi="Arial" w:cs="Arial"/>
                                <w:i w:val="0"/>
                                <w:color w:val="000000" w:themeColor="text1"/>
                                <w:sz w:val="24"/>
                                <w:szCs w:val="24"/>
                              </w:rPr>
                            </w:pPr>
                            <w:r w:rsidRPr="002F3392">
                              <w:rPr>
                                <w:rFonts w:ascii="Arial" w:hAnsi="Arial" w:cs="Arial"/>
                                <w:i w:val="0"/>
                                <w:color w:val="000000" w:themeColor="text1"/>
                                <w:sz w:val="24"/>
                                <w:szCs w:val="24"/>
                              </w:rPr>
                              <w:t xml:space="preserve"> </w:t>
                            </w:r>
                          </w:p>
                          <w:p w14:paraId="240405AA" w14:textId="77777777" w:rsidR="00C93BE0" w:rsidRDefault="00C93BE0" w:rsidP="009F30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A51FF" id="Text Box 12" o:spid="_x0000_s1046" type="#_x0000_t202" style="position:absolute;margin-left:-146.85pt;margin-top:136pt;width:698.35pt;height:426.85pt;rotation:-90;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" fillcolor="white [3201]" stroked="f" strokeweight=".5pt">
                <v:textbox>
                  <w:txbxContent>
                    <w:p w14:paraId="65CC726B" w14:textId="77777777" w:rsidR="00C93BE0" w:rsidRDefault="00C93BE0" w:rsidP="009F3085">
                      <w:pPr>
                        <w:keepNext/>
                        <w:jc w:val="center"/>
                      </w:pPr>
                      <w:r>
                        <w:rPr>
                          <w:noProof/>
                          <w:lang w:eastAsia="en-GB"/>
                        </w:rPr>
                        <w:drawing>
                          <wp:inline distT="0" distB="0" distL="0" distR="0" wp14:anchorId="495A09C6" wp14:editId="1E35C18E">
                            <wp:extent cx="7625594" cy="37719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png"/>
                                    <pic:cNvPicPr/>
                                  </pic:nvPicPr>
                                  <pic:blipFill rotWithShape="1">
                                    <a:blip r:embed="rId43">
                                      <a:extLst>
                                        <a:ext uri="{28A0092B-C50C-407E-A947-70E740481C1C}">
                                          <a14:useLocalDpi xmlns:a14="http://schemas.microsoft.com/office/drawing/2010/main" val="0"/>
                                        </a:ext>
                                      </a:extLst>
                                    </a:blip>
                                    <a:srcRect t="7027" r="4463"/>
                                    <a:stretch/>
                                  </pic:blipFill>
                                  <pic:spPr bwMode="auto">
                                    <a:xfrm>
                                      <a:off x="0" y="0"/>
                                      <a:ext cx="7629253" cy="3773710"/>
                                    </a:xfrm>
                                    <a:prstGeom prst="rect">
                                      <a:avLst/>
                                    </a:prstGeom>
                                    <a:ln>
                                      <a:noFill/>
                                    </a:ln>
                                    <a:extLst>
                                      <a:ext uri="{53640926-AAD7-44D8-BBD7-CCE9431645EC}">
                                        <a14:shadowObscured xmlns:a14="http://schemas.microsoft.com/office/drawing/2010/main"/>
                                      </a:ext>
                                    </a:extLst>
                                  </pic:spPr>
                                </pic:pic>
                              </a:graphicData>
                            </a:graphic>
                          </wp:inline>
                        </w:drawing>
                      </w:r>
                    </w:p>
                    <w:p w14:paraId="6F4E5699" w14:textId="308115C6" w:rsidR="00C93BE0" w:rsidRPr="002F3392" w:rsidRDefault="00C93BE0" w:rsidP="009F3085">
                      <w:pPr>
                        <w:pStyle w:val="Caption"/>
                        <w:spacing w:line="360" w:lineRule="auto"/>
                        <w:jc w:val="both"/>
                        <w:rPr>
                          <w:rFonts w:ascii="Arial" w:hAnsi="Arial" w:cs="Arial"/>
                          <w:i w:val="0"/>
                          <w:color w:val="000000" w:themeColor="text1"/>
                          <w:sz w:val="24"/>
                          <w:szCs w:val="24"/>
                        </w:rPr>
                      </w:pPr>
                      <w:bookmarkStart w:id="502" w:name="_Toc12363349"/>
                      <w:bookmarkStart w:id="503" w:name="_Toc16242706"/>
                      <w:r w:rsidRPr="002F3392">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2F3392">
                        <w:rPr>
                          <w:rFonts w:ascii="Arial" w:hAnsi="Arial" w:cs="Arial"/>
                          <w:i w:val="0"/>
                          <w:color w:val="000000" w:themeColor="text1"/>
                          <w:sz w:val="24"/>
                          <w:szCs w:val="24"/>
                        </w:rPr>
                        <w:t xml:space="preserve"> </w:t>
                      </w:r>
                      <w:r w:rsidRPr="002F3392">
                        <w:rPr>
                          <w:rFonts w:ascii="Arial" w:hAnsi="Arial" w:cs="Arial"/>
                          <w:i w:val="0"/>
                          <w:iCs w:val="0"/>
                          <w:color w:val="000000" w:themeColor="text1"/>
                          <w:sz w:val="24"/>
                          <w:szCs w:val="24"/>
                          <w:lang w:val="en-US"/>
                        </w:rPr>
                        <w:t xml:space="preserve">Exemplar stimuli and retinotopic maps. A) Example psychophysics/fMRI trial structure B) Example high-contrast phase-reversing checkerboard drifting bar stimulus used to gain estimates of population receptive field size, as in Dumoulin &amp; Wandell (2008). C) Full-field motion stimulus used to help delineate MT+ ROIs, (adapted from </w:t>
                      </w:r>
                      <w:r w:rsidRPr="002F3392">
                        <w:rPr>
                          <w:rFonts w:ascii="Arial" w:hAnsi="Arial" w:cs="Arial"/>
                          <w:i w:val="0"/>
                          <w:noProof/>
                          <w:color w:val="000000" w:themeColor="text1"/>
                          <w:sz w:val="24"/>
                          <w:szCs w:val="24"/>
                        </w:rPr>
                        <w:t xml:space="preserve">Huk et al., 2002; Fischer et al., 2012; Maloney et al., 2013). </w:t>
                      </w:r>
                      <w:r w:rsidRPr="002F3392">
                        <w:rPr>
                          <w:rFonts w:ascii="Arial" w:hAnsi="Arial" w:cs="Arial"/>
                          <w:i w:val="0"/>
                          <w:iCs w:val="0"/>
                          <w:color w:val="000000" w:themeColor="text1"/>
                          <w:sz w:val="24"/>
                          <w:szCs w:val="24"/>
                          <w:lang w:val="en-US"/>
                        </w:rPr>
                        <w:t>D &amp; E) Exemplar left hemisphere retinotopic maps with ROI border overlays presented on flattened cortical representations for one participant. Visual ROIs were defined on the basis of eccentricity (A) and polar angle (B) in accordance with the processes described in Dumoulin, Wandell &amp; Brewer (2007).</w:t>
                      </w:r>
                      <w:bookmarkEnd w:id="502"/>
                      <w:bookmarkEnd w:id="503"/>
                    </w:p>
                    <w:p w14:paraId="2B5D22B8" w14:textId="77777777" w:rsidR="00C93BE0" w:rsidRPr="002F3392" w:rsidRDefault="00C93BE0" w:rsidP="009F3085">
                      <w:pPr>
                        <w:keepNext/>
                        <w:spacing w:line="360" w:lineRule="auto"/>
                        <w:jc w:val="both"/>
                        <w:rPr>
                          <w:rFonts w:ascii="Arial" w:hAnsi="Arial" w:cs="Arial"/>
                          <w:color w:val="000000" w:themeColor="text1"/>
                        </w:rPr>
                      </w:pPr>
                    </w:p>
                    <w:p w14:paraId="2F09BF7E" w14:textId="77777777" w:rsidR="00C93BE0" w:rsidRPr="002F3392" w:rsidRDefault="00C93BE0" w:rsidP="009F3085">
                      <w:pPr>
                        <w:pStyle w:val="Caption"/>
                        <w:spacing w:line="360" w:lineRule="auto"/>
                        <w:jc w:val="both"/>
                        <w:rPr>
                          <w:rFonts w:ascii="Arial" w:hAnsi="Arial" w:cs="Arial"/>
                          <w:i w:val="0"/>
                          <w:color w:val="000000" w:themeColor="text1"/>
                          <w:sz w:val="24"/>
                          <w:szCs w:val="24"/>
                        </w:rPr>
                      </w:pPr>
                      <w:r w:rsidRPr="002F3392">
                        <w:rPr>
                          <w:rFonts w:ascii="Arial" w:hAnsi="Arial" w:cs="Arial"/>
                          <w:i w:val="0"/>
                          <w:color w:val="000000" w:themeColor="text1"/>
                          <w:sz w:val="24"/>
                          <w:szCs w:val="24"/>
                        </w:rPr>
                        <w:t xml:space="preserve"> </w:t>
                      </w:r>
                    </w:p>
                    <w:p w14:paraId="240405AA" w14:textId="77777777" w:rsidR="00C93BE0" w:rsidRDefault="00C93BE0" w:rsidP="009F3085"/>
                  </w:txbxContent>
                </v:textbox>
                <w10:wrap type="tight"/>
              </v:shape>
            </w:pict>
          </mc:Fallback>
        </mc:AlternateContent>
      </w:r>
    </w:p>
    <w:p w14:paraId="0851774B" w14:textId="719CE4FA"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lastRenderedPageBreak/>
        <w:t xml:space="preserve">Seven participants possessed previously-collected MT+ localiser data (the design adapted from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{"citationID":"88JEiFfy","properties":{"formattedCitation":"(Fischer et al., 2011; Alexander C. Huk et al., 2002; Maloney et al., 2013)","plainCitation":"(Fischer et al., 2011; Alexander C. Huk et al., 2002; Maloney et al., 2013)","dontUpdate":true,"noteIndex":0},"citationItems":[{"id":255,"uris":["http://zotero.org/groups/318634/items/P3VG3JH8"],"uri":["http://zotero.org/groups/318634/items/P3VG3JH8"],"itemData":{"id":255,"type":"article-journal","title":"Retinotopy and functional subdivision of human areas MT and MST","container-title":"Journal of Neuroscience","page":"7195–7205","volume":"22","issue":"16","source":"Google Scholar","author":[{"family":"Huk","given":"Alexander C."},{"family":"Dougherty","given":"Robert F."},{"family":"Heeger","given":"David J."}],"issued":{"date-parts":[["2002"]]}}},{"id":134,"uris":["http://zotero.org/groups/318634/items/G5W9N2TE"],"uri":["http://zotero.org/groups/318634/items/G5W9N2TE"],"itemData":{"id":134,"type":"article-journal","title":"Visual motion responses in the posterior cingulate sulcus: a comparison to V5/MT and MST","container-title":"Cerebral Cortex","page":"865–876","volume":"22","issue":"4","source":"Google Scholar","title-short":"Visual motion responses in the posterior cingulate sulcus","author":[{"family":"Fischer","given":"Elvira"},{"family":"Bülthoff","given":"Heinrich H."},{"family":"Logothetis","given":"Nikos K."},{"family":"Bartels","given":"Andreas"}],"issued":{"date-parts":[["2011"]]}}},{"id":131,"uris":["http://zotero.org/groups/318634/items/ULQ89I4N"],"uri":["http://zotero.org/groups/318634/items/ULQ89I4N"],"itemData":{"id":131,"type":"article-journal","title":"Human cortical and behavioral sensitivity to patterns of complex motion at eccentricity","container-title":"Journal of Neurophysiology","page":"2545–2556","volume":"110","issue":"11","source":"Google Scholar","author":[{"family":"Maloney","given":"Ryan T."},{"family":"Watson","given":"Tamara L."},{"family":"Clifford","given":"Colin WG"}],"issued":{"date-parts":[["2013"]]}}}],"schema":"https://github.com/citation-style-language/schema/raw/master/csl-citation.json"}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(Fischer et al., 2011; Huk et al., 2002; Maloney et al., 2013)</w:t>
      </w:r>
      <w:r w:rsidRPr="00225AB0">
        <w:rPr>
          <w:rFonts w:ascii="Arial" w:hAnsi="Arial" w:cs="Arial"/>
          <w:color w:val="0D0D0D" w:themeColor="text1" w:themeTint="F2"/>
        </w:rPr>
        <w:fldChar w:fldCharType="end"/>
      </w:r>
      <w:r w:rsidRPr="00225AB0">
        <w:rPr>
          <w:rFonts w:ascii="Arial" w:hAnsi="Arial" w:cs="Arial"/>
          <w:color w:val="0D0D0D" w:themeColor="text1" w:themeTint="F2"/>
        </w:rPr>
        <w:t>, defining MT+ on the basis of responses to motion versus static stimuli (see Figure</w:t>
      </w:r>
      <w:r w:rsidR="002F3392">
        <w:rPr>
          <w:rFonts w:ascii="Arial" w:hAnsi="Arial" w:cs="Arial"/>
          <w:color w:val="0D0D0D" w:themeColor="text1" w:themeTint="F2"/>
        </w:rPr>
        <w:t xml:space="preserve"> 4.</w:t>
      </w:r>
      <w:r w:rsidRPr="00225AB0">
        <w:rPr>
          <w:rFonts w:ascii="Arial" w:hAnsi="Arial" w:cs="Arial"/>
          <w:color w:val="0D0D0D" w:themeColor="text1" w:themeTint="F2"/>
        </w:rPr>
        <w:t>1C).</w:t>
      </w:r>
      <w:r w:rsidRPr="00225AB0">
        <w:rPr>
          <w:rFonts w:ascii="Arial" w:hAnsi="Arial" w:cs="Arial"/>
          <w:i/>
          <w:color w:val="0D0D0D" w:themeColor="text1" w:themeTint="F2"/>
        </w:rPr>
        <w:t xml:space="preserve"> </w:t>
      </w:r>
      <w:r w:rsidRPr="00225AB0">
        <w:rPr>
          <w:rFonts w:ascii="Arial" w:hAnsi="Arial" w:cs="Arial"/>
          <w:color w:val="0D0D0D" w:themeColor="text1" w:themeTint="F2"/>
        </w:rPr>
        <w:t xml:space="preserve">For these participants, we used these motion-defined MT+ ROIs. To ensure consistency and examine reliability across these different MT+ identification techniques, each participants’ structural space was transformed to Talairach coordinates using the seven landmarks outlined in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{"citationID":"12J3Qyb0","properties":{"formattedCitation":"(Ryu et al., 2010)","plainCitation":"(Ryu et al., 2010)","noteIndex":0},"citationItems":[{"id":233,"uris":["http://zotero.org/groups/318634/items/KNK4M44D"],"uri":["http://zotero.org/groups/318634/items/KNK4M44D"],"itemData":{"id":233,"type":"article-journal","title":"Measurement of precuneal and hippocampal volumes using magnetic resonance volumetry in Alzheimer's disease","container-title":"Journal of Clinical Neurology","page":"196–203","volume":"6","issue":"4","source":"Google Scholar","author":[{"family":"Ryu","given":"Seon-Young"},{"family":"Kwon","given":"Min Jeong"},{"family":"Lee","given":"Sang-Bong"},{"family":"Yang","given":"Dong Won"},{"family":"Kim","given":"Tae-Woo"},{"family":"Song","given":"In-Uk"},{"family":"Yang","given":"Po Song"},{"family":"Kim","given":"Hyun Jeong"},{"family":"Lee","given":"Ae Young"}],"issued":{"date-parts":[["2010"]]}}}],"schema":"https://github.com/citation-style-language/schema/raw/master/csl-citation.json"}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rPr>
        <w:t>(Ryu et al., 2010)</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A reference spherical 8mm MT+ ROI was created from standardised Talairach coordinates centred on [LH: -47 -76 2, RH: 44 -67 0]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{"citationID":"0KKI4u6M","properties":{"formattedCitation":"(S. O. Dumoulin et al., 2000)","plainCitation":"(S. O. Dumoulin et al., 2000)","noteIndex":0},"citationItems":[{"id":270,"uris":["http://zotero.org/groups/318634/items/FYME3QRT"],"uri":["http://zotero.org/groups/318634/items/FYME3QRT"],"itemData":{"id":270,"type":"article-journal","title":"A new anatomical landmark for reliable identification of human area V5/MT: a quantitative analysis of sulcal patterning","container-title":"Cerebral Cortex (New York, N.Y.: 1991)","page":"454-463","volume":"10","issue":"5","source":"PubMed","abstract":"The location of human area V5 (or MT) has been correlated with the intersection of the ascending limb of the inferior temporal sulcus (ALITS) and the lateral occipital sulcus (LO). This study was undertaken to attempt a replication and quantification of these observations using functional magnetic resonance imaging. V5 was significantly activated in 19 hemispheres with alternating, low contrast, random checkerboard patterns. We confirmed the stereotaxic location of V5 and were able to describe a fairly consistent sulcal pattern in the parieto-temporo-occipital cortex. V5 was usually (95%) buried within a sulcus, most commonly within the inferior temporal sulcus (ITS) (11%), the ascending limb of the ITS (ALITS) (53%) and the posterior continuation of the ITS (26%). The average distance from V5 of two identified anatomical landmarks of V5, the junctions of the LO and the ALITS, and the ITS and ALITS, were both 1 cm. However, the LO-ALITS junction often had to be determined by interpolation (47%), and was not always present even with interpolation (21%). In contrast, the ITS-ALITS junction was always present and V5 was usually (90%) located in a sulcus intersecting with this junction, making it a more reliable landmark for localizing V5 with respect to gross morphological features on individual cortical surfaces.","ISSN":"1047-3211","note":"PMID: 10847595","title-short":"A new anatomical landmark for reliable identification of human area V5/MT","journalAbbreviation":"Cereb. Cortex","language":"eng","author":[{"family":"Dumoulin","given":"S. O."},{"family":"Bittar","given":"R. G."},{"family":"Kabani","given":"N. J."},{"family":"Baker","given":"C. L."},{"family":"Le Goualher","given":"G."},{"family":"Bruce Pike","given":"G."},{"family":"Evans","given":"A. C."}],"issued":{"date-parts":[["2000",5]]}}}],"schema":"https://github.com/citation-style-language/schema/raw/master/csl-citation.json"}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(Dumoulin et al., 2000)</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All defined-MT+ ROIs overlapped with the standardised control MT+ spherical ROIs. Using the same process, a 5mm spherical control ROI of the primary auditory cortex (A1) was created for each participant with standardised coordinates centred on [LH: -49 -20 9, RH: 48 -21 10]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{"citationID":"4o1vDPoB","properties":{"formattedCitation":"(Lacadie, Fulbright, Arora, Constable, &amp; Papademetris, 2008)","plainCitation":"(Lacadie, Fulbright, Arora, Constable, &amp; Papademetris, 2008)","noteIndex":0},"citationItems":[{"id":251,"uris":["http://zotero.org/groups/318634/items/CTPCMJ67"],"uri":["http://zotero.org/groups/318634/items/CTPCMJ67"],"itemData":{"id":251,"type":"paper-conference","title":"Brodmann Areas defined in MNI space using a new Tracing Tool in BioImage Suite","container-title":"Proceedings of the 14th Annual Meeting of the Organization for Human Brain Mapping","volume":"771","source":"Google Scholar","author":[{"family":"Lacadie","given":"C."},{"family":"Fulbright","given":"R."},{"family":"Arora","given":"J."},{"family":"Constable","given":"R."},{"family":"Papademetris","given":"X."}],"issued":{"date-parts":[["2008"]]}}}],"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(Lacadie, Fulbright, Arora, Constable, &amp; Papademetris, 2008)</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p>
    <w:p w14:paraId="385A2A73" w14:textId="77777777" w:rsidR="00F72546" w:rsidRPr="00F72546" w:rsidRDefault="00F72546" w:rsidP="00F72546">
      <w:pPr>
        <w:spacing w:line="480" w:lineRule="auto"/>
        <w:rPr>
          <w:rFonts w:ascii="Arial" w:hAnsi="Arial" w:cs="Arial"/>
          <w:color w:val="0D0D0D" w:themeColor="text1" w:themeTint="F2"/>
        </w:rPr>
      </w:pPr>
    </w:p>
    <w:p w14:paraId="761B4C13" w14:textId="77777777" w:rsidR="00FA62F7" w:rsidRPr="00F35905" w:rsidRDefault="00FA62F7" w:rsidP="001811CC">
      <w:pPr>
        <w:pStyle w:val="Heading4"/>
        <w:numPr>
          <w:ilvl w:val="3"/>
          <w:numId w:val="5"/>
        </w:numPr>
        <w:rPr>
          <w:rFonts w:ascii="Arial" w:hAnsi="Arial" w:cs="Arial"/>
          <w:color w:val="000000" w:themeColor="text1"/>
          <w:sz w:val="28"/>
          <w:szCs w:val="28"/>
        </w:rPr>
      </w:pPr>
      <w:bookmarkStart w:id="469" w:name="_Toc11930076"/>
      <w:bookmarkStart w:id="470" w:name="_Toc16075392"/>
      <w:r w:rsidRPr="00F35905">
        <w:rPr>
          <w:rFonts w:ascii="Arial" w:hAnsi="Arial" w:cs="Arial"/>
          <w:color w:val="000000" w:themeColor="text1"/>
          <w:sz w:val="28"/>
          <w:szCs w:val="28"/>
        </w:rPr>
        <w:t>Attentional Modulation</w:t>
      </w:r>
      <w:bookmarkEnd w:id="469"/>
      <w:bookmarkEnd w:id="470"/>
    </w:p>
    <w:p w14:paraId="10426DFD" w14:textId="13E163EE"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General linear models (GLM) were implemented to test the contribution of stimulus condition to the BOLD time course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{"citationID":"FqkXqIC0","properties":{"formattedCitation":"(Friston et al., 1998)","plainCitation":"(Friston et al., 1998)","noteIndex":0},"citationItems":[{"id":205,"uris":["http://zotero.org/groups/318634/items/CGQBQ9IP"],"uri":["http://zotero.org/groups/318634/items/CGQBQ9IP"],"itemData":{"id":205,"type":"article-journal","title":"Event-related fMRI: characterizing differential responses","container-title":"NeuroImage","page":"30-40","volume":"7","issue":"1","source":"PubMed","abstract":"We present an approach to characterizing the differences among event-related hemodynamic responses in functional magnetic resonance imaging that are evoked by different sorts of stimuli. This approach is predicated on a linear convolution model and standard inferential statistics as employed by statistical parametric mapping. In particular we model evoked responses, and their differences, in terms of basis functions of the peri-stimulus time. This facilitates a characterization of the temporal response profiles that has a high effective temporal resolution relative to the repetition time. To demonstrate the technique we examined differential responses to visually presented words that had been seen prior to scanning or that were novel. The form of these differences involved both the magnitude and the latency of the response components. In this paper we focus on bilateral ventrolateral prefrontal responses that show deactivations for previously seen words and activations for novel words.","DOI":"10.1006/nimg.1997.0306","ISSN":"1053-8119","note":"PMID: 9500830","title-short":"Event-related fMRI","journalAbbreviation":"Neuroimage","language":"eng","author":[{"family":"Friston","given":"K. J."},{"family":"Fletcher","given":"P."},{"family":"Josephs","given":"O."},{"family":"Holmes","given":"A."},{"family":"Rugg","given":"M. D."},{"family":"Turner","given":"R."}],"issued":{"date-parts":[["1998",1]]}}}],"schema":"https://github.com/citation-style-language/schema/raw/master/csl-citation.json"}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rPr>
        <w:t>(Friston et al., 1998)</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The default </w:t>
      </w:r>
      <w:r w:rsidR="00182859">
        <w:rPr>
          <w:rFonts w:ascii="Arial" w:hAnsi="Arial" w:cs="Arial"/>
          <w:color w:val="0D0D0D" w:themeColor="text1" w:themeTint="F2"/>
        </w:rPr>
        <w:t>double-gamma haemodynamic response function</w:t>
      </w:r>
      <w:r w:rsidRPr="00225AB0">
        <w:rPr>
          <w:rFonts w:ascii="Arial" w:hAnsi="Arial" w:cs="Arial"/>
          <w:color w:val="0D0D0D" w:themeColor="text1" w:themeTint="F2"/>
        </w:rPr>
        <w:t xml:space="preserve"> </w:t>
      </w:r>
      <w:r w:rsidR="00182859">
        <w:rPr>
          <w:rFonts w:ascii="Arial" w:hAnsi="Arial" w:cs="Arial"/>
          <w:color w:val="0D0D0D" w:themeColor="text1" w:themeTint="F2"/>
        </w:rPr>
        <w:t>(</w:t>
      </w:r>
      <w:r w:rsidRPr="00225AB0">
        <w:rPr>
          <w:rFonts w:ascii="Arial" w:hAnsi="Arial" w:cs="Arial"/>
          <w:color w:val="0D0D0D" w:themeColor="text1" w:themeTint="F2"/>
        </w:rPr>
        <w:t>HRF</w:t>
      </w:r>
      <w:r w:rsidR="00182859">
        <w:rPr>
          <w:rFonts w:ascii="Arial" w:hAnsi="Arial" w:cs="Arial"/>
          <w:color w:val="0D0D0D" w:themeColor="text1" w:themeTint="F2"/>
        </w:rPr>
        <w:t>)</w:t>
      </w:r>
      <w:r w:rsidRPr="00225AB0">
        <w:rPr>
          <w:rFonts w:ascii="Arial" w:hAnsi="Arial" w:cs="Arial"/>
          <w:color w:val="0D0D0D" w:themeColor="text1" w:themeTint="F2"/>
        </w:rPr>
        <w:t xml:space="preserve"> from the SPM8 toolbox was used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{"citationID":"gtyq2CiR","properties":{"formattedCitation":"(Penny, Friston, Ashburner, Kiebel, &amp; Nichols, 2006)","plainCitation":"(Penny, Friston, Ashburner, Kiebel, &amp; Nichols, 2006)","noteIndex":0},"citationItems":[{"id":222,"uris":["http://zotero.org/groups/318634/items/FZIVNR7E"],"uri":["http://zotero.org/groups/318634/items/FZIVNR7E"],"itemData":{"id":222,"type":"webpage","title":"Statistical Parametric Mapping: The Analysis of Functional Brain Images - 1st Edition","URL":"https://www.elsevier.com/books/statistical-parametric-mapping-the-analysis-of-functional-brain-images/penny/978-0-12-372560-8","author":[{"family":"Penny","given":"W"},{"family":"Friston","given":"K. J."},{"family":"Ashburner","given":"J"},{"family":"Kiebel","given":"S"},{"family":"Nichols","given":"T"}],"issued":{"date-parts":[["2006"]]},"accessed":{"date-parts":[["2019",2,28]]}}}],"schema":"https://github.com/citation-style-language/schema/raw/master/csl-citation.json"}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(Penny, Friston, Ashburner, Kiebel, &amp; Nichols, 2006)</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and we fit the model to an averaged time course of BOLD signal changed for each stimulus condition by minimising the sum of squared errors between the predicted timeseries and the measured BOLD response. </w:t>
      </w:r>
    </w:p>
    <w:p w14:paraId="5F824AC4" w14:textId="77777777" w:rsidR="00FA62F7" w:rsidRPr="00225AB0" w:rsidRDefault="00FA62F7" w:rsidP="00FA62F7">
      <w:pPr>
        <w:spacing w:line="480" w:lineRule="auto"/>
        <w:rPr>
          <w:rFonts w:ascii="Arial" w:hAnsi="Arial" w:cs="Arial"/>
          <w:color w:val="0D0D0D" w:themeColor="text1" w:themeTint="F2"/>
        </w:rPr>
      </w:pPr>
    </w:p>
    <w:p w14:paraId="247B2276" w14:textId="04F41A78" w:rsidR="00F72546" w:rsidRDefault="00B050E8" w:rsidP="00F72546">
      <w:pPr>
        <w:spacing w:line="480" w:lineRule="auto"/>
        <w:rPr>
          <w:rFonts w:ascii="Arial" w:hAnsi="Arial" w:cs="Arial"/>
          <w:color w:val="0D0D0D" w:themeColor="text1" w:themeTint="F2"/>
        </w:rPr>
      </w:pPr>
      <w:r w:rsidRPr="00170639">
        <w:rPr>
          <w:rFonts w:ascii="Arial" w:hAnsi="Arial" w:cs="Arial"/>
          <w:color w:val="0D0D0D" w:themeColor="text1" w:themeTint="F2"/>
        </w:rPr>
        <w:lastRenderedPageBreak/>
        <w:t>The first GLM analysed bottom-up stimulus feature change events during which beta weights were obtained by multiple linear regression.</w:t>
      </w:r>
      <w:r w:rsidRPr="00225AB0">
        <w:rPr>
          <w:rFonts w:ascii="Arial" w:hAnsi="Arial" w:cs="Arial"/>
          <w:color w:val="0D0D0D" w:themeColor="text1" w:themeTint="F2"/>
        </w:rPr>
        <w:t xml:space="preserve"> </w:t>
      </w:r>
      <w:r w:rsidR="00FA62F7" w:rsidRPr="00225AB0">
        <w:rPr>
          <w:rFonts w:ascii="Arial" w:hAnsi="Arial" w:cs="Arial"/>
          <w:color w:val="0D0D0D" w:themeColor="text1" w:themeTint="F2"/>
        </w:rPr>
        <w:t xml:space="preserve">Events were classified according to the nature of the stimulus change occurring </w:t>
      </w:r>
      <w:r w:rsidR="00D44AC6">
        <w:rPr>
          <w:rFonts w:ascii="Arial" w:hAnsi="Arial" w:cs="Arial"/>
          <w:color w:val="0D0D0D" w:themeColor="text1" w:themeTint="F2"/>
        </w:rPr>
        <w:t>in</w:t>
      </w:r>
      <w:r w:rsidR="00FA62F7" w:rsidRPr="00225AB0">
        <w:rPr>
          <w:rFonts w:ascii="Arial" w:hAnsi="Arial" w:cs="Arial"/>
          <w:color w:val="0D0D0D" w:themeColor="text1" w:themeTint="F2"/>
        </w:rPr>
        <w:t xml:space="preserve"> a 1 TR (3s) period, regardless of attentional focus (orientation, contrast, shape, no change and multiple change events). Multiple change events reflected two different feature stimulus changes occurring </w:t>
      </w:r>
      <w:r w:rsidR="00D44AC6">
        <w:rPr>
          <w:rFonts w:ascii="Arial" w:hAnsi="Arial" w:cs="Arial"/>
          <w:color w:val="0D0D0D" w:themeColor="text1" w:themeTint="F2"/>
        </w:rPr>
        <w:t>in</w:t>
      </w:r>
      <w:r w:rsidR="00FA62F7" w:rsidRPr="00225AB0">
        <w:rPr>
          <w:rFonts w:ascii="Arial" w:hAnsi="Arial" w:cs="Arial"/>
          <w:color w:val="0D0D0D" w:themeColor="text1" w:themeTint="F2"/>
        </w:rPr>
        <w:t xml:space="preserve"> a single TR. Feature change events (orientation, contrast and shape) reflected when both trials </w:t>
      </w:r>
      <w:r w:rsidR="00D44AC6">
        <w:rPr>
          <w:rFonts w:ascii="Arial" w:hAnsi="Arial" w:cs="Arial"/>
          <w:color w:val="0D0D0D" w:themeColor="text1" w:themeTint="F2"/>
        </w:rPr>
        <w:t>in</w:t>
      </w:r>
      <w:r w:rsidR="00FA62F7" w:rsidRPr="00225AB0">
        <w:rPr>
          <w:rFonts w:ascii="Arial" w:hAnsi="Arial" w:cs="Arial"/>
          <w:color w:val="0D0D0D" w:themeColor="text1" w:themeTint="F2"/>
        </w:rPr>
        <w:t xml:space="preserve"> a TR contained a change in the same feature (e.g. orientation change, orientation change), or a feature change and no feature change (e.g. orientation change, no change). This resulted in 52 to 141 events per stimulus change condition. The second GLM analysed the contribution of attentional focus (15s blocks of directed attention to orientation, contrast, shape or passive viewing). This resulted in a vector of 24 average beta weight estimates for each voxel at the multivariate level.</w:t>
      </w:r>
    </w:p>
    <w:p w14:paraId="45EE1471" w14:textId="77777777" w:rsidR="00B050E8" w:rsidRDefault="00B050E8" w:rsidP="00F72546">
      <w:pPr>
        <w:spacing w:line="480" w:lineRule="auto"/>
        <w:rPr>
          <w:rFonts w:ascii="Arial" w:hAnsi="Arial" w:cs="Arial"/>
          <w:color w:val="0D0D0D" w:themeColor="text1" w:themeTint="F2"/>
        </w:rPr>
      </w:pPr>
    </w:p>
    <w:p w14:paraId="70A3F4EF" w14:textId="77777777" w:rsidR="00B050E8" w:rsidRDefault="00B050E8" w:rsidP="00B050E8">
      <w:pPr>
        <w:spacing w:line="480" w:lineRule="auto"/>
        <w:rPr>
          <w:rFonts w:ascii="Arial" w:hAnsi="Arial" w:cs="Arial"/>
          <w:color w:val="0D0D0D" w:themeColor="text1" w:themeTint="F2"/>
        </w:rPr>
      </w:pPr>
      <w:r w:rsidRPr="00170639">
        <w:rPr>
          <w:rFonts w:ascii="Arial" w:hAnsi="Arial" w:cs="Arial"/>
        </w:rPr>
        <w:t>Participants with &gt;5% average variance explained across the visual ROIs were retained for further analysis (no participants were discarded on the basis of percentage variance explained).</w:t>
      </w:r>
    </w:p>
    <w:p w14:paraId="22E5D9DE" w14:textId="77777777" w:rsidR="00CC7DCB" w:rsidRPr="00F72546" w:rsidRDefault="00CC7DCB" w:rsidP="00F72546">
      <w:pPr>
        <w:spacing w:line="480" w:lineRule="auto"/>
        <w:rPr>
          <w:rFonts w:ascii="Arial" w:hAnsi="Arial" w:cs="Arial"/>
          <w:color w:val="0D0D0D" w:themeColor="text1" w:themeTint="F2"/>
        </w:rPr>
      </w:pPr>
    </w:p>
    <w:p w14:paraId="66E3DAAF" w14:textId="77777777" w:rsidR="00FA62F7" w:rsidRDefault="00FA62F7" w:rsidP="001811CC">
      <w:pPr>
        <w:pStyle w:val="Heading3"/>
        <w:numPr>
          <w:ilvl w:val="2"/>
          <w:numId w:val="5"/>
        </w:numPr>
        <w:rPr>
          <w:rFonts w:ascii="Arial" w:hAnsi="Arial" w:cs="Arial"/>
          <w:b/>
          <w:i/>
          <w:color w:val="000000" w:themeColor="text1"/>
          <w:sz w:val="28"/>
          <w:szCs w:val="28"/>
        </w:rPr>
      </w:pPr>
      <w:bookmarkStart w:id="471" w:name="_Toc11147997"/>
      <w:bookmarkStart w:id="472" w:name="_Toc11153945"/>
      <w:bookmarkStart w:id="473" w:name="_Toc11753649"/>
      <w:bookmarkStart w:id="474" w:name="_Toc11926835"/>
      <w:bookmarkStart w:id="475" w:name="_Toc11930077"/>
      <w:bookmarkStart w:id="476" w:name="_Toc16075393"/>
      <w:bookmarkStart w:id="477" w:name="_Toc16237007"/>
      <w:r w:rsidRPr="00F35905">
        <w:rPr>
          <w:rFonts w:ascii="Arial" w:hAnsi="Arial" w:cs="Arial"/>
          <w:b/>
          <w:i/>
          <w:color w:val="000000" w:themeColor="text1"/>
          <w:sz w:val="28"/>
          <w:szCs w:val="28"/>
        </w:rPr>
        <w:t>Statistical analysis</w:t>
      </w:r>
      <w:bookmarkEnd w:id="471"/>
      <w:bookmarkEnd w:id="472"/>
      <w:bookmarkEnd w:id="473"/>
      <w:bookmarkEnd w:id="474"/>
      <w:bookmarkEnd w:id="475"/>
      <w:bookmarkEnd w:id="476"/>
      <w:bookmarkEnd w:id="477"/>
    </w:p>
    <w:p w14:paraId="4E495EE3" w14:textId="77777777" w:rsidR="00F35905" w:rsidRPr="00F35905" w:rsidRDefault="00F35905" w:rsidP="00F35905"/>
    <w:p w14:paraId="6FCA1935" w14:textId="77777777" w:rsidR="00FA62F7" w:rsidRPr="00F35905" w:rsidRDefault="00FA62F7" w:rsidP="001811CC">
      <w:pPr>
        <w:pStyle w:val="Heading4"/>
        <w:numPr>
          <w:ilvl w:val="3"/>
          <w:numId w:val="5"/>
        </w:numPr>
        <w:rPr>
          <w:rFonts w:ascii="Arial" w:hAnsi="Arial" w:cs="Arial"/>
          <w:color w:val="000000" w:themeColor="text1"/>
          <w:sz w:val="28"/>
          <w:szCs w:val="28"/>
        </w:rPr>
      </w:pPr>
      <w:bookmarkStart w:id="478" w:name="_Toc11930078"/>
      <w:bookmarkStart w:id="479" w:name="_Toc16075394"/>
      <w:r w:rsidRPr="00F35905">
        <w:rPr>
          <w:rFonts w:ascii="Arial" w:hAnsi="Arial" w:cs="Arial"/>
          <w:color w:val="000000" w:themeColor="text1"/>
          <w:sz w:val="28"/>
          <w:szCs w:val="28"/>
        </w:rPr>
        <w:t>Univariate Analyses</w:t>
      </w:r>
      <w:bookmarkEnd w:id="478"/>
      <w:bookmarkEnd w:id="479"/>
    </w:p>
    <w:p w14:paraId="3735F1ED" w14:textId="77777777"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Feature-specific attentional modulation univariate beta weights (orientation, contrast and shape) were averaged (per participant) and compared with the passive beta-weight through Wilcoxon signed-rank tests for each ROI. Independently for event and attentional modulation analyses, feature-specific </w:t>
      </w:r>
      <w:r w:rsidRPr="00225AB0">
        <w:rPr>
          <w:rFonts w:ascii="Arial" w:hAnsi="Arial" w:cs="Arial"/>
          <w:color w:val="0D0D0D" w:themeColor="text1" w:themeTint="F2"/>
        </w:rPr>
        <w:lastRenderedPageBreak/>
        <w:t xml:space="preserve">univariate betas were also analysed through one-way repeated measures ANOVAs to assess stimulus-driven and attentional modulation differences in BOLD signal modulation across orientation, contrast and shape conditions. </w:t>
      </w:r>
    </w:p>
    <w:p w14:paraId="2B8EEBB0" w14:textId="77777777" w:rsidR="00FA62F7" w:rsidRPr="00225AB0" w:rsidRDefault="00FA62F7" w:rsidP="00FA62F7">
      <w:pPr>
        <w:spacing w:line="480" w:lineRule="auto"/>
        <w:rPr>
          <w:rFonts w:ascii="Arial" w:hAnsi="Arial" w:cs="Arial"/>
          <w:color w:val="0D0D0D" w:themeColor="text1" w:themeTint="F2"/>
        </w:rPr>
      </w:pPr>
    </w:p>
    <w:p w14:paraId="24F48991" w14:textId="77777777" w:rsidR="00F35905" w:rsidRPr="00CC7DCB" w:rsidRDefault="00FA62F7" w:rsidP="00F35905">
      <w:pPr>
        <w:pStyle w:val="Heading4"/>
        <w:numPr>
          <w:ilvl w:val="3"/>
          <w:numId w:val="5"/>
        </w:numPr>
        <w:rPr>
          <w:rFonts w:ascii="Arial" w:hAnsi="Arial" w:cs="Arial"/>
          <w:color w:val="000000" w:themeColor="text1"/>
          <w:sz w:val="28"/>
          <w:szCs w:val="28"/>
        </w:rPr>
      </w:pPr>
      <w:bookmarkStart w:id="480" w:name="_Toc11930079"/>
      <w:bookmarkStart w:id="481" w:name="_Toc16075395"/>
      <w:r w:rsidRPr="00F35905">
        <w:rPr>
          <w:rFonts w:ascii="Arial" w:hAnsi="Arial" w:cs="Arial"/>
          <w:color w:val="000000" w:themeColor="text1"/>
          <w:sz w:val="28"/>
          <w:szCs w:val="28"/>
        </w:rPr>
        <w:t>Multivariate</w:t>
      </w:r>
      <w:r w:rsidR="00F72546">
        <w:rPr>
          <w:rFonts w:ascii="Arial" w:hAnsi="Arial" w:cs="Arial"/>
          <w:color w:val="000000" w:themeColor="text1"/>
          <w:sz w:val="28"/>
          <w:szCs w:val="28"/>
        </w:rPr>
        <w:t xml:space="preserve"> </w:t>
      </w:r>
      <w:r w:rsidRPr="00F35905">
        <w:rPr>
          <w:rFonts w:ascii="Arial" w:hAnsi="Arial" w:cs="Arial"/>
          <w:color w:val="000000" w:themeColor="text1"/>
          <w:sz w:val="28"/>
          <w:szCs w:val="28"/>
        </w:rPr>
        <w:t>Analyses</w:t>
      </w:r>
      <w:bookmarkEnd w:id="480"/>
      <w:bookmarkEnd w:id="481"/>
    </w:p>
    <w:p w14:paraId="544E5638" w14:textId="2A2F0577"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In each ROI we selected the 100 voxels that explained the largest amount of variance across conditions. These multivariate beta weights were z-scored across voxels and used as input to a support vector machine (SVM) (‘LIBSVM’ toolbox optimised for Matlab with a radial basis function)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{"citationID":"uYysK6W7","properties":{"formattedCitation":"(Chang &amp; Lin, 2011)","plainCitation":"(Chang &amp; Lin, 2011)","noteIndex":0},"citationItems":[{"id":263,"uris":["http://zotero.org/groups/318634/items/ECA2ZDVD"],"uri":["http://zotero.org/groups/318634/items/ECA2ZDVD"],"itemData":{"id":263,"type":"article-journal","title":"\" LIBSVM: a library for support vector machines,\" ACM Transactions on Intelligent Systems and Technology, 2: 27: 1–27: 27, 2011","container-title":"http://www. csie. ntu. edu. tw/</w:instrText>
      </w:r>
      <w:r w:rsidR="005B4361">
        <w:rPr>
          <w:rFonts w:ascii="Cambria Math" w:hAnsi="Cambria Math" w:cs="Cambria Math"/>
          <w:color w:val="0D0D0D" w:themeColor="text1" w:themeTint="F2"/>
        </w:rPr>
        <w:instrText>∼</w:instrText>
      </w:r>
      <w:r w:rsidR="005B4361">
        <w:rPr>
          <w:rFonts w:ascii="Arial" w:hAnsi="Arial" w:cs="Arial"/>
          <w:color w:val="0D0D0D" w:themeColor="text1" w:themeTint="F2"/>
        </w:rPr>
        <w:instrText xml:space="preserve"> cjlin/libsvm","volume":"2","source":"Google Scholar","title-short":"\" LIBSVM","author":[{"family":"Chang","given":"Chih-Chung"},{"family":"Lin","given":"Chih-Jen"}],"issued":{"date-parts":[["2011"]]}}}],"schema":"https://github.com/citation-style-language/schema/raw/master/csl-citation.json"}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(Chang &amp; Lin, 2011)</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to decode either bottom-up stimulus change or featural attentional focus in two separate analyses using leave-one-out cross validation for each participant. We first assessed multi-class decoding accuracy, supplying orientation, contrast and shape data simultaneously using the ‘one-against-one’ approach to produce a single classification accuracy score for each participant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{"citationID":"ucUs7u34","properties":{"formattedCitation":"(Knerr, Personnaz, &amp; Dreyfus, 1990)","plainCitation":"(Knerr, Personnaz, &amp; Dreyfus, 1990)","noteIndex":0},"citationItems":[{"id":241,"uris":["http://zotero.org/groups/318634/items/A3B3R35H"],"uri":["http://zotero.org/groups/318634/items/A3B3R35H"],"itemData":{"id":241,"type":"chapter","title":"Single-layer learning revisited: a stepwise procedure for building and training a neural network","container-title":"Neurocomputing","publisher":"Springer","page":"41–50","source":"Google Scholar","title-short":"Single-layer learning revisited","author":[{"family":"Knerr","given":"Stefan"},{"family":"Personnaz","given":"Léon"},{"family":"Dreyfus","given":"Gérard"}],"issued":{"date-parts":[["1990"]]}}}],"schema":"https://github.com/citation-style-language/schema/raw/master/csl-citation.json"}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(Knerr, Personnaz, &amp; Dreyfus, 1990)</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For the attentional modulation data, pairwise classification was also performed assessing classification accuracy for each combination of attentional conditions (orientation versus contrast, orientation versus shape, contrast versus shape) to identify the driving forces behind successful multi-class decoding. Classification accuracies were then assessed against chance performance through one-sample Wilcoxon signed-rank tests for each ROI. </w:t>
      </w:r>
    </w:p>
    <w:p w14:paraId="5C4E7450" w14:textId="77777777" w:rsidR="00FA62F7" w:rsidRPr="00225AB0" w:rsidRDefault="00FA62F7" w:rsidP="00FA62F7">
      <w:pPr>
        <w:spacing w:line="480" w:lineRule="auto"/>
        <w:rPr>
          <w:rFonts w:ascii="Arial" w:hAnsi="Arial" w:cs="Arial"/>
          <w:color w:val="0D0D0D" w:themeColor="text1" w:themeTint="F2"/>
        </w:rPr>
      </w:pPr>
    </w:p>
    <w:p w14:paraId="48D11653" w14:textId="23A822A5"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To investigate the spatial localisation of feature-specific attentional modulation across voxels, additional pairwise SVM classification was performed between each attentional focus condition and the passive viewing data. The weighted mean of support vectors from these classifications was </w:t>
      </w:r>
      <w:r w:rsidRPr="00225AB0">
        <w:rPr>
          <w:rFonts w:ascii="Arial" w:hAnsi="Arial" w:cs="Arial"/>
          <w:color w:val="0D0D0D" w:themeColor="text1" w:themeTint="F2"/>
        </w:rPr>
        <w:lastRenderedPageBreak/>
        <w:t xml:space="preserve">calculated to provide a feature-specific attention ‘preference’ for each voxel </w:t>
      </w:r>
      <w:r w:rsidR="00D44AC6">
        <w:rPr>
          <w:rFonts w:ascii="Arial" w:hAnsi="Arial" w:cs="Arial"/>
          <w:color w:val="0D0D0D" w:themeColor="text1" w:themeTint="F2"/>
        </w:rPr>
        <w:t>in</w:t>
      </w:r>
      <w:r w:rsidRPr="00225AB0">
        <w:rPr>
          <w:rFonts w:ascii="Arial" w:hAnsi="Arial" w:cs="Arial"/>
          <w:color w:val="0D0D0D" w:themeColor="text1" w:themeTint="F2"/>
        </w:rPr>
        <w:t xml:space="preserve"> an ROI. These voxel ‘preference’ weights were back-projected onto an interpolated polar grid (6° eccentricity, 360° polar angle, across 500 samples) to reflect voxel activation as a function of each voxels preferred visual angle and eccentricity, extracted from pRF analysis. </w:t>
      </w:r>
      <w:r w:rsidR="00B050E8" w:rsidRPr="00170639">
        <w:rPr>
          <w:rFonts w:ascii="Arial" w:hAnsi="Arial" w:cs="Arial"/>
          <w:color w:val="0D0D0D" w:themeColor="text1" w:themeTint="F2"/>
        </w:rPr>
        <w:t>This voxel-data was then presented visually in polar co-ordinates to reflect this representative visual space.</w:t>
      </w:r>
      <w:r w:rsidR="00B050E8">
        <w:rPr>
          <w:rFonts w:ascii="Arial" w:hAnsi="Arial" w:cs="Arial"/>
          <w:color w:val="0D0D0D" w:themeColor="text1" w:themeTint="F2"/>
        </w:rPr>
        <w:t xml:space="preserve"> </w:t>
      </w:r>
      <w:r w:rsidRPr="00225AB0">
        <w:rPr>
          <w:rFonts w:ascii="Arial" w:hAnsi="Arial" w:cs="Arial"/>
          <w:color w:val="0D0D0D" w:themeColor="text1" w:themeTint="F2"/>
        </w:rPr>
        <w:t>Voxel preference for each visual feature was thresholded at +/-1.7 z-score (</w:t>
      </w:r>
      <w:r w:rsidRPr="00225AB0">
        <w:rPr>
          <w:rFonts w:ascii="Arial" w:hAnsi="Arial" w:cs="Arial"/>
          <w:i/>
          <w:color w:val="0D0D0D" w:themeColor="text1" w:themeTint="F2"/>
        </w:rPr>
        <w:t>p</w:t>
      </w:r>
      <w:r w:rsidRPr="00225AB0">
        <w:rPr>
          <w:rFonts w:ascii="Arial" w:hAnsi="Arial" w:cs="Arial"/>
          <w:color w:val="0D0D0D" w:themeColor="text1" w:themeTint="F2"/>
        </w:rPr>
        <w:t xml:space="preserve"> &lt;.05) and displayed to indicate the spatial distribution of attentional modulation. We averaged data over eccentricities between 1.5° and 3.5° of visual angle and plot the resulting average activation as a function of polar angle to provide an intuitive summary of spatial attentional focus. For reference, a standard RF pattern (0° orientation, 0.2 radial amplitude modulation) was overlaid. This back-projection analysis was performed for V1, V2, V3 and hV4 ROIs, as other ROIs lack a high-resolution representation of the full visual field. </w:t>
      </w:r>
    </w:p>
    <w:p w14:paraId="18525242" w14:textId="77777777" w:rsidR="00FA62F7" w:rsidRPr="00225AB0" w:rsidRDefault="00FA62F7" w:rsidP="00FA62F7">
      <w:pPr>
        <w:spacing w:line="480" w:lineRule="auto"/>
        <w:rPr>
          <w:rFonts w:ascii="Arial" w:hAnsi="Arial" w:cs="Arial"/>
          <w:color w:val="0D0D0D" w:themeColor="text1" w:themeTint="F2"/>
        </w:rPr>
      </w:pPr>
    </w:p>
    <w:p w14:paraId="292A7B3B" w14:textId="77777777" w:rsidR="00F35905" w:rsidRPr="00CC7DCB" w:rsidRDefault="00FA62F7" w:rsidP="00F35905">
      <w:pPr>
        <w:pStyle w:val="Heading4"/>
        <w:numPr>
          <w:ilvl w:val="3"/>
          <w:numId w:val="5"/>
        </w:numPr>
        <w:rPr>
          <w:rFonts w:ascii="Arial" w:hAnsi="Arial" w:cs="Arial"/>
          <w:color w:val="000000" w:themeColor="text1"/>
          <w:sz w:val="28"/>
          <w:szCs w:val="28"/>
        </w:rPr>
      </w:pPr>
      <w:bookmarkStart w:id="482" w:name="_Toc11930080"/>
      <w:bookmarkStart w:id="483" w:name="_Toc16075396"/>
      <w:r w:rsidRPr="00F35905">
        <w:rPr>
          <w:rFonts w:ascii="Arial" w:hAnsi="Arial" w:cs="Arial"/>
          <w:color w:val="000000" w:themeColor="text1"/>
          <w:sz w:val="28"/>
          <w:szCs w:val="28"/>
        </w:rPr>
        <w:t>Timeseries analyses</w:t>
      </w:r>
      <w:bookmarkEnd w:id="482"/>
      <w:bookmarkEnd w:id="483"/>
    </w:p>
    <w:p w14:paraId="5DC64453" w14:textId="41648536" w:rsidR="00FA62F7" w:rsidRPr="00225AB0" w:rsidRDefault="00FA62F7" w:rsidP="00FA62F7">
      <w:pPr>
        <w:spacing w:line="480" w:lineRule="auto"/>
        <w:rPr>
          <w:rFonts w:ascii="Arial" w:hAnsi="Arial" w:cs="Arial"/>
        </w:rPr>
      </w:pPr>
      <w:r w:rsidRPr="00225AB0">
        <w:rPr>
          <w:rFonts w:ascii="Arial" w:hAnsi="Arial" w:cs="Arial"/>
          <w:color w:val="0D0D0D" w:themeColor="text1" w:themeTint="F2"/>
        </w:rPr>
        <w:t xml:space="preserve">To quantify functional connectivity between ROIs, participant-specific multivariate timeseries data were extracted (grouping TRs by attentional focus condition) and underwent noise removal (fit and removal of a grand mean) to eliminate scan-to-scan differences in raw amplitude intensity. These multivariate data were then averaged across all voxels </w:t>
      </w:r>
      <w:r w:rsidR="00D44AC6">
        <w:rPr>
          <w:rFonts w:ascii="Arial" w:hAnsi="Arial" w:cs="Arial"/>
          <w:color w:val="0D0D0D" w:themeColor="text1" w:themeTint="F2"/>
        </w:rPr>
        <w:t>in</w:t>
      </w:r>
      <w:r w:rsidRPr="00225AB0">
        <w:rPr>
          <w:rFonts w:ascii="Arial" w:hAnsi="Arial" w:cs="Arial"/>
          <w:color w:val="0D0D0D" w:themeColor="text1" w:themeTint="F2"/>
        </w:rPr>
        <w:t xml:space="preserve"> an ROI to provide a single univariate timeseries for each attention condition. Non-parametric Kendall’s tau correlations were performed for all pairwise combinations of ROI (V1, V3A/B, hV4, LO-1, LO-2 and IPS0) – generating a correlation matrix for each condition. To assess the overall similarity of </w:t>
      </w:r>
      <w:r w:rsidRPr="00225AB0">
        <w:rPr>
          <w:rFonts w:ascii="Arial" w:hAnsi="Arial" w:cs="Arial"/>
          <w:color w:val="0D0D0D" w:themeColor="text1" w:themeTint="F2"/>
        </w:rPr>
        <w:lastRenderedPageBreak/>
        <w:t>connectivity patterns, the correlation matrix for each attentional focus condition was itself converted to a vector (removing self-to-self correlations) and normalised via participant-specific global mean extraction and Fisher-z transformation</w:t>
      </w:r>
      <w:r w:rsidRPr="00225AB0">
        <w:rPr>
          <w:rFonts w:ascii="Arial" w:hAnsi="Arial" w:cs="Arial"/>
          <w:color w:val="0D0D0D"/>
        </w:rPr>
        <w:t xml:space="preserve">. The average (Fisher-z transformed) correlation coefficient was then computed to provide a </w:t>
      </w:r>
      <w:r w:rsidR="005E4376">
        <w:rPr>
          <w:rFonts w:ascii="Arial" w:hAnsi="Arial" w:cs="Arial"/>
          <w:color w:val="0D0D0D"/>
        </w:rPr>
        <w:t>single</w:t>
      </w:r>
      <w:r w:rsidRPr="00225AB0">
        <w:rPr>
          <w:rFonts w:ascii="Arial" w:hAnsi="Arial" w:cs="Arial"/>
          <w:color w:val="0D0D0D"/>
        </w:rPr>
        <w:t xml:space="preserve"> number summarising group connectivity </w:t>
      </w:r>
      <w:r w:rsidR="00D44AC6">
        <w:rPr>
          <w:rFonts w:ascii="Arial" w:hAnsi="Arial" w:cs="Arial"/>
          <w:color w:val="0D0D0D"/>
        </w:rPr>
        <w:t>in</w:t>
      </w:r>
      <w:r w:rsidRPr="00225AB0">
        <w:rPr>
          <w:rFonts w:ascii="Arial" w:hAnsi="Arial" w:cs="Arial"/>
          <w:color w:val="0D0D0D"/>
        </w:rPr>
        <w:t xml:space="preserve"> each attentional task. The difference in correlations between conditions was analysed via a </w:t>
      </w:r>
      <w:proofErr w:type="gramStart"/>
      <w:r w:rsidRPr="00225AB0">
        <w:rPr>
          <w:rFonts w:ascii="Arial" w:hAnsi="Arial" w:cs="Arial"/>
          <w:color w:val="0D0D0D"/>
        </w:rPr>
        <w:t>one-way repeated measures</w:t>
      </w:r>
      <w:proofErr w:type="gramEnd"/>
      <w:r w:rsidRPr="00225AB0">
        <w:rPr>
          <w:rFonts w:ascii="Arial" w:hAnsi="Arial" w:cs="Arial"/>
          <w:color w:val="0D0D0D"/>
        </w:rPr>
        <w:t xml:space="preserve"> ANOVA with Bonferroni-corrected post-hoc tests. </w:t>
      </w:r>
    </w:p>
    <w:p w14:paraId="1A37FF58" w14:textId="77777777" w:rsidR="00FA62F7" w:rsidRDefault="00FA62F7" w:rsidP="00FA62F7">
      <w:pPr>
        <w:spacing w:line="480" w:lineRule="auto"/>
        <w:rPr>
          <w:rFonts w:ascii="Arial" w:hAnsi="Arial" w:cs="Arial"/>
          <w:color w:val="0D0D0D"/>
        </w:rPr>
      </w:pPr>
      <w:r w:rsidRPr="00225AB0">
        <w:rPr>
          <w:rFonts w:ascii="Arial" w:hAnsi="Arial" w:cs="Arial"/>
        </w:rPr>
        <w:br/>
      </w:r>
      <w:r w:rsidRPr="00225AB0">
        <w:rPr>
          <w:rFonts w:ascii="Arial" w:hAnsi="Arial" w:cs="Arial"/>
          <w:color w:val="0D0D0D"/>
        </w:rPr>
        <w:t xml:space="preserve">Additionally, we investigated ROI-specific </w:t>
      </w:r>
      <w:r w:rsidRPr="00225AB0">
        <w:rPr>
          <w:rFonts w:ascii="Arial" w:hAnsi="Arial" w:cs="Arial"/>
          <w:i/>
          <w:iCs/>
          <w:color w:val="0D0D0D"/>
        </w:rPr>
        <w:t>connectivity patterns</w:t>
      </w:r>
      <w:r w:rsidRPr="00225AB0">
        <w:rPr>
          <w:rFonts w:ascii="Arial" w:hAnsi="Arial" w:cs="Arial"/>
          <w:color w:val="0D0D0D"/>
        </w:rPr>
        <w:t xml:space="preserve"> as a function of attentional condition. For each of the ROIs; V1, V3A/B, hV4, LO-1, LO-2 and IPS0, we extracted the data reflecting the correlation of this ROI with all others (e.g. V1-V3A/B, V1-hV4, V1-LO-1, V1-LO-2, V1-IPS0) for every participant. We then sampled data from all participants (12 samples with replacement) with a sample reflecting a full complement of ROI-specific correlation data for each attentional focus condition and calculated the mean across these samples. To simulate noise/chance data in this analysis, we took the same 12 samples selected with replacement for each condition, and for each pairwise comparison of conditions, we switched the condition labels approximately 50% of the time, keeping ROI-ROI relationships constant and calculated the average across these scrambled condition-specific datasets. For both the observed and noise data, we calculated the root mean squared error (RMSE) distance between each pairwise combination of condition vectors as a measure of difference in patterns of connectivity across the ROI profile of interest between different attentional modulation conditions. This process was repeated across 10,000 iterations for each ROI comparison (5 </w:t>
      </w:r>
      <w:r w:rsidRPr="00225AB0">
        <w:rPr>
          <w:rFonts w:ascii="Arial" w:hAnsi="Arial" w:cs="Arial"/>
          <w:color w:val="0D0D0D"/>
        </w:rPr>
        <w:lastRenderedPageBreak/>
        <w:t>comparisons). Across all iterations, we then calculated the percentage of observed RMSEs for a pairwise comparison falling below the RMSE of the comparable simulated noise distribution. Any percentile below 5% indicates a difference in ROI-specific patterns of connectivity between two attentional modulation conditions significantly larger than predicted by chance (</w:t>
      </w:r>
      <w:r w:rsidRPr="00225AB0">
        <w:rPr>
          <w:rFonts w:ascii="Arial" w:hAnsi="Arial" w:cs="Arial"/>
          <w:i/>
          <w:iCs/>
          <w:color w:val="0D0D0D"/>
        </w:rPr>
        <w:t>p</w:t>
      </w:r>
      <w:r w:rsidRPr="00225AB0">
        <w:rPr>
          <w:rFonts w:ascii="Arial" w:hAnsi="Arial" w:cs="Arial"/>
          <w:color w:val="0D0D0D"/>
        </w:rPr>
        <w:t xml:space="preserve"> &lt;0.05). </w:t>
      </w:r>
    </w:p>
    <w:p w14:paraId="714B889D" w14:textId="77777777" w:rsidR="002F3392" w:rsidRPr="00225AB0" w:rsidRDefault="002F3392" w:rsidP="00FA62F7">
      <w:pPr>
        <w:spacing w:line="480" w:lineRule="auto"/>
        <w:rPr>
          <w:rFonts w:ascii="Arial" w:hAnsi="Arial" w:cs="Arial"/>
        </w:rPr>
      </w:pPr>
    </w:p>
    <w:p w14:paraId="79C4F155" w14:textId="77777777" w:rsidR="00FA62F7" w:rsidRDefault="00FA62F7" w:rsidP="001811CC">
      <w:pPr>
        <w:pStyle w:val="Heading2"/>
        <w:numPr>
          <w:ilvl w:val="1"/>
          <w:numId w:val="5"/>
        </w:numPr>
        <w:rPr>
          <w:rFonts w:ascii="Arial" w:hAnsi="Arial" w:cs="Arial"/>
          <w:b/>
          <w:color w:val="000000" w:themeColor="text1"/>
          <w:sz w:val="28"/>
          <w:szCs w:val="28"/>
        </w:rPr>
      </w:pPr>
      <w:bookmarkStart w:id="484" w:name="_Toc11147998"/>
      <w:bookmarkStart w:id="485" w:name="_Toc11153946"/>
      <w:bookmarkStart w:id="486" w:name="_Toc11753650"/>
      <w:bookmarkStart w:id="487" w:name="_Toc11926836"/>
      <w:bookmarkStart w:id="488" w:name="_Toc11930081"/>
      <w:bookmarkStart w:id="489" w:name="_Toc16075397"/>
      <w:bookmarkStart w:id="490" w:name="_Toc16237008"/>
      <w:r w:rsidRPr="00F35905">
        <w:rPr>
          <w:rFonts w:ascii="Arial" w:hAnsi="Arial" w:cs="Arial"/>
          <w:b/>
          <w:color w:val="000000" w:themeColor="text1"/>
          <w:sz w:val="28"/>
          <w:szCs w:val="28"/>
        </w:rPr>
        <w:t>Results</w:t>
      </w:r>
      <w:bookmarkEnd w:id="484"/>
      <w:bookmarkEnd w:id="485"/>
      <w:bookmarkEnd w:id="486"/>
      <w:bookmarkEnd w:id="487"/>
      <w:bookmarkEnd w:id="488"/>
      <w:bookmarkEnd w:id="489"/>
      <w:bookmarkEnd w:id="490"/>
    </w:p>
    <w:p w14:paraId="136B454A" w14:textId="77777777" w:rsidR="00F35905" w:rsidRPr="00F35905" w:rsidRDefault="00F35905" w:rsidP="00F35905"/>
    <w:p w14:paraId="154DE1A8" w14:textId="77777777" w:rsidR="00FA62F7" w:rsidRDefault="00FA62F7" w:rsidP="001811CC">
      <w:pPr>
        <w:pStyle w:val="Heading2"/>
        <w:numPr>
          <w:ilvl w:val="2"/>
          <w:numId w:val="5"/>
        </w:numPr>
        <w:rPr>
          <w:rFonts w:ascii="Arial" w:hAnsi="Arial" w:cs="Arial"/>
          <w:b/>
          <w:i/>
          <w:color w:val="000000" w:themeColor="text1"/>
          <w:sz w:val="28"/>
          <w:szCs w:val="28"/>
        </w:rPr>
      </w:pPr>
      <w:bookmarkStart w:id="491" w:name="_Toc11147999"/>
      <w:bookmarkStart w:id="492" w:name="_Toc11153947"/>
      <w:bookmarkStart w:id="493" w:name="_Toc11753651"/>
      <w:bookmarkStart w:id="494" w:name="_Toc11926837"/>
      <w:bookmarkStart w:id="495" w:name="_Toc11930082"/>
      <w:bookmarkStart w:id="496" w:name="_Toc16075398"/>
      <w:bookmarkStart w:id="497" w:name="_Toc16237009"/>
      <w:r w:rsidRPr="00F35905">
        <w:rPr>
          <w:rFonts w:ascii="Arial" w:hAnsi="Arial" w:cs="Arial"/>
          <w:b/>
          <w:i/>
          <w:color w:val="000000" w:themeColor="text1"/>
          <w:sz w:val="28"/>
          <w:szCs w:val="28"/>
        </w:rPr>
        <w:t>Univariate analysis: stimulus-driven events</w:t>
      </w:r>
      <w:bookmarkEnd w:id="491"/>
      <w:bookmarkEnd w:id="492"/>
      <w:bookmarkEnd w:id="493"/>
      <w:bookmarkEnd w:id="494"/>
      <w:bookmarkEnd w:id="495"/>
      <w:bookmarkEnd w:id="496"/>
      <w:bookmarkEnd w:id="497"/>
    </w:p>
    <w:p w14:paraId="67D69F3A" w14:textId="77777777" w:rsidR="00F35905" w:rsidRPr="00F35905" w:rsidRDefault="00F35905" w:rsidP="00F35905"/>
    <w:p w14:paraId="2FA772ED" w14:textId="77777777"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We first asked whether our near-threshold stimulus modulations altered the BOLD signal at a univariate level. The one-sample Wilcoxon-signed rank test of average BOLD signal across orientation, contrast and shape conditions was significantly different from zero in almost all ROIs examined (Benjamini-Hochberg adjusted p-values reported) (V1: Z(11) = 2.27,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0.034, V3A/B: Z(11) = 2.35, </w:t>
      </w:r>
      <w:r w:rsidRPr="00225AB0">
        <w:rPr>
          <w:rFonts w:ascii="Arial" w:hAnsi="Arial" w:cs="Arial"/>
          <w:i/>
          <w:color w:val="0D0D0D" w:themeColor="text1" w:themeTint="F2"/>
        </w:rPr>
        <w:t xml:space="preserve">p </w:t>
      </w:r>
      <w:r w:rsidRPr="00225AB0">
        <w:rPr>
          <w:rFonts w:ascii="Arial" w:hAnsi="Arial" w:cs="Arial"/>
          <w:color w:val="0D0D0D" w:themeColor="text1" w:themeTint="F2"/>
        </w:rPr>
        <w:t xml:space="preserve"> = 0.034, LO-1: Z(11) = 3.06,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0.009, LO-2: Z(11) = 2.98,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0.009, A1: Z(11) = -2.12,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0.041). The only exception was hV4 where averaged bottom-up stimulus-driven activity was not significantly different from zero (</w:t>
      </w:r>
      <w:proofErr w:type="gramStart"/>
      <w:r w:rsidRPr="00225AB0">
        <w:rPr>
          <w:rFonts w:ascii="Arial" w:hAnsi="Arial" w:cs="Arial"/>
          <w:color w:val="0D0D0D" w:themeColor="text1" w:themeTint="F2"/>
        </w:rPr>
        <w:t>Z(</w:t>
      </w:r>
      <w:proofErr w:type="gramEnd"/>
      <w:r w:rsidRPr="00225AB0">
        <w:rPr>
          <w:rFonts w:ascii="Arial" w:hAnsi="Arial" w:cs="Arial"/>
          <w:color w:val="0D0D0D" w:themeColor="text1" w:themeTint="F2"/>
        </w:rPr>
        <w:t xml:space="preserve">11) = 1.88,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0.060). Overall, we find that our subtle stimulus modulations do generate a small but significant change in BOLD contrast in most visual areas while auditory cortex ROI (A1) demonstrated small but significant </w:t>
      </w:r>
      <w:r w:rsidRPr="00225AB0">
        <w:rPr>
          <w:rFonts w:ascii="Arial" w:hAnsi="Arial" w:cs="Arial"/>
          <w:i/>
          <w:color w:val="0D0D0D" w:themeColor="text1" w:themeTint="F2"/>
        </w:rPr>
        <w:t>negative</w:t>
      </w:r>
      <w:r w:rsidRPr="00225AB0">
        <w:rPr>
          <w:rFonts w:ascii="Arial" w:hAnsi="Arial" w:cs="Arial"/>
          <w:color w:val="0D0D0D" w:themeColor="text1" w:themeTint="F2"/>
        </w:rPr>
        <w:t xml:space="preserve"> BOLD responses on average.</w:t>
      </w:r>
    </w:p>
    <w:p w14:paraId="45F0B56E" w14:textId="77777777" w:rsidR="00FA62F7" w:rsidRPr="00225AB0" w:rsidRDefault="00FA62F7" w:rsidP="00FA62F7">
      <w:pPr>
        <w:spacing w:line="480" w:lineRule="auto"/>
        <w:rPr>
          <w:rFonts w:ascii="Arial" w:hAnsi="Arial" w:cs="Arial"/>
        </w:rPr>
      </w:pPr>
    </w:p>
    <w:p w14:paraId="3E6D13CE" w14:textId="5AE9FC5B" w:rsidR="00FA62F7" w:rsidRPr="00225AB0" w:rsidRDefault="00FA62F7" w:rsidP="00FA62F7">
      <w:pPr>
        <w:spacing w:line="480" w:lineRule="auto"/>
        <w:rPr>
          <w:rFonts w:ascii="Arial" w:hAnsi="Arial" w:cs="Arial"/>
        </w:rPr>
      </w:pPr>
      <w:r w:rsidRPr="00225AB0">
        <w:rPr>
          <w:rFonts w:ascii="Arial" w:hAnsi="Arial" w:cs="Arial"/>
        </w:rPr>
        <w:t xml:space="preserve">We then asked whether this BOLD modulation changed depending on the type of stimulus change. For example, BOLD signal changes in LO-1 and LO-2 have been associated with bottom-up changes in orientation and shape respectively </w:t>
      </w:r>
      <w:r w:rsidRPr="00225AB0">
        <w:rPr>
          <w:rFonts w:ascii="Arial" w:hAnsi="Arial" w:cs="Arial"/>
        </w:rPr>
        <w:fldChar w:fldCharType="begin"/>
      </w:r>
      <w:r w:rsidR="005B4361">
        <w:rPr>
          <w:rFonts w:ascii="Arial" w:hAnsi="Arial" w:cs="Arial"/>
        </w:rPr>
        <w:instrText xml:space="preserve"> ADDIN ZOTERO_ITEM CSL_CITATION {"citationID":"iuay4xiB","properties":{"formattedCitation":"(Larsson &amp; Heeger, 2006; Silson et al., 2013a)","plainCitation":"(Larsson &amp; Heeger, 2006; Silson et al., 2013a)","dontUpdate":true,"noteIndex":0},"citationItems":[{"id":239,"uris":["http://zotero.org/groups/318634/items/7JCMQW5A"],"uri":["http://zotero.org/groups/318634/items/7JCMQW5A"],"itemData":{"id":239,"type":"article-journal","title":"Two retinotopic visual areas in human lateral occipital cortex","container-title":"Journal of Neuroscience","page":"13128–13142","volume":"26","issue":"51","source":"Google Scholar","author":[{"family":"Larsson","given":"Jonas"},{"family":"Heeger","given":"David J."}],"issued":{"date-parts":[["2006"]]}}},{"id":229,"uris":["http://zotero.org/groups/318634/items/W2MJSXD2"],"uri":["http://zotero.org/groups/318634/items/W2MJSXD2"],"itemData":{"id":229,"type":"article-journal","title":"Specialized and independent processing of orientation and shape in visual field maps LO1 and LO2","container-title":"Nature Neuroscience","page":"267","volume":"16","issue":"3","source":"Google Scholar","author":[{"family":"Silson","given":"Edward H."},{"family":"McKeefry","given":"Declan J."},{"family":"Rodgers","given":"Jessica"},{"family":"Gouws","given":"Andre D."},{"family":"Hymers","given":"Mark"},{"family":"Morland","given":"Antony B."}],"issued":{"date-parts":[["2013"]]}}}],"schema":"https://github.com/citation-style-language/schema/raw/master/csl-citation.json"} </w:instrText>
      </w:r>
      <w:r w:rsidRPr="00225AB0">
        <w:rPr>
          <w:rFonts w:ascii="Arial" w:hAnsi="Arial" w:cs="Arial"/>
        </w:rPr>
        <w:fldChar w:fldCharType="separate"/>
      </w:r>
      <w:r w:rsidR="00967B1F" w:rsidRPr="00225AB0">
        <w:rPr>
          <w:rFonts w:ascii="Arial" w:hAnsi="Arial" w:cs="Arial"/>
        </w:rPr>
        <w:t>(Larsson &amp; Heeger, 2006; Silson et al., 2013)</w:t>
      </w:r>
      <w:r w:rsidRPr="00225AB0">
        <w:rPr>
          <w:rFonts w:ascii="Arial" w:hAnsi="Arial" w:cs="Arial"/>
        </w:rPr>
        <w:fldChar w:fldCharType="end"/>
      </w:r>
      <w:r w:rsidRPr="00225AB0">
        <w:rPr>
          <w:rFonts w:ascii="Arial" w:hAnsi="Arial" w:cs="Arial"/>
        </w:rPr>
        <w:t xml:space="preserve"> although the </w:t>
      </w:r>
      <w:r w:rsidRPr="00225AB0">
        <w:rPr>
          <w:rFonts w:ascii="Arial" w:hAnsi="Arial" w:cs="Arial"/>
        </w:rPr>
        <w:lastRenderedPageBreak/>
        <w:t xml:space="preserve">stimulus manipulations in these reports were far larger than those used in this study. </w:t>
      </w:r>
    </w:p>
    <w:p w14:paraId="799D8D50" w14:textId="77777777" w:rsidR="00FA62F7" w:rsidRPr="00225AB0" w:rsidRDefault="00FA62F7" w:rsidP="00FA62F7">
      <w:pPr>
        <w:spacing w:line="480" w:lineRule="auto"/>
        <w:rPr>
          <w:rFonts w:ascii="Arial" w:hAnsi="Arial" w:cs="Arial"/>
        </w:rPr>
      </w:pPr>
    </w:p>
    <w:p w14:paraId="2C434135" w14:textId="77777777" w:rsidR="00FA62F7" w:rsidRPr="00225AB0" w:rsidRDefault="00FA62F7" w:rsidP="00FA62F7">
      <w:pPr>
        <w:spacing w:line="480" w:lineRule="auto"/>
        <w:rPr>
          <w:rFonts w:ascii="Arial" w:hAnsi="Arial" w:cs="Arial"/>
          <w:color w:val="0D0D0D" w:themeColor="text1" w:themeTint="F2"/>
        </w:rPr>
      </w:pPr>
      <w:r w:rsidRPr="00225AB0">
        <w:rPr>
          <w:rFonts w:ascii="Arial" w:hAnsi="Arial" w:cs="Arial"/>
        </w:rPr>
        <w:t>O</w:t>
      </w:r>
      <w:r w:rsidRPr="00225AB0">
        <w:rPr>
          <w:rFonts w:ascii="Arial" w:hAnsi="Arial" w:cs="Arial"/>
          <w:color w:val="0D0D0D" w:themeColor="text1" w:themeTint="F2"/>
        </w:rPr>
        <w:t>ne-way repeated measures ANOVAs Benjamini-Hochberg corrected for the number of ROIs revealed no significant differences in univariate BOLD modulation between stimulus-driven changes in orientation, contrast and shape in any visual ROI (</w:t>
      </w:r>
      <w:r w:rsidRPr="00225AB0">
        <w:rPr>
          <w:rFonts w:ascii="Arial" w:hAnsi="Arial" w:cs="Arial"/>
          <w:i/>
          <w:color w:val="0D0D0D" w:themeColor="text1" w:themeTint="F2"/>
        </w:rPr>
        <w:t>p</w:t>
      </w:r>
      <w:r w:rsidRPr="00225AB0">
        <w:rPr>
          <w:rFonts w:ascii="Arial" w:hAnsi="Arial" w:cs="Arial"/>
          <w:color w:val="0D0D0D" w:themeColor="text1" w:themeTint="F2"/>
        </w:rPr>
        <w:t xml:space="preserve"> &gt; 0.05) (see Figure</w:t>
      </w:r>
      <w:r w:rsidR="002F3392">
        <w:rPr>
          <w:rFonts w:ascii="Arial" w:hAnsi="Arial" w:cs="Arial"/>
          <w:color w:val="0D0D0D" w:themeColor="text1" w:themeTint="F2"/>
        </w:rPr>
        <w:t xml:space="preserve"> 4.</w:t>
      </w:r>
      <w:r w:rsidRPr="00225AB0">
        <w:rPr>
          <w:rFonts w:ascii="Arial" w:hAnsi="Arial" w:cs="Arial"/>
          <w:color w:val="0D0D0D" w:themeColor="text1" w:themeTint="F2"/>
        </w:rPr>
        <w:t xml:space="preserve">2B). Negative BOLD responses were found across all three stimulus-driven change conditions in A1, again with no significant differences related to particular stimulus manipulations. </w:t>
      </w:r>
    </w:p>
    <w:p w14:paraId="2B294D92" w14:textId="77777777" w:rsidR="00FA62F7" w:rsidRPr="00225AB0" w:rsidRDefault="00FA62F7" w:rsidP="00FA62F7">
      <w:pPr>
        <w:spacing w:line="480" w:lineRule="auto"/>
        <w:rPr>
          <w:rFonts w:ascii="Arial" w:hAnsi="Arial" w:cs="Arial"/>
          <w:color w:val="0D0D0D" w:themeColor="text1" w:themeTint="F2"/>
        </w:rPr>
      </w:pPr>
    </w:p>
    <w:p w14:paraId="6A91A02B" w14:textId="77777777" w:rsidR="00FA62F7" w:rsidRDefault="00FA62F7" w:rsidP="001811CC">
      <w:pPr>
        <w:pStyle w:val="Heading3"/>
        <w:numPr>
          <w:ilvl w:val="2"/>
          <w:numId w:val="5"/>
        </w:numPr>
        <w:rPr>
          <w:rFonts w:ascii="Arial" w:hAnsi="Arial" w:cs="Arial"/>
          <w:b/>
          <w:i/>
          <w:color w:val="000000" w:themeColor="text1"/>
          <w:sz w:val="28"/>
          <w:szCs w:val="28"/>
        </w:rPr>
      </w:pPr>
      <w:bookmarkStart w:id="498" w:name="_Toc11148000"/>
      <w:bookmarkStart w:id="499" w:name="_Toc11153948"/>
      <w:bookmarkStart w:id="500" w:name="_Toc11753652"/>
      <w:bookmarkStart w:id="501" w:name="_Toc11926838"/>
      <w:bookmarkStart w:id="502" w:name="_Toc11930083"/>
      <w:bookmarkStart w:id="503" w:name="_Toc16075399"/>
      <w:bookmarkStart w:id="504" w:name="_Toc16237010"/>
      <w:r w:rsidRPr="00F35905">
        <w:rPr>
          <w:rFonts w:ascii="Arial" w:hAnsi="Arial" w:cs="Arial"/>
          <w:b/>
          <w:i/>
          <w:color w:val="000000" w:themeColor="text1"/>
          <w:sz w:val="28"/>
          <w:szCs w:val="28"/>
        </w:rPr>
        <w:t>Univariate analysis: attentional modulation</w:t>
      </w:r>
      <w:bookmarkEnd w:id="498"/>
      <w:bookmarkEnd w:id="499"/>
      <w:bookmarkEnd w:id="500"/>
      <w:bookmarkEnd w:id="501"/>
      <w:bookmarkEnd w:id="502"/>
      <w:bookmarkEnd w:id="503"/>
      <w:bookmarkEnd w:id="504"/>
    </w:p>
    <w:p w14:paraId="6FBA926C" w14:textId="77777777" w:rsidR="00F35905" w:rsidRPr="00F35905" w:rsidRDefault="00F35905" w:rsidP="00F35905"/>
    <w:p w14:paraId="2A9A21D2" w14:textId="52E4C27D" w:rsidR="00FA62F7" w:rsidRDefault="00FA62F7" w:rsidP="00FA62F7">
      <w:pPr>
        <w:spacing w:line="480" w:lineRule="auto"/>
        <w:rPr>
          <w:rFonts w:ascii="Arial" w:hAnsi="Arial" w:cs="Arial"/>
          <w:color w:val="0D0D0D" w:themeColor="text1" w:themeTint="F2"/>
        </w:rPr>
      </w:pPr>
      <w:r w:rsidRPr="00225AB0">
        <w:rPr>
          <w:rFonts w:ascii="Arial" w:hAnsi="Arial" w:cs="Arial"/>
        </w:rPr>
        <w:t xml:space="preserve">In the absence of differential BOLD responses relating to stimulus change, we looked for evidence of BOLD modulation as a function of attentional task. Although </w:t>
      </w:r>
      <w:r w:rsidRPr="00225AB0">
        <w:rPr>
          <w:rFonts w:ascii="Arial" w:hAnsi="Arial" w:cs="Arial"/>
          <w:color w:val="0D0D0D" w:themeColor="text1" w:themeTint="F2"/>
        </w:rPr>
        <w:t xml:space="preserve">the majority of visual ROIs examined (excluding V3A/B and hV4) exhibited, on average, greater positive BOLD modulation during directed attention versus passive viewing, Wilcoxon-signed rank tests revealed these trends were not significant (adjusted </w:t>
      </w:r>
      <w:r w:rsidRPr="00225AB0">
        <w:rPr>
          <w:rFonts w:ascii="Arial" w:hAnsi="Arial" w:cs="Arial"/>
          <w:i/>
          <w:color w:val="0D0D0D" w:themeColor="text1" w:themeTint="F2"/>
        </w:rPr>
        <w:t>p</w:t>
      </w:r>
      <w:r w:rsidRPr="00225AB0">
        <w:rPr>
          <w:rFonts w:ascii="Arial" w:hAnsi="Arial" w:cs="Arial"/>
          <w:color w:val="0D0D0D" w:themeColor="text1" w:themeTint="F2"/>
        </w:rPr>
        <w:t xml:space="preserve"> &gt; 0.05) (see Figur</w:t>
      </w:r>
      <w:r w:rsidR="002F3392">
        <w:rPr>
          <w:rFonts w:ascii="Arial" w:hAnsi="Arial" w:cs="Arial"/>
          <w:color w:val="0D0D0D" w:themeColor="text1" w:themeTint="F2"/>
        </w:rPr>
        <w:t>e 4.</w:t>
      </w:r>
      <w:r w:rsidRPr="00225AB0">
        <w:rPr>
          <w:rFonts w:ascii="Arial" w:hAnsi="Arial" w:cs="Arial"/>
          <w:color w:val="0D0D0D" w:themeColor="text1" w:themeTint="F2"/>
        </w:rPr>
        <w:t>2A).</w:t>
      </w:r>
      <w:r w:rsidRPr="00225AB0">
        <w:rPr>
          <w:rFonts w:ascii="Arial" w:hAnsi="Arial" w:cs="Arial"/>
          <w:i/>
          <w:color w:val="0D0D0D" w:themeColor="text1" w:themeTint="F2"/>
        </w:rPr>
        <w:t xml:space="preserve"> </w:t>
      </w:r>
      <w:r w:rsidRPr="00225AB0">
        <w:rPr>
          <w:rFonts w:ascii="Arial" w:hAnsi="Arial" w:cs="Arial"/>
          <w:color w:val="0D0D0D" w:themeColor="text1" w:themeTint="F2"/>
        </w:rPr>
        <w:t xml:space="preserve">A1 demonstrated a trend towards greater positive modulation during passive viewing versus averaged directed attention, but again this was not significant </w:t>
      </w:r>
      <w:r w:rsidRPr="00225AB0">
        <w:rPr>
          <w:rFonts w:ascii="Arial" w:hAnsi="Arial" w:cs="Arial"/>
          <w:i/>
          <w:color w:val="0D0D0D" w:themeColor="text1" w:themeTint="F2"/>
        </w:rPr>
        <w:t>(</w:t>
      </w:r>
      <w:r w:rsidRPr="00225AB0">
        <w:rPr>
          <w:rFonts w:ascii="Arial" w:hAnsi="Arial" w:cs="Arial"/>
          <w:color w:val="0D0D0D" w:themeColor="text1" w:themeTint="F2"/>
        </w:rPr>
        <w:t xml:space="preserve">adjusted </w:t>
      </w:r>
      <w:r w:rsidRPr="00225AB0">
        <w:rPr>
          <w:rFonts w:ascii="Arial" w:hAnsi="Arial" w:cs="Arial"/>
          <w:i/>
          <w:color w:val="0D0D0D" w:themeColor="text1" w:themeTint="F2"/>
        </w:rPr>
        <w:t>p</w:t>
      </w:r>
      <w:r w:rsidRPr="00225AB0">
        <w:rPr>
          <w:rFonts w:ascii="Arial" w:hAnsi="Arial" w:cs="Arial"/>
          <w:color w:val="0D0D0D" w:themeColor="text1" w:themeTint="F2"/>
        </w:rPr>
        <w:t xml:space="preserve"> &gt; 0.05). </w:t>
      </w:r>
    </w:p>
    <w:p w14:paraId="2D0606EF" w14:textId="77777777" w:rsidR="00AE6937" w:rsidRPr="00225AB0" w:rsidRDefault="00AE6937" w:rsidP="00FA62F7">
      <w:pPr>
        <w:spacing w:line="480" w:lineRule="auto"/>
        <w:rPr>
          <w:rFonts w:ascii="Arial" w:hAnsi="Arial" w:cs="Arial"/>
        </w:rPr>
      </w:pPr>
    </w:p>
    <w:p w14:paraId="76102E15" w14:textId="3C38A145" w:rsidR="00FA62F7" w:rsidRPr="0039680E" w:rsidRDefault="00FA62F7" w:rsidP="0039680E">
      <w:pPr>
        <w:spacing w:line="480" w:lineRule="auto"/>
        <w:rPr>
          <w:rFonts w:ascii="Arial" w:hAnsi="Arial" w:cs="Arial"/>
          <w:color w:val="0D0D0D" w:themeColor="text1" w:themeTint="F2"/>
        </w:rPr>
      </w:pPr>
      <w:r w:rsidRPr="00225AB0">
        <w:rPr>
          <w:rFonts w:ascii="Arial" w:hAnsi="Arial" w:cs="Arial"/>
        </w:rPr>
        <w:t xml:space="preserve">Although on average we found no evidence of attentionally-driven BOLD modulation, it is possible that such changes were present for individual attentional condition types. We therefore conducted </w:t>
      </w:r>
      <w:r w:rsidRPr="00225AB0">
        <w:rPr>
          <w:rFonts w:ascii="Arial" w:hAnsi="Arial" w:cs="Arial"/>
          <w:color w:val="0D0D0D" w:themeColor="text1" w:themeTint="F2"/>
        </w:rPr>
        <w:t xml:space="preserve">one-way repeated measures ANOVAs, Benjamini-Hochberg corrected for the number of ROIs, </w:t>
      </w:r>
      <w:r w:rsidRPr="00225AB0">
        <w:rPr>
          <w:rFonts w:ascii="Arial" w:hAnsi="Arial" w:cs="Arial"/>
          <w:color w:val="0D0D0D" w:themeColor="text1" w:themeTint="F2"/>
        </w:rPr>
        <w:lastRenderedPageBreak/>
        <w:t xml:space="preserve">which revealed no significant differences in attentional modulation across the three featural attentional focus conditions (orientation, contrast and shape) </w:t>
      </w:r>
      <w:r w:rsidR="00D44AC6">
        <w:rPr>
          <w:rFonts w:ascii="Arial" w:hAnsi="Arial" w:cs="Arial"/>
          <w:color w:val="0D0D0D" w:themeColor="text1" w:themeTint="F2"/>
        </w:rPr>
        <w:t>in</w:t>
      </w:r>
      <w:r w:rsidRPr="00225AB0">
        <w:rPr>
          <w:rFonts w:ascii="Arial" w:hAnsi="Arial" w:cs="Arial"/>
          <w:color w:val="0D0D0D" w:themeColor="text1" w:themeTint="F2"/>
        </w:rPr>
        <w:t xml:space="preserve"> across almost all visual ROIs examined (</w:t>
      </w:r>
      <w:r w:rsidRPr="00225AB0">
        <w:rPr>
          <w:rFonts w:ascii="Arial" w:hAnsi="Arial" w:cs="Arial"/>
          <w:i/>
          <w:color w:val="0D0D0D" w:themeColor="text1" w:themeTint="F2"/>
        </w:rPr>
        <w:t>p</w:t>
      </w:r>
      <w:r w:rsidRPr="00225AB0">
        <w:rPr>
          <w:rFonts w:ascii="Arial" w:hAnsi="Arial" w:cs="Arial"/>
          <w:color w:val="0D0D0D" w:themeColor="text1" w:themeTint="F2"/>
        </w:rPr>
        <w:t xml:space="preserve"> &gt; 0.05) (see Figure</w:t>
      </w:r>
      <w:r w:rsidR="002F3392">
        <w:rPr>
          <w:rFonts w:ascii="Arial" w:hAnsi="Arial" w:cs="Arial"/>
          <w:color w:val="0D0D0D" w:themeColor="text1" w:themeTint="F2"/>
        </w:rPr>
        <w:t xml:space="preserve"> 4.</w:t>
      </w:r>
      <w:r w:rsidRPr="00225AB0">
        <w:rPr>
          <w:rFonts w:ascii="Arial" w:hAnsi="Arial" w:cs="Arial"/>
          <w:color w:val="0D0D0D" w:themeColor="text1" w:themeTint="F2"/>
        </w:rPr>
        <w:t>2C).</w:t>
      </w:r>
      <w:r w:rsidRPr="00225AB0">
        <w:rPr>
          <w:rFonts w:ascii="Arial" w:hAnsi="Arial" w:cs="Arial"/>
          <w:i/>
          <w:color w:val="0D0D0D" w:themeColor="text1" w:themeTint="F2"/>
        </w:rPr>
        <w:t xml:space="preserve"> </w:t>
      </w:r>
      <w:r w:rsidRPr="00225AB0">
        <w:rPr>
          <w:rFonts w:ascii="Arial" w:hAnsi="Arial" w:cs="Arial"/>
          <w:color w:val="0D0D0D" w:themeColor="text1" w:themeTint="F2"/>
        </w:rPr>
        <w:t xml:space="preserve">There was a single exception to this null finding: </w:t>
      </w:r>
      <w:r w:rsidR="00D44AC6">
        <w:rPr>
          <w:rFonts w:ascii="Arial" w:hAnsi="Arial" w:cs="Arial"/>
          <w:color w:val="0D0D0D" w:themeColor="text1" w:themeTint="F2"/>
        </w:rPr>
        <w:t>In</w:t>
      </w:r>
      <w:r w:rsidRPr="00225AB0">
        <w:rPr>
          <w:rFonts w:ascii="Arial" w:hAnsi="Arial" w:cs="Arial"/>
          <w:color w:val="0D0D0D" w:themeColor="text1" w:themeTint="F2"/>
        </w:rPr>
        <w:t xml:space="preserve"> LO-2, Bonferroni-corrected post-hoc tests revealed significantly greater attentional modulation  for attention to orientation compared to either shape (F(2,22) = 6.61,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0.034, post-hoc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0.011) or contrast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0.026). Again, no </w:t>
      </w:r>
      <w:r w:rsidRPr="0039680E">
        <w:rPr>
          <w:rFonts w:ascii="Arial" w:hAnsi="Arial" w:cs="Arial"/>
          <w:color w:val="0D0D0D" w:themeColor="text1" w:themeTint="F2"/>
        </w:rPr>
        <w:t xml:space="preserve">significant differences in attentional modulation were evident </w:t>
      </w:r>
      <w:r w:rsidR="00D44AC6">
        <w:rPr>
          <w:rFonts w:ascii="Arial" w:hAnsi="Arial" w:cs="Arial"/>
          <w:color w:val="0D0D0D" w:themeColor="text1" w:themeTint="F2"/>
        </w:rPr>
        <w:t>in</w:t>
      </w:r>
      <w:r w:rsidRPr="0039680E">
        <w:rPr>
          <w:rFonts w:ascii="Arial" w:hAnsi="Arial" w:cs="Arial"/>
          <w:color w:val="0D0D0D" w:themeColor="text1" w:themeTint="F2"/>
        </w:rPr>
        <w:t xml:space="preserve"> A1 (</w:t>
      </w:r>
      <w:proofErr w:type="gramStart"/>
      <w:r w:rsidRPr="0039680E">
        <w:rPr>
          <w:rFonts w:ascii="Arial" w:hAnsi="Arial" w:cs="Arial"/>
          <w:color w:val="0D0D0D" w:themeColor="text1" w:themeTint="F2"/>
        </w:rPr>
        <w:t>F(</w:t>
      </w:r>
      <w:proofErr w:type="gramEnd"/>
      <w:r w:rsidRPr="0039680E">
        <w:rPr>
          <w:rFonts w:ascii="Arial" w:hAnsi="Arial" w:cs="Arial"/>
          <w:color w:val="0D0D0D" w:themeColor="text1" w:themeTint="F2"/>
        </w:rPr>
        <w:t xml:space="preserve">2,22) = 3.29, </w:t>
      </w:r>
      <w:r w:rsidRPr="0039680E">
        <w:rPr>
          <w:rFonts w:ascii="Arial" w:hAnsi="Arial" w:cs="Arial"/>
          <w:i/>
          <w:color w:val="0D0D0D" w:themeColor="text1" w:themeTint="F2"/>
        </w:rPr>
        <w:t>p</w:t>
      </w:r>
      <w:r w:rsidRPr="0039680E">
        <w:rPr>
          <w:rFonts w:ascii="Arial" w:hAnsi="Arial" w:cs="Arial"/>
          <w:color w:val="0D0D0D" w:themeColor="text1" w:themeTint="F2"/>
        </w:rPr>
        <w:t xml:space="preserve"> = 0.112). </w:t>
      </w:r>
    </w:p>
    <w:p w14:paraId="65C4CFB1" w14:textId="77777777" w:rsidR="00FA62F7" w:rsidRPr="0039680E" w:rsidRDefault="00FA62F7" w:rsidP="0039680E">
      <w:pPr>
        <w:spacing w:line="480" w:lineRule="auto"/>
        <w:rPr>
          <w:rFonts w:ascii="Arial" w:hAnsi="Arial" w:cs="Arial"/>
          <w:color w:val="0D0D0D" w:themeColor="text1" w:themeTint="F2"/>
        </w:rPr>
      </w:pPr>
    </w:p>
    <w:p w14:paraId="4A60A113" w14:textId="77777777" w:rsidR="00FA62F7" w:rsidRPr="0039680E" w:rsidRDefault="00FA62F7" w:rsidP="0039680E">
      <w:pPr>
        <w:spacing w:line="480" w:lineRule="auto"/>
        <w:rPr>
          <w:rFonts w:ascii="Arial" w:hAnsi="Arial" w:cs="Arial"/>
        </w:rPr>
      </w:pPr>
      <w:r w:rsidRPr="0039680E">
        <w:rPr>
          <w:rFonts w:ascii="Arial" w:hAnsi="Arial" w:cs="Arial"/>
        </w:rPr>
        <w:t xml:space="preserve">Broadly, our univariate analysis showed that neither the bottom-up stimulus manipulations nor the top-down attentional demands had strong </w:t>
      </w:r>
      <w:r w:rsidRPr="0039680E">
        <w:rPr>
          <w:rFonts w:ascii="Arial" w:hAnsi="Arial" w:cs="Arial"/>
          <w:i/>
        </w:rPr>
        <w:t>differential</w:t>
      </w:r>
      <w:r w:rsidRPr="0039680E">
        <w:rPr>
          <w:rFonts w:ascii="Arial" w:hAnsi="Arial" w:cs="Arial"/>
        </w:rPr>
        <w:t xml:space="preserve"> effects on the BOLD signal in early visual cortex. Area LO-2 was an exception, demonstrating a weak but significant differential response for attention to orientation compared to the other task conditions.  </w:t>
      </w:r>
    </w:p>
    <w:p w14:paraId="781045B1" w14:textId="77777777" w:rsidR="0039680E" w:rsidRDefault="0039680E" w:rsidP="008C35F2">
      <w:bookmarkStart w:id="505" w:name="_Toc11148001"/>
      <w:bookmarkStart w:id="506" w:name="_Toc11153949"/>
    </w:p>
    <w:p w14:paraId="234E97CE" w14:textId="77777777" w:rsidR="0039680E" w:rsidRDefault="0039680E" w:rsidP="008C35F2"/>
    <w:p w14:paraId="19228118" w14:textId="77777777" w:rsidR="0039680E" w:rsidRDefault="0039680E" w:rsidP="008C35F2"/>
    <w:p w14:paraId="5BBF4597" w14:textId="77777777" w:rsidR="0039680E" w:rsidRDefault="0039680E" w:rsidP="008C35F2"/>
    <w:p w14:paraId="53DDA3D2" w14:textId="77777777" w:rsidR="0039680E" w:rsidRDefault="0039680E" w:rsidP="008C35F2"/>
    <w:p w14:paraId="78E293B1" w14:textId="77777777" w:rsidR="0039680E" w:rsidRDefault="0039680E" w:rsidP="008C35F2"/>
    <w:p w14:paraId="2748D66D" w14:textId="77777777" w:rsidR="0039680E" w:rsidRDefault="0039680E" w:rsidP="008C35F2"/>
    <w:p w14:paraId="3056E772" w14:textId="77777777" w:rsidR="0039680E" w:rsidRDefault="0039680E" w:rsidP="008C35F2"/>
    <w:p w14:paraId="10F9BDB5" w14:textId="77777777" w:rsidR="0039680E" w:rsidRDefault="0039680E" w:rsidP="008C35F2"/>
    <w:p w14:paraId="57EF928F" w14:textId="77777777" w:rsidR="0039680E" w:rsidRDefault="0039680E" w:rsidP="008C35F2"/>
    <w:p w14:paraId="1CD64E92" w14:textId="77777777" w:rsidR="0039680E" w:rsidRDefault="0039680E" w:rsidP="008C35F2"/>
    <w:p w14:paraId="7A3C96B9" w14:textId="3416954E" w:rsidR="007B68C2" w:rsidRPr="007B68C2" w:rsidRDefault="007B68C2" w:rsidP="00170639">
      <w:pPr>
        <w:tabs>
          <w:tab w:val="left" w:pos="6058"/>
        </w:tabs>
      </w:pPr>
    </w:p>
    <w:bookmarkEnd w:id="505"/>
    <w:bookmarkEnd w:id="506"/>
    <w:p w14:paraId="33760B28" w14:textId="2FA0D6EB" w:rsidR="00FA62F7" w:rsidRPr="00225AB0" w:rsidRDefault="009F3085" w:rsidP="008C35F2">
      <w:r w:rsidRPr="00225AB0">
        <w:rPr>
          <w:noProof/>
          <w:lang w:eastAsia="en-GB"/>
        </w:rPr>
        <w:lastRenderedPageBreak/>
        <mc:AlternateContent>
          <mc:Choice Requires="wps">
            <w:drawing>
              <wp:anchor distT="0" distB="0" distL="114300" distR="114300" simplePos="0" relativeHeight="251811840" behindDoc="1" locked="0" layoutInCell="1" allowOverlap="1" wp14:anchorId="4861D49B" wp14:editId="104B120C">
                <wp:simplePos x="0" y="0"/>
                <wp:positionH relativeFrom="margin">
                  <wp:posOffset>-1833245</wp:posOffset>
                </wp:positionH>
                <wp:positionV relativeFrom="paragraph">
                  <wp:posOffset>1803400</wp:posOffset>
                </wp:positionV>
                <wp:extent cx="8986520" cy="5388610"/>
                <wp:effectExtent l="0" t="4445" r="635" b="635"/>
                <wp:wrapThrough wrapText="bothSides">
                  <wp:wrapPolygon edited="0">
                    <wp:start x="21611" y="18"/>
                    <wp:lineTo x="29" y="18"/>
                    <wp:lineTo x="29" y="21552"/>
                    <wp:lineTo x="21611" y="21552"/>
                    <wp:lineTo x="21611" y="18"/>
                  </wp:wrapPolygon>
                </wp:wrapThrough>
                <wp:docPr id="13" name="Text Box 13"/>
                <wp:cNvGraphicFramePr/>
                <a:graphic xmlns:a="http://schemas.openxmlformats.org/drawingml/2006/main">
                  <a:graphicData uri="http://schemas.microsoft.com/office/word/2010/wordprocessingShape">
                    <wps:wsp>
                      <wps:cNvSpPr txBox="1"/>
                      <wps:spPr>
                        <a:xfrm rot="16200000">
                          <a:off x="0" y="0"/>
                          <a:ext cx="8986520" cy="5388610"/>
                        </a:xfrm>
                        <a:prstGeom prst="rect">
                          <a:avLst/>
                        </a:prstGeom>
                        <a:solidFill>
                          <a:schemeClr val="lt1"/>
                        </a:solidFill>
                        <a:ln w="6350">
                          <a:noFill/>
                        </a:ln>
                      </wps:spPr>
                      <wps:txbx>
                        <w:txbxContent>
                          <w:p w14:paraId="148589AF" w14:textId="77777777" w:rsidR="00C93BE0" w:rsidRDefault="00C93BE0" w:rsidP="009F3085">
                            <w:pPr>
                              <w:pStyle w:val="Caption"/>
                              <w:keepNext/>
                              <w:jc w:val="center"/>
                              <w:rPr>
                                <w:rFonts w:ascii="Arial" w:hAnsi="Arial" w:cs="Arial"/>
                                <w:color w:val="000000" w:themeColor="text1"/>
                              </w:rPr>
                            </w:pPr>
                            <w:r>
                              <w:rPr>
                                <w:rFonts w:ascii="Arial" w:hAnsi="Arial" w:cs="Arial"/>
                                <w:noProof/>
                                <w:color w:val="000000" w:themeColor="text1"/>
                                <w:lang w:eastAsia="en-GB"/>
                              </w:rPr>
                              <w:drawing>
                                <wp:inline distT="0" distB="0" distL="0" distR="0" wp14:anchorId="476E781E" wp14:editId="7402EF3C">
                                  <wp:extent cx="8769112" cy="3060000"/>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2-new.png"/>
                                          <pic:cNvPicPr/>
                                        </pic:nvPicPr>
                                        <pic:blipFill rotWithShape="1">
                                          <a:blip r:embed="rId44">
                                            <a:extLst>
                                              <a:ext uri="{28A0092B-C50C-407E-A947-70E740481C1C}">
                                                <a14:useLocalDpi xmlns:a14="http://schemas.microsoft.com/office/drawing/2010/main" val="0"/>
                                              </a:ext>
                                            </a:extLst>
                                          </a:blip>
                                          <a:srcRect t="7742" b="9116"/>
                                          <a:stretch/>
                                        </pic:blipFill>
                                        <pic:spPr bwMode="auto">
                                          <a:xfrm>
                                            <a:off x="0" y="0"/>
                                            <a:ext cx="8769112" cy="3060000"/>
                                          </a:xfrm>
                                          <a:prstGeom prst="rect">
                                            <a:avLst/>
                                          </a:prstGeom>
                                          <a:ln>
                                            <a:noFill/>
                                          </a:ln>
                                          <a:extLst>
                                            <a:ext uri="{53640926-AAD7-44D8-BBD7-CCE9431645EC}">
                                              <a14:shadowObscured xmlns:a14="http://schemas.microsoft.com/office/drawing/2010/main"/>
                                            </a:ext>
                                          </a:extLst>
                                        </pic:spPr>
                                      </pic:pic>
                                    </a:graphicData>
                                  </a:graphic>
                                </wp:inline>
                              </w:drawing>
                            </w:r>
                          </w:p>
                          <w:p w14:paraId="61FFB066" w14:textId="2A1B8951" w:rsidR="00C93BE0" w:rsidRPr="002F3392" w:rsidRDefault="00C93BE0" w:rsidP="009F3085">
                            <w:pPr>
                              <w:pStyle w:val="Caption"/>
                              <w:keepNext/>
                              <w:spacing w:line="360" w:lineRule="auto"/>
                              <w:jc w:val="both"/>
                              <w:rPr>
                                <w:rFonts w:ascii="Arial" w:hAnsi="Arial" w:cs="Arial"/>
                                <w:i w:val="0"/>
                                <w:color w:val="000000" w:themeColor="text1"/>
                                <w:sz w:val="24"/>
                                <w:szCs w:val="24"/>
                              </w:rPr>
                            </w:pPr>
                            <w:bookmarkStart w:id="507" w:name="_Toc12363350"/>
                            <w:bookmarkStart w:id="508" w:name="_Toc16242707"/>
                            <w:r w:rsidRPr="002F3392">
                              <w:rPr>
                                <w:rFonts w:ascii="Arial" w:hAnsi="Arial" w:cs="Arial"/>
                                <w:b/>
                                <w:i w:val="0"/>
                                <w:color w:val="000000" w:themeColor="text1"/>
                                <w:sz w:val="24"/>
                                <w:szCs w:val="24"/>
                              </w:rPr>
                              <w:t>Figure</w:t>
                            </w:r>
                            <w:r>
                              <w:rPr>
                                <w:rFonts w:ascii="Arial" w:hAnsi="Arial" w:cs="Arial"/>
                                <w:b/>
                                <w:i w:val="0"/>
                                <w:color w:val="000000" w:themeColor="text1"/>
                                <w:sz w:val="24"/>
                                <w:szCs w:val="24"/>
                              </w:rPr>
                              <w:t xml:space="preserv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2F3392">
                              <w:rPr>
                                <w:rFonts w:ascii="Arial" w:hAnsi="Arial" w:cs="Arial"/>
                                <w:i w:val="0"/>
                                <w:color w:val="000000" w:themeColor="text1"/>
                                <w:sz w:val="24"/>
                                <w:szCs w:val="24"/>
                              </w:rPr>
                              <w:t xml:space="preserve"> </w:t>
                            </w:r>
                            <w:r w:rsidRPr="002F3392">
                              <w:rPr>
                                <w:rFonts w:ascii="Arial" w:hAnsi="Arial" w:cs="Arial"/>
                                <w:i w:val="0"/>
                                <w:iCs w:val="0"/>
                                <w:color w:val="000000" w:themeColor="text1"/>
                                <w:sz w:val="24"/>
                                <w:szCs w:val="24"/>
                                <w:lang w:val="en-US"/>
                              </w:rPr>
                              <w:t>Univariate responses to both attention and stimulus modulation are weak. A) Mean BOLD modulation due to attention: positive values reflect greater BOLD amplitude during directed attention (averaged across attentional conditions). Data are shown for 5 visual ROIs: V1, V3A/B, hV4, LO-1 and LO-2 as well as a control area (auditory cortex- A1). No areas exhibit significantly larger BOLD modulation the attend vs passive comparison. B) Mean bottom-up stimulus responses to individual modulation events averaged over all attentional conditions. No areas exhibit differential responses to bottom-up stimulus modulations.</w:t>
                            </w:r>
                            <w:r>
                              <w:rPr>
                                <w:rFonts w:ascii="Arial" w:hAnsi="Arial" w:cs="Arial"/>
                                <w:i w:val="0"/>
                                <w:iCs w:val="0"/>
                                <w:color w:val="000000" w:themeColor="text1"/>
                                <w:sz w:val="24"/>
                                <w:szCs w:val="24"/>
                                <w:lang w:val="en-US"/>
                              </w:rPr>
                              <w:t xml:space="preserve"> </w:t>
                            </w:r>
                            <w:r w:rsidRPr="002F3392">
                              <w:rPr>
                                <w:rFonts w:ascii="Arial" w:hAnsi="Arial" w:cs="Arial"/>
                                <w:i w:val="0"/>
                                <w:iCs w:val="0"/>
                                <w:color w:val="000000" w:themeColor="text1"/>
                                <w:sz w:val="24"/>
                                <w:szCs w:val="24"/>
                                <w:lang w:val="en-US"/>
                              </w:rPr>
                              <w:t>C) Feature-specific attentional modulations averaged over all modulation types. Area LO-2 shows a slight increase in BOLD amplitude when subjects attend to shape. All error bars are +/- 1 SEM and significance asterisks indicate Benjamini-Hochberg corrected values.</w:t>
                            </w:r>
                            <w:bookmarkEnd w:id="507"/>
                            <w:bookmarkEnd w:id="508"/>
                          </w:p>
                          <w:p w14:paraId="291F313E" w14:textId="77777777" w:rsidR="00C93BE0" w:rsidRDefault="00C93BE0" w:rsidP="009F3085">
                            <w:pPr>
                              <w:keepNext/>
                              <w:jc w:val="center"/>
                            </w:pPr>
                          </w:p>
                          <w:p w14:paraId="2CB0D87D" w14:textId="77777777" w:rsidR="00C93BE0" w:rsidRDefault="00C93BE0" w:rsidP="009F3085">
                            <w:pPr>
                              <w:pStyle w:val="Caption"/>
                              <w:jc w:val="center"/>
                            </w:pPr>
                            <w:r w:rsidRPr="00225A74">
                              <w:rPr>
                                <w:rFonts w:ascii="Arial" w:hAnsi="Arial" w:cs="Arial"/>
                                <w:color w:val="000000" w:themeColor="text1"/>
                              </w:rPr>
                              <w:t xml:space="preserve"> </w:t>
                            </w:r>
                          </w:p>
                          <w:p w14:paraId="176DF965" w14:textId="77777777" w:rsidR="00C93BE0" w:rsidRDefault="00C93BE0" w:rsidP="009F3085">
                            <w:pPr>
                              <w:pStyle w:val="Caption"/>
                              <w:jc w:val="center"/>
                              <w:rPr>
                                <w:rFonts w:ascii="Arial" w:hAnsi="Arial" w:cs="Arial"/>
                                <w:color w:val="000000" w:themeColor="text1"/>
                              </w:rPr>
                            </w:pPr>
                          </w:p>
                          <w:p w14:paraId="71056431" w14:textId="77777777" w:rsidR="00C93BE0" w:rsidRDefault="00C93BE0" w:rsidP="009F3085">
                            <w:pPr>
                              <w:keepNext/>
                              <w:jc w:val="center"/>
                            </w:pPr>
                          </w:p>
                          <w:p w14:paraId="76E19718" w14:textId="77777777" w:rsidR="00C93BE0" w:rsidRDefault="00C93BE0" w:rsidP="009F3085">
                            <w:pPr>
                              <w:pStyle w:val="Caption"/>
                              <w:jc w:val="center"/>
                            </w:pPr>
                            <w:r w:rsidRPr="00225A74">
                              <w:rPr>
                                <w:rFonts w:ascii="Arial" w:hAnsi="Arial" w:cs="Arial"/>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1D49B" id="Text Box 13" o:spid="_x0000_s1047" type="#_x0000_t202" style="position:absolute;margin-left:-144.35pt;margin-top:142pt;width:707.6pt;height:424.3pt;rotation:-90;z-index:-25150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" fillcolor="white [3201]" stroked="f" strokeweight=".5pt">
                <v:textbox>
                  <w:txbxContent>
                    <w:p w14:paraId="148589AF" w14:textId="77777777" w:rsidR="00C93BE0" w:rsidRDefault="00C93BE0" w:rsidP="009F3085">
                      <w:pPr>
                        <w:pStyle w:val="Caption"/>
                        <w:keepNext/>
                        <w:jc w:val="center"/>
                        <w:rPr>
                          <w:rFonts w:ascii="Arial" w:hAnsi="Arial" w:cs="Arial"/>
                          <w:color w:val="000000" w:themeColor="text1"/>
                        </w:rPr>
                      </w:pPr>
                      <w:r>
                        <w:rPr>
                          <w:rFonts w:ascii="Arial" w:hAnsi="Arial" w:cs="Arial"/>
                          <w:noProof/>
                          <w:color w:val="000000" w:themeColor="text1"/>
                          <w:lang w:eastAsia="en-GB"/>
                        </w:rPr>
                        <w:drawing>
                          <wp:inline distT="0" distB="0" distL="0" distR="0" wp14:anchorId="476E781E" wp14:editId="7402EF3C">
                            <wp:extent cx="8769112" cy="3060000"/>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2-new.png"/>
                                    <pic:cNvPicPr/>
                                  </pic:nvPicPr>
                                  <pic:blipFill rotWithShape="1">
                                    <a:blip r:embed="rId45">
                                      <a:extLst>
                                        <a:ext uri="{28A0092B-C50C-407E-A947-70E740481C1C}">
                                          <a14:useLocalDpi xmlns:a14="http://schemas.microsoft.com/office/drawing/2010/main" val="0"/>
                                        </a:ext>
                                      </a:extLst>
                                    </a:blip>
                                    <a:srcRect t="7742" b="9116"/>
                                    <a:stretch/>
                                  </pic:blipFill>
                                  <pic:spPr bwMode="auto">
                                    <a:xfrm>
                                      <a:off x="0" y="0"/>
                                      <a:ext cx="8769112" cy="3060000"/>
                                    </a:xfrm>
                                    <a:prstGeom prst="rect">
                                      <a:avLst/>
                                    </a:prstGeom>
                                    <a:ln>
                                      <a:noFill/>
                                    </a:ln>
                                    <a:extLst>
                                      <a:ext uri="{53640926-AAD7-44D8-BBD7-CCE9431645EC}">
                                        <a14:shadowObscured xmlns:a14="http://schemas.microsoft.com/office/drawing/2010/main"/>
                                      </a:ext>
                                    </a:extLst>
                                  </pic:spPr>
                                </pic:pic>
                              </a:graphicData>
                            </a:graphic>
                          </wp:inline>
                        </w:drawing>
                      </w:r>
                    </w:p>
                    <w:p w14:paraId="61FFB066" w14:textId="2A1B8951" w:rsidR="00C93BE0" w:rsidRPr="002F3392" w:rsidRDefault="00C93BE0" w:rsidP="009F3085">
                      <w:pPr>
                        <w:pStyle w:val="Caption"/>
                        <w:keepNext/>
                        <w:spacing w:line="360" w:lineRule="auto"/>
                        <w:jc w:val="both"/>
                        <w:rPr>
                          <w:rFonts w:ascii="Arial" w:hAnsi="Arial" w:cs="Arial"/>
                          <w:i w:val="0"/>
                          <w:color w:val="000000" w:themeColor="text1"/>
                          <w:sz w:val="24"/>
                          <w:szCs w:val="24"/>
                        </w:rPr>
                      </w:pPr>
                      <w:bookmarkStart w:id="544" w:name="_Toc12363350"/>
                      <w:bookmarkStart w:id="545" w:name="_Toc16242707"/>
                      <w:r w:rsidRPr="002F3392">
                        <w:rPr>
                          <w:rFonts w:ascii="Arial" w:hAnsi="Arial" w:cs="Arial"/>
                          <w:b/>
                          <w:i w:val="0"/>
                          <w:color w:val="000000" w:themeColor="text1"/>
                          <w:sz w:val="24"/>
                          <w:szCs w:val="24"/>
                        </w:rPr>
                        <w:t>Figure</w:t>
                      </w:r>
                      <w:r>
                        <w:rPr>
                          <w:rFonts w:ascii="Arial" w:hAnsi="Arial" w:cs="Arial"/>
                          <w:b/>
                          <w:i w:val="0"/>
                          <w:color w:val="000000" w:themeColor="text1"/>
                          <w:sz w:val="24"/>
                          <w:szCs w:val="24"/>
                        </w:rPr>
                        <w:t xml:space="preserv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2F3392">
                        <w:rPr>
                          <w:rFonts w:ascii="Arial" w:hAnsi="Arial" w:cs="Arial"/>
                          <w:i w:val="0"/>
                          <w:color w:val="000000" w:themeColor="text1"/>
                          <w:sz w:val="24"/>
                          <w:szCs w:val="24"/>
                        </w:rPr>
                        <w:t xml:space="preserve"> </w:t>
                      </w:r>
                      <w:r w:rsidRPr="002F3392">
                        <w:rPr>
                          <w:rFonts w:ascii="Arial" w:hAnsi="Arial" w:cs="Arial"/>
                          <w:i w:val="0"/>
                          <w:iCs w:val="0"/>
                          <w:color w:val="000000" w:themeColor="text1"/>
                          <w:sz w:val="24"/>
                          <w:szCs w:val="24"/>
                          <w:lang w:val="en-US"/>
                        </w:rPr>
                        <w:t>Univariate responses to both attention and stimulus modulation are weak. A) Mean BOLD modulation due to attention: positive values reflect greater BOLD amplitude during directed attention (averaged across attentional conditions). Data are shown for 5 visual ROIs: V1, V3A/B, hV4, LO-1 and LO-2 as well as a control area (auditory cortex- A1). No areas exhibit significantly larger BOLD modulation the attend vs passive comparison. B) Mean bottom-up stimulus responses to individual modulation events averaged over all attentional conditions. No areas exhibit differential responses to bottom-up stimulus modulations.</w:t>
                      </w:r>
                      <w:r>
                        <w:rPr>
                          <w:rFonts w:ascii="Arial" w:hAnsi="Arial" w:cs="Arial"/>
                          <w:i w:val="0"/>
                          <w:iCs w:val="0"/>
                          <w:color w:val="000000" w:themeColor="text1"/>
                          <w:sz w:val="24"/>
                          <w:szCs w:val="24"/>
                          <w:lang w:val="en-US"/>
                        </w:rPr>
                        <w:t xml:space="preserve"> </w:t>
                      </w:r>
                      <w:r w:rsidRPr="002F3392">
                        <w:rPr>
                          <w:rFonts w:ascii="Arial" w:hAnsi="Arial" w:cs="Arial"/>
                          <w:i w:val="0"/>
                          <w:iCs w:val="0"/>
                          <w:color w:val="000000" w:themeColor="text1"/>
                          <w:sz w:val="24"/>
                          <w:szCs w:val="24"/>
                          <w:lang w:val="en-US"/>
                        </w:rPr>
                        <w:t>C) Feature-specific attentional modulations averaged over all modulation types. Area LO-2 shows a slight increase in BOLD amplitude when subjects attend to shape. All error bars are +/- 1 SEM and significance asterisks indicate Benjamini-Hochberg corrected values.</w:t>
                      </w:r>
                      <w:bookmarkEnd w:id="544"/>
                      <w:bookmarkEnd w:id="545"/>
                    </w:p>
                    <w:p w14:paraId="291F313E" w14:textId="77777777" w:rsidR="00C93BE0" w:rsidRDefault="00C93BE0" w:rsidP="009F3085">
                      <w:pPr>
                        <w:keepNext/>
                        <w:jc w:val="center"/>
                      </w:pPr>
                    </w:p>
                    <w:p w14:paraId="2CB0D87D" w14:textId="77777777" w:rsidR="00C93BE0" w:rsidRDefault="00C93BE0" w:rsidP="009F3085">
                      <w:pPr>
                        <w:pStyle w:val="Caption"/>
                        <w:jc w:val="center"/>
                      </w:pPr>
                      <w:r w:rsidRPr="00225A74">
                        <w:rPr>
                          <w:rFonts w:ascii="Arial" w:hAnsi="Arial" w:cs="Arial"/>
                          <w:color w:val="000000" w:themeColor="text1"/>
                        </w:rPr>
                        <w:t xml:space="preserve"> </w:t>
                      </w:r>
                    </w:p>
                    <w:p w14:paraId="176DF965" w14:textId="77777777" w:rsidR="00C93BE0" w:rsidRDefault="00C93BE0" w:rsidP="009F3085">
                      <w:pPr>
                        <w:pStyle w:val="Caption"/>
                        <w:jc w:val="center"/>
                        <w:rPr>
                          <w:rFonts w:ascii="Arial" w:hAnsi="Arial" w:cs="Arial"/>
                          <w:color w:val="000000" w:themeColor="text1"/>
                        </w:rPr>
                      </w:pPr>
                    </w:p>
                    <w:p w14:paraId="71056431" w14:textId="77777777" w:rsidR="00C93BE0" w:rsidRDefault="00C93BE0" w:rsidP="009F3085">
                      <w:pPr>
                        <w:keepNext/>
                        <w:jc w:val="center"/>
                      </w:pPr>
                    </w:p>
                    <w:p w14:paraId="76E19718" w14:textId="77777777" w:rsidR="00C93BE0" w:rsidRDefault="00C93BE0" w:rsidP="009F3085">
                      <w:pPr>
                        <w:pStyle w:val="Caption"/>
                        <w:jc w:val="center"/>
                      </w:pPr>
                      <w:r w:rsidRPr="00225A74">
                        <w:rPr>
                          <w:rFonts w:ascii="Arial" w:hAnsi="Arial" w:cs="Arial"/>
                          <w:color w:val="000000" w:themeColor="text1"/>
                        </w:rPr>
                        <w:t xml:space="preserve"> </w:t>
                      </w:r>
                    </w:p>
                  </w:txbxContent>
                </v:textbox>
                <w10:wrap type="through" anchorx="margin"/>
              </v:shape>
            </w:pict>
          </mc:Fallback>
        </mc:AlternateContent>
      </w:r>
    </w:p>
    <w:p w14:paraId="5296DBDD" w14:textId="77777777" w:rsidR="00FA62F7" w:rsidRPr="008C35F2" w:rsidRDefault="00FA62F7" w:rsidP="001811CC">
      <w:pPr>
        <w:pStyle w:val="Heading3"/>
        <w:numPr>
          <w:ilvl w:val="2"/>
          <w:numId w:val="5"/>
        </w:numPr>
        <w:rPr>
          <w:rFonts w:ascii="Arial" w:hAnsi="Arial" w:cs="Arial"/>
          <w:b/>
          <w:i/>
          <w:color w:val="000000" w:themeColor="text1"/>
          <w:sz w:val="28"/>
          <w:szCs w:val="28"/>
        </w:rPr>
      </w:pPr>
      <w:bookmarkStart w:id="509" w:name="_Toc11148002"/>
      <w:bookmarkStart w:id="510" w:name="_Toc11153950"/>
      <w:bookmarkStart w:id="511" w:name="_Toc11753653"/>
      <w:bookmarkStart w:id="512" w:name="_Toc11926839"/>
      <w:bookmarkStart w:id="513" w:name="_Toc11930084"/>
      <w:bookmarkStart w:id="514" w:name="_Toc16075400"/>
      <w:bookmarkStart w:id="515" w:name="_Toc16237011"/>
      <w:r w:rsidRPr="008C35F2">
        <w:rPr>
          <w:rFonts w:ascii="Arial" w:hAnsi="Arial" w:cs="Arial"/>
          <w:b/>
          <w:i/>
          <w:color w:val="000000" w:themeColor="text1"/>
          <w:sz w:val="28"/>
          <w:szCs w:val="28"/>
        </w:rPr>
        <w:lastRenderedPageBreak/>
        <w:t>Multivariate Analysis: pattern classification</w:t>
      </w:r>
      <w:bookmarkEnd w:id="509"/>
      <w:bookmarkEnd w:id="510"/>
      <w:bookmarkEnd w:id="511"/>
      <w:bookmarkEnd w:id="512"/>
      <w:bookmarkEnd w:id="513"/>
      <w:bookmarkEnd w:id="514"/>
      <w:bookmarkEnd w:id="515"/>
    </w:p>
    <w:p w14:paraId="007DA16E" w14:textId="77777777" w:rsidR="00F35905" w:rsidRPr="00F35905" w:rsidRDefault="00F35905" w:rsidP="00F35905"/>
    <w:p w14:paraId="6EA69AE7" w14:textId="77777777"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The stimulus modulations that subjects detected were extremely subtle. Nevertheless, as shown in Figure</w:t>
      </w:r>
      <w:r w:rsidR="00014957">
        <w:rPr>
          <w:rFonts w:ascii="Arial" w:hAnsi="Arial" w:cs="Arial"/>
          <w:color w:val="0D0D0D" w:themeColor="text1" w:themeTint="F2"/>
        </w:rPr>
        <w:t xml:space="preserve"> 4.</w:t>
      </w:r>
      <w:r w:rsidRPr="00225AB0">
        <w:rPr>
          <w:rFonts w:ascii="Arial" w:hAnsi="Arial" w:cs="Arial"/>
          <w:color w:val="0D0D0D" w:themeColor="text1" w:themeTint="F2"/>
        </w:rPr>
        <w:t xml:space="preserve">2B, we detected BOLD activity with an amplitude significantly greater than zero time-locked to these modulations. We therefore asked if we could decode the identity of these bottom-up responses based on the pattern of responses they elicited in each ROI. To do this, we performed a three-way multivariate pattern classification analysis on the event-related responses, simultaneously classifying orientation, contrast and shape modulations. One-sample Wilcoxon signed-rank tests versus chance (33.33%) Benjamini-Hochberg corrected for the number of ROIs (6), revealed that the type of </w:t>
      </w:r>
      <w:r w:rsidRPr="00225AB0">
        <w:rPr>
          <w:rFonts w:ascii="Arial" w:hAnsi="Arial" w:cs="Arial"/>
          <w:i/>
          <w:color w:val="0D0D0D" w:themeColor="text1" w:themeTint="F2"/>
        </w:rPr>
        <w:t>bottom-up</w:t>
      </w:r>
      <w:r w:rsidRPr="00225AB0">
        <w:rPr>
          <w:rFonts w:ascii="Arial" w:hAnsi="Arial" w:cs="Arial"/>
          <w:color w:val="0D0D0D" w:themeColor="text1" w:themeTint="F2"/>
        </w:rPr>
        <w:t xml:space="preserve"> stimulus driven modulations could not be decoded at rates significantly above chance in any ROI examined (</w:t>
      </w:r>
      <w:r w:rsidRPr="00225AB0">
        <w:rPr>
          <w:rFonts w:ascii="Arial" w:hAnsi="Arial" w:cs="Arial"/>
          <w:i/>
          <w:color w:val="0D0D0D" w:themeColor="text1" w:themeTint="F2"/>
        </w:rPr>
        <w:t>p</w:t>
      </w:r>
      <w:r w:rsidRPr="00225AB0">
        <w:rPr>
          <w:rFonts w:ascii="Arial" w:hAnsi="Arial" w:cs="Arial"/>
          <w:color w:val="0D0D0D" w:themeColor="text1" w:themeTint="F2"/>
        </w:rPr>
        <w:t xml:space="preserve"> &gt;0.05). Mean decoding accuracy ranged from 31.81 to 34.18% (see Figure</w:t>
      </w:r>
      <w:r w:rsidR="00014957">
        <w:rPr>
          <w:rFonts w:ascii="Arial" w:hAnsi="Arial" w:cs="Arial"/>
          <w:color w:val="0D0D0D" w:themeColor="text1" w:themeTint="F2"/>
        </w:rPr>
        <w:t xml:space="preserve"> 4.</w:t>
      </w:r>
      <w:r w:rsidRPr="00225AB0">
        <w:rPr>
          <w:rFonts w:ascii="Arial" w:hAnsi="Arial" w:cs="Arial"/>
          <w:color w:val="0D0D0D" w:themeColor="text1" w:themeTint="F2"/>
        </w:rPr>
        <w:t xml:space="preserve">3A). </w:t>
      </w:r>
    </w:p>
    <w:p w14:paraId="089174A0" w14:textId="77777777" w:rsidR="00FA62F7" w:rsidRPr="00225AB0" w:rsidRDefault="00FA62F7" w:rsidP="00FA62F7">
      <w:pPr>
        <w:spacing w:line="480" w:lineRule="auto"/>
        <w:rPr>
          <w:rFonts w:ascii="Arial" w:hAnsi="Arial" w:cs="Arial"/>
          <w:color w:val="0D0D0D" w:themeColor="text1" w:themeTint="F2"/>
        </w:rPr>
      </w:pPr>
    </w:p>
    <w:p w14:paraId="146F766D" w14:textId="6950A404" w:rsidR="00FA62F7" w:rsidRPr="00812C5D"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The overall BOLD activity linked to attentional modulation was also significantly greater than zero (Figure</w:t>
      </w:r>
      <w:r w:rsidR="00014957">
        <w:rPr>
          <w:rFonts w:ascii="Arial" w:hAnsi="Arial" w:cs="Arial"/>
          <w:color w:val="0D0D0D" w:themeColor="text1" w:themeTint="F2"/>
        </w:rPr>
        <w:t xml:space="preserve"> 4.</w:t>
      </w:r>
      <w:r w:rsidRPr="00225AB0">
        <w:rPr>
          <w:rFonts w:ascii="Arial" w:hAnsi="Arial" w:cs="Arial"/>
          <w:color w:val="0D0D0D" w:themeColor="text1" w:themeTint="F2"/>
        </w:rPr>
        <w:t xml:space="preserve">2C). However, in comparison to the bottom-up results, multivariate pattern classification of attentional state </w:t>
      </w:r>
      <w:r w:rsidRPr="00170639">
        <w:rPr>
          <w:rFonts w:ascii="Arial" w:hAnsi="Arial" w:cs="Arial"/>
          <w:color w:val="0D0D0D" w:themeColor="text1" w:themeTint="F2"/>
        </w:rPr>
        <w:t>achieved accuracies</w:t>
      </w:r>
      <w:r w:rsidRPr="00225AB0">
        <w:rPr>
          <w:rFonts w:ascii="Arial" w:hAnsi="Arial" w:cs="Arial"/>
          <w:color w:val="0D0D0D" w:themeColor="text1" w:themeTint="F2"/>
        </w:rPr>
        <w:t xml:space="preserve"> significantly greater than chance in all visual ROIs examined (V1: Z(11) = 2.90,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0.014, V3A/B: Z(11) = 3.06,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0.014, hV4: Z(11) = 2.75,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0.018, LO-1: Z(11) = 3.06,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0.014, LO-2: Z(11) = 2.94,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0.014) (see Figure</w:t>
      </w:r>
      <w:r w:rsidR="00014957">
        <w:rPr>
          <w:rFonts w:ascii="Arial" w:hAnsi="Arial" w:cs="Arial"/>
          <w:color w:val="0D0D0D" w:themeColor="text1" w:themeTint="F2"/>
        </w:rPr>
        <w:t xml:space="preserve"> 4.</w:t>
      </w:r>
      <w:r w:rsidRPr="00225AB0">
        <w:rPr>
          <w:rFonts w:ascii="Arial" w:hAnsi="Arial" w:cs="Arial"/>
          <w:color w:val="0D0D0D" w:themeColor="text1" w:themeTint="F2"/>
        </w:rPr>
        <w:t>3B).</w:t>
      </w:r>
      <w:r w:rsidRPr="00225AB0">
        <w:rPr>
          <w:rFonts w:ascii="Arial" w:hAnsi="Arial" w:cs="Arial"/>
          <w:i/>
          <w:color w:val="0D0D0D" w:themeColor="text1" w:themeTint="F2"/>
        </w:rPr>
        <w:t xml:space="preserve"> </w:t>
      </w:r>
      <w:r w:rsidRPr="00225AB0">
        <w:rPr>
          <w:rFonts w:ascii="Arial" w:hAnsi="Arial" w:cs="Arial"/>
          <w:color w:val="0D0D0D" w:themeColor="text1" w:themeTint="F2"/>
        </w:rPr>
        <w:t xml:space="preserve">Mean classification accuracy ranged from 35.49 to 54.96% across ROIs. As expected, classification was not significantly different from chance </w:t>
      </w:r>
      <w:r w:rsidR="00D44AC6">
        <w:rPr>
          <w:rFonts w:ascii="Arial" w:hAnsi="Arial" w:cs="Arial"/>
          <w:color w:val="0D0D0D" w:themeColor="text1" w:themeTint="F2"/>
        </w:rPr>
        <w:t>in</w:t>
      </w:r>
      <w:r w:rsidRPr="00225AB0">
        <w:rPr>
          <w:rFonts w:ascii="Arial" w:hAnsi="Arial" w:cs="Arial"/>
          <w:color w:val="0D0D0D" w:themeColor="text1" w:themeTint="F2"/>
        </w:rPr>
        <w:t xml:space="preserve"> the auditory control ROI A1 (</w:t>
      </w:r>
      <w:proofErr w:type="gramStart"/>
      <w:r w:rsidRPr="00225AB0">
        <w:rPr>
          <w:rFonts w:ascii="Arial" w:hAnsi="Arial" w:cs="Arial"/>
          <w:color w:val="0D0D0D" w:themeColor="text1" w:themeTint="F2"/>
        </w:rPr>
        <w:t>Z(</w:t>
      </w:r>
      <w:proofErr w:type="gramEnd"/>
      <w:r w:rsidRPr="00225AB0">
        <w:rPr>
          <w:rFonts w:ascii="Arial" w:hAnsi="Arial" w:cs="Arial"/>
          <w:color w:val="0D0D0D" w:themeColor="text1" w:themeTint="F2"/>
        </w:rPr>
        <w:t xml:space="preserve">11)= 1.42, </w:t>
      </w:r>
      <w:r w:rsidRPr="00225AB0">
        <w:rPr>
          <w:rFonts w:ascii="Arial" w:hAnsi="Arial" w:cs="Arial"/>
          <w:i/>
          <w:color w:val="0D0D0D" w:themeColor="text1" w:themeTint="F2"/>
        </w:rPr>
        <w:t>p</w:t>
      </w:r>
      <w:r w:rsidRPr="00225AB0">
        <w:rPr>
          <w:rFonts w:ascii="Arial" w:hAnsi="Arial" w:cs="Arial"/>
          <w:color w:val="0D0D0D" w:themeColor="text1" w:themeTint="F2"/>
        </w:rPr>
        <w:t xml:space="preserve"> = 0.382). </w:t>
      </w:r>
    </w:p>
    <w:p w14:paraId="131EFCF5" w14:textId="09078397" w:rsidR="00FA62F7" w:rsidRPr="00225AB0" w:rsidRDefault="007B68C2" w:rsidP="00FA62F7">
      <w:pPr>
        <w:spacing w:line="480" w:lineRule="auto"/>
        <w:rPr>
          <w:rFonts w:ascii="Arial" w:hAnsi="Arial" w:cs="Arial"/>
          <w:color w:val="0D0D0D" w:themeColor="text1" w:themeTint="F2"/>
        </w:rPr>
      </w:pPr>
      <w:r w:rsidRPr="00225AB0">
        <w:rPr>
          <w:rFonts w:ascii="Arial" w:hAnsi="Arial" w:cs="Arial"/>
          <w:noProof/>
          <w:color w:val="0D0D0D" w:themeColor="text1" w:themeTint="F2"/>
          <w:lang w:eastAsia="en-GB"/>
        </w:rPr>
        <w:lastRenderedPageBreak/>
        <mc:AlternateContent>
          <mc:Choice Requires="wps">
            <w:drawing>
              <wp:anchor distT="0" distB="0" distL="114300" distR="114300" simplePos="0" relativeHeight="251813888" behindDoc="1" locked="0" layoutInCell="1" allowOverlap="1" wp14:anchorId="3EF1780E" wp14:editId="1EAFD314">
                <wp:simplePos x="0" y="0"/>
                <wp:positionH relativeFrom="column">
                  <wp:posOffset>-82550</wp:posOffset>
                </wp:positionH>
                <wp:positionV relativeFrom="paragraph">
                  <wp:posOffset>2089128</wp:posOffset>
                </wp:positionV>
                <wp:extent cx="5325745" cy="6100445"/>
                <wp:effectExtent l="0" t="0" r="0" b="0"/>
                <wp:wrapTight wrapText="bothSides">
                  <wp:wrapPolygon edited="0">
                    <wp:start x="0" y="0"/>
                    <wp:lineTo x="0" y="21539"/>
                    <wp:lineTo x="21530" y="21539"/>
                    <wp:lineTo x="21530"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5325745" cy="6100445"/>
                        </a:xfrm>
                        <a:prstGeom prst="rect">
                          <a:avLst/>
                        </a:prstGeom>
                        <a:solidFill>
                          <a:schemeClr val="lt1"/>
                        </a:solidFill>
                        <a:ln w="6350">
                          <a:noFill/>
                        </a:ln>
                      </wps:spPr>
                      <wps:txbx>
                        <w:txbxContent>
                          <w:p w14:paraId="347C1D39" w14:textId="571F9901" w:rsidR="00C93BE0" w:rsidRDefault="00C93BE0" w:rsidP="009F3085">
                            <w:pPr>
                              <w:pStyle w:val="Caption"/>
                              <w:keepNext/>
                            </w:pPr>
                            <w:r>
                              <w:rPr>
                                <w:noProof/>
                              </w:rPr>
                              <w:drawing>
                                <wp:inline distT="0" distB="0" distL="0" distR="0" wp14:anchorId="59E2524D" wp14:editId="7CC9CCB7">
                                  <wp:extent cx="5225526" cy="320501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gure4.3-multivariate_matrix.png"/>
                                          <pic:cNvPicPr/>
                                        </pic:nvPicPr>
                                        <pic:blipFill rotWithShape="1">
                                          <a:blip r:embed="rId46">
                                            <a:extLst>
                                              <a:ext uri="{28A0092B-C50C-407E-A947-70E740481C1C}">
                                                <a14:useLocalDpi xmlns:a14="http://schemas.microsoft.com/office/drawing/2010/main" val="0"/>
                                              </a:ext>
                                            </a:extLst>
                                          </a:blip>
                                          <a:srcRect l="6295"/>
                                          <a:stretch/>
                                        </pic:blipFill>
                                        <pic:spPr bwMode="auto">
                                          <a:xfrm>
                                            <a:off x="0" y="0"/>
                                            <a:ext cx="5264156" cy="3228711"/>
                                          </a:xfrm>
                                          <a:prstGeom prst="rect">
                                            <a:avLst/>
                                          </a:prstGeom>
                                          <a:ln>
                                            <a:noFill/>
                                          </a:ln>
                                          <a:extLst>
                                            <a:ext uri="{53640926-AAD7-44D8-BBD7-CCE9431645EC}">
                                              <a14:shadowObscured xmlns:a14="http://schemas.microsoft.com/office/drawing/2010/main"/>
                                            </a:ext>
                                          </a:extLst>
                                        </pic:spPr>
                                      </pic:pic>
                                    </a:graphicData>
                                  </a:graphic>
                                </wp:inline>
                              </w:drawing>
                            </w:r>
                          </w:p>
                          <w:p w14:paraId="1879DEDD" w14:textId="020098B9" w:rsidR="00C93BE0" w:rsidRPr="00014957" w:rsidRDefault="00C93BE0" w:rsidP="009F3085">
                            <w:pPr>
                              <w:pStyle w:val="Caption"/>
                              <w:spacing w:line="360" w:lineRule="auto"/>
                              <w:jc w:val="both"/>
                              <w:rPr>
                                <w:rFonts w:ascii="Arial" w:hAnsi="Arial" w:cs="Arial"/>
                                <w:i w:val="0"/>
                                <w:color w:val="000000" w:themeColor="text1"/>
                                <w:sz w:val="24"/>
                                <w:szCs w:val="24"/>
                              </w:rPr>
                            </w:pPr>
                            <w:bookmarkStart w:id="516" w:name="_Toc12363351"/>
                            <w:bookmarkStart w:id="517" w:name="_Toc16242708"/>
                            <w:r w:rsidRPr="00014957">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014957">
                              <w:rPr>
                                <w:rFonts w:ascii="Arial" w:hAnsi="Arial" w:cs="Arial"/>
                                <w:i w:val="0"/>
                                <w:color w:val="000000" w:themeColor="text1"/>
                                <w:sz w:val="24"/>
                                <w:szCs w:val="24"/>
                              </w:rPr>
                              <w:t xml:space="preserve"> Multivariate Support Vector Machine Decoding. Voxel-level responses with individual ROIs are modulated by attentional state, but not by bottom-up changes in stimulus features. A) Overall three-way decoding accuracies. Stimulus change cannot be accurately decoded in an ROI examined. B) Attentional state can be decoded above chance in all ROIs except A1. Error bars reflect +/- 1 SEM</w:t>
                            </w:r>
                            <w:r>
                              <w:rPr>
                                <w:rFonts w:ascii="Arial" w:hAnsi="Arial" w:cs="Arial"/>
                                <w:i w:val="0"/>
                                <w:color w:val="000000" w:themeColor="text1"/>
                                <w:sz w:val="24"/>
                                <w:szCs w:val="24"/>
                              </w:rPr>
                              <w:t xml:space="preserve">. </w:t>
                            </w:r>
                            <w:r w:rsidRPr="00014957">
                              <w:rPr>
                                <w:rFonts w:ascii="Arial" w:hAnsi="Arial" w:cs="Arial"/>
                                <w:i w:val="0"/>
                                <w:color w:val="000000" w:themeColor="text1"/>
                                <w:sz w:val="24"/>
                                <w:szCs w:val="24"/>
                              </w:rPr>
                              <w:t xml:space="preserve">C) Two-way classification accuracies across pairwise combinations of attentional focus (orientation versus shape, orientation versus contrast and contrast versus shape). Voxel patterns in all areas differ significantly between attention to orientation and shape. </w:t>
                            </w:r>
                            <w:r>
                              <w:rPr>
                                <w:rFonts w:ascii="Arial" w:hAnsi="Arial" w:cs="Arial"/>
                                <w:i w:val="0"/>
                                <w:color w:val="000000" w:themeColor="text1"/>
                                <w:sz w:val="24"/>
                                <w:szCs w:val="24"/>
                              </w:rPr>
                              <w:t>S</w:t>
                            </w:r>
                            <w:r w:rsidRPr="00014957">
                              <w:rPr>
                                <w:rFonts w:ascii="Arial" w:hAnsi="Arial" w:cs="Arial"/>
                                <w:i w:val="0"/>
                                <w:color w:val="000000" w:themeColor="text1"/>
                                <w:sz w:val="24"/>
                                <w:szCs w:val="24"/>
                              </w:rPr>
                              <w:t>ignificance asterisks indicate Benjamini-Hochberg corrected values.</w:t>
                            </w:r>
                            <w:bookmarkEnd w:id="516"/>
                            <w:bookmarkEnd w:id="517"/>
                          </w:p>
                          <w:p w14:paraId="16677EE2" w14:textId="77777777" w:rsidR="00C93BE0" w:rsidRPr="0036134D" w:rsidRDefault="00C93BE0" w:rsidP="009F3085">
                            <w:pPr>
                              <w:pStyle w:val="Caption"/>
                              <w:keepNext/>
                              <w:rPr>
                                <w:rFonts w:ascii="Arial" w:hAnsi="Arial" w:cs="Arial"/>
                                <w:color w:val="auto"/>
                              </w:rPr>
                            </w:pPr>
                            <w:r w:rsidRPr="0036134D">
                              <w:rPr>
                                <w:rFonts w:ascii="Arial" w:hAnsi="Arial" w:cs="Arial"/>
                                <w:color w:val="auto"/>
                              </w:rPr>
                              <w:t xml:space="preserve"> </w:t>
                            </w:r>
                          </w:p>
                          <w:p w14:paraId="1B7B593A" w14:textId="77777777" w:rsidR="00C93BE0" w:rsidRDefault="00C93BE0" w:rsidP="009F3085">
                            <w:pPr>
                              <w:pStyle w:val="Caption"/>
                              <w:jc w:val="center"/>
                            </w:pPr>
                          </w:p>
                          <w:p w14:paraId="661AD797" w14:textId="77777777" w:rsidR="00C93BE0" w:rsidRPr="0036134D" w:rsidRDefault="00C93BE0" w:rsidP="009F3085">
                            <w:pPr>
                              <w:pStyle w:val="Caption"/>
                              <w:keepNext/>
                              <w:rPr>
                                <w:rFonts w:ascii="Arial" w:hAnsi="Arial" w:cs="Arial"/>
                                <w:color w:val="auto"/>
                              </w:rPr>
                            </w:pPr>
                          </w:p>
                          <w:p w14:paraId="2ECDADAC" w14:textId="77777777" w:rsidR="00C93BE0" w:rsidRDefault="00C93BE0" w:rsidP="009F3085">
                            <w:pPr>
                              <w:pStyle w:val="Caption"/>
                              <w:jc w:val="center"/>
                            </w:pPr>
                          </w:p>
                          <w:p w14:paraId="238C75F4" w14:textId="77777777" w:rsidR="00C93BE0" w:rsidRDefault="00C93BE0" w:rsidP="009F3085">
                            <w:pPr>
                              <w:pStyle w:val="Caption"/>
                              <w:jc w:val="center"/>
                            </w:pPr>
                          </w:p>
                          <w:p w14:paraId="5E95DCA4" w14:textId="77777777" w:rsidR="00C93BE0" w:rsidRPr="00790903" w:rsidRDefault="00C93BE0" w:rsidP="009F3085">
                            <w:pPr>
                              <w:pStyle w:val="Caption"/>
                              <w:jc w:val="cente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1780E" id="Text Box 14" o:spid="_x0000_s1048" type="#_x0000_t202" style="position:absolute;margin-left:-6.5pt;margin-top:164.5pt;width:419.35pt;height:480.3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" fillcolor="white [3201]" stroked="f" strokeweight=".5pt">
                <v:textbox>
                  <w:txbxContent>
                    <w:p w14:paraId="347C1D39" w14:textId="571F9901" w:rsidR="00C93BE0" w:rsidRDefault="00C93BE0" w:rsidP="009F3085">
                      <w:pPr>
                        <w:pStyle w:val="Caption"/>
                        <w:keepNext/>
                      </w:pPr>
                      <w:r>
                        <w:rPr>
                          <w:noProof/>
                        </w:rPr>
                        <w:drawing>
                          <wp:inline distT="0" distB="0" distL="0" distR="0" wp14:anchorId="59E2524D" wp14:editId="7CC9CCB7">
                            <wp:extent cx="5225526" cy="320501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gure4.3-multivariate_matrix.png"/>
                                    <pic:cNvPicPr/>
                                  </pic:nvPicPr>
                                  <pic:blipFill rotWithShape="1">
                                    <a:blip r:embed="rId47">
                                      <a:extLst>
                                        <a:ext uri="{28A0092B-C50C-407E-A947-70E740481C1C}">
                                          <a14:useLocalDpi xmlns:a14="http://schemas.microsoft.com/office/drawing/2010/main" val="0"/>
                                        </a:ext>
                                      </a:extLst>
                                    </a:blip>
                                    <a:srcRect l="6295"/>
                                    <a:stretch/>
                                  </pic:blipFill>
                                  <pic:spPr bwMode="auto">
                                    <a:xfrm>
                                      <a:off x="0" y="0"/>
                                      <a:ext cx="5264156" cy="3228711"/>
                                    </a:xfrm>
                                    <a:prstGeom prst="rect">
                                      <a:avLst/>
                                    </a:prstGeom>
                                    <a:ln>
                                      <a:noFill/>
                                    </a:ln>
                                    <a:extLst>
                                      <a:ext uri="{53640926-AAD7-44D8-BBD7-CCE9431645EC}">
                                        <a14:shadowObscured xmlns:a14="http://schemas.microsoft.com/office/drawing/2010/main"/>
                                      </a:ext>
                                    </a:extLst>
                                  </pic:spPr>
                                </pic:pic>
                              </a:graphicData>
                            </a:graphic>
                          </wp:inline>
                        </w:drawing>
                      </w:r>
                    </w:p>
                    <w:p w14:paraId="1879DEDD" w14:textId="020098B9" w:rsidR="00C93BE0" w:rsidRPr="00014957" w:rsidRDefault="00C93BE0" w:rsidP="009F3085">
                      <w:pPr>
                        <w:pStyle w:val="Caption"/>
                        <w:spacing w:line="360" w:lineRule="auto"/>
                        <w:jc w:val="both"/>
                        <w:rPr>
                          <w:rFonts w:ascii="Arial" w:hAnsi="Arial" w:cs="Arial"/>
                          <w:i w:val="0"/>
                          <w:color w:val="000000" w:themeColor="text1"/>
                          <w:sz w:val="24"/>
                          <w:szCs w:val="24"/>
                        </w:rPr>
                      </w:pPr>
                      <w:bookmarkStart w:id="555" w:name="_Toc12363351"/>
                      <w:bookmarkStart w:id="556" w:name="_Toc16242708"/>
                      <w:r w:rsidRPr="00014957">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014957">
                        <w:rPr>
                          <w:rFonts w:ascii="Arial" w:hAnsi="Arial" w:cs="Arial"/>
                          <w:i w:val="0"/>
                          <w:color w:val="000000" w:themeColor="text1"/>
                          <w:sz w:val="24"/>
                          <w:szCs w:val="24"/>
                        </w:rPr>
                        <w:t xml:space="preserve"> Multivariate Support Vector Machine Decoding. Voxel-level responses with individual ROIs are modulated by attentional state, but not by bottom-up changes in stimulus features. A) Overall three-way decoding accuracies. Stimulus change cannot be accurately decoded in an ROI examined. B) Attentional state can be decoded above chance in all ROIs except A1. Error bars reflect +/- 1 SEM</w:t>
                      </w:r>
                      <w:r>
                        <w:rPr>
                          <w:rFonts w:ascii="Arial" w:hAnsi="Arial" w:cs="Arial"/>
                          <w:i w:val="0"/>
                          <w:color w:val="000000" w:themeColor="text1"/>
                          <w:sz w:val="24"/>
                          <w:szCs w:val="24"/>
                        </w:rPr>
                        <w:t xml:space="preserve">. </w:t>
                      </w:r>
                      <w:r w:rsidRPr="00014957">
                        <w:rPr>
                          <w:rFonts w:ascii="Arial" w:hAnsi="Arial" w:cs="Arial"/>
                          <w:i w:val="0"/>
                          <w:color w:val="000000" w:themeColor="text1"/>
                          <w:sz w:val="24"/>
                          <w:szCs w:val="24"/>
                        </w:rPr>
                        <w:t xml:space="preserve">C) Two-way classification accuracies across pairwise combinations of attentional focus (orientation versus shape, orientation versus contrast and contrast versus shape). Voxel patterns in all areas differ significantly between attention to orientation and shape. </w:t>
                      </w:r>
                      <w:r>
                        <w:rPr>
                          <w:rFonts w:ascii="Arial" w:hAnsi="Arial" w:cs="Arial"/>
                          <w:i w:val="0"/>
                          <w:color w:val="000000" w:themeColor="text1"/>
                          <w:sz w:val="24"/>
                          <w:szCs w:val="24"/>
                        </w:rPr>
                        <w:t>S</w:t>
                      </w:r>
                      <w:r w:rsidRPr="00014957">
                        <w:rPr>
                          <w:rFonts w:ascii="Arial" w:hAnsi="Arial" w:cs="Arial"/>
                          <w:i w:val="0"/>
                          <w:color w:val="000000" w:themeColor="text1"/>
                          <w:sz w:val="24"/>
                          <w:szCs w:val="24"/>
                        </w:rPr>
                        <w:t>ignificance asterisks indicate Benjamini-Hochberg corrected values.</w:t>
                      </w:r>
                      <w:bookmarkEnd w:id="555"/>
                      <w:bookmarkEnd w:id="556"/>
                    </w:p>
                    <w:p w14:paraId="16677EE2" w14:textId="77777777" w:rsidR="00C93BE0" w:rsidRPr="0036134D" w:rsidRDefault="00C93BE0" w:rsidP="009F3085">
                      <w:pPr>
                        <w:pStyle w:val="Caption"/>
                        <w:keepNext/>
                        <w:rPr>
                          <w:rFonts w:ascii="Arial" w:hAnsi="Arial" w:cs="Arial"/>
                          <w:color w:val="auto"/>
                        </w:rPr>
                      </w:pPr>
                      <w:r w:rsidRPr="0036134D">
                        <w:rPr>
                          <w:rFonts w:ascii="Arial" w:hAnsi="Arial" w:cs="Arial"/>
                          <w:color w:val="auto"/>
                        </w:rPr>
                        <w:t xml:space="preserve"> </w:t>
                      </w:r>
                    </w:p>
                    <w:p w14:paraId="1B7B593A" w14:textId="77777777" w:rsidR="00C93BE0" w:rsidRDefault="00C93BE0" w:rsidP="009F3085">
                      <w:pPr>
                        <w:pStyle w:val="Caption"/>
                        <w:jc w:val="center"/>
                      </w:pPr>
                    </w:p>
                    <w:p w14:paraId="661AD797" w14:textId="77777777" w:rsidR="00C93BE0" w:rsidRPr="0036134D" w:rsidRDefault="00C93BE0" w:rsidP="009F3085">
                      <w:pPr>
                        <w:pStyle w:val="Caption"/>
                        <w:keepNext/>
                        <w:rPr>
                          <w:rFonts w:ascii="Arial" w:hAnsi="Arial" w:cs="Arial"/>
                          <w:color w:val="auto"/>
                        </w:rPr>
                      </w:pPr>
                    </w:p>
                    <w:p w14:paraId="2ECDADAC" w14:textId="77777777" w:rsidR="00C93BE0" w:rsidRDefault="00C93BE0" w:rsidP="009F3085">
                      <w:pPr>
                        <w:pStyle w:val="Caption"/>
                        <w:jc w:val="center"/>
                      </w:pPr>
                    </w:p>
                    <w:p w14:paraId="238C75F4" w14:textId="77777777" w:rsidR="00C93BE0" w:rsidRDefault="00C93BE0" w:rsidP="009F3085">
                      <w:pPr>
                        <w:pStyle w:val="Caption"/>
                        <w:jc w:val="center"/>
                      </w:pPr>
                    </w:p>
                    <w:p w14:paraId="5E95DCA4" w14:textId="77777777" w:rsidR="00C93BE0" w:rsidRPr="00790903" w:rsidRDefault="00C93BE0" w:rsidP="009F3085">
                      <w:pPr>
                        <w:pStyle w:val="Caption"/>
                        <w:jc w:val="center"/>
                        <w:rPr>
                          <w:rFonts w:ascii="Arial" w:hAnsi="Arial" w:cs="Arial"/>
                          <w:color w:val="000000" w:themeColor="text1"/>
                        </w:rPr>
                      </w:pPr>
                    </w:p>
                  </w:txbxContent>
                </v:textbox>
                <w10:wrap type="tight"/>
              </v:shape>
            </w:pict>
          </mc:Fallback>
        </mc:AlternateContent>
      </w:r>
      <w:r w:rsidR="00FA62F7" w:rsidRPr="00225AB0">
        <w:rPr>
          <w:rFonts w:ascii="Arial" w:hAnsi="Arial" w:cs="Arial"/>
          <w:color w:val="0D0D0D" w:themeColor="text1" w:themeTint="F2"/>
        </w:rPr>
        <w:t xml:space="preserve">To further analyse these significant, attentionally-driven classification patterns, we performed pair-wise pattern classification to determine which attentional states generated different voxel-level responses. Significance was assessed using one-sample Wilcoxon signed-rank tests versus chance (50%), Benjamini-Hochberg corrected for the number of comparisons across ROIs. </w:t>
      </w:r>
    </w:p>
    <w:p w14:paraId="382EC9DE" w14:textId="4CF90A28" w:rsidR="00014957" w:rsidRDefault="00014957" w:rsidP="00FA62F7">
      <w:pPr>
        <w:spacing w:line="480" w:lineRule="auto"/>
        <w:rPr>
          <w:rFonts w:ascii="Arial" w:hAnsi="Arial" w:cs="Arial"/>
          <w:color w:val="0D0D0D" w:themeColor="text1" w:themeTint="F2"/>
        </w:rPr>
      </w:pPr>
    </w:p>
    <w:p w14:paraId="6EDD41F4" w14:textId="6B20EC8F" w:rsidR="00FA62F7" w:rsidRPr="00225AB0" w:rsidRDefault="00B22E1F" w:rsidP="00FA62F7">
      <w:pPr>
        <w:spacing w:line="480" w:lineRule="auto"/>
        <w:rPr>
          <w:rFonts w:ascii="Arial" w:hAnsi="Arial" w:cs="Arial"/>
          <w:color w:val="0D0D0D" w:themeColor="text1" w:themeTint="F2"/>
        </w:rPr>
      </w:pPr>
      <w:r>
        <w:rPr>
          <w:rFonts w:ascii="Arial" w:hAnsi="Arial" w:cs="Arial"/>
          <w:i/>
          <w:noProof/>
          <w:color w:val="0D0D0D" w:themeColor="text1" w:themeTint="F2"/>
        </w:rPr>
        <w:lastRenderedPageBreak/>
        <mc:AlternateContent>
          <mc:Choice Requires="wps">
            <w:drawing>
              <wp:anchor distT="0" distB="0" distL="114300" distR="114300" simplePos="0" relativeHeight="251854848" behindDoc="0" locked="0" layoutInCell="1" allowOverlap="1" wp14:anchorId="2F80CB1B" wp14:editId="3772258A">
                <wp:simplePos x="0" y="0"/>
                <wp:positionH relativeFrom="column">
                  <wp:posOffset>-65314</wp:posOffset>
                </wp:positionH>
                <wp:positionV relativeFrom="paragraph">
                  <wp:posOffset>3312432</wp:posOffset>
                </wp:positionV>
                <wp:extent cx="5813425" cy="232537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5813425" cy="2325370"/>
                        </a:xfrm>
                        <a:prstGeom prst="rect">
                          <a:avLst/>
                        </a:prstGeom>
                        <a:noFill/>
                        <a:ln w="6350">
                          <a:noFill/>
                        </a:ln>
                      </wps:spPr>
                      <wps:txbx>
                        <w:txbxContent>
                          <w:p w14:paraId="4BDBD430" w14:textId="77777777" w:rsidR="00C93BE0" w:rsidRPr="00A92335" w:rsidRDefault="00C93BE0" w:rsidP="00B22E1F">
                            <w:pPr>
                              <w:pStyle w:val="Caption"/>
                              <w:keepNext/>
                              <w:rPr>
                                <w:rFonts w:ascii="Arial" w:hAnsi="Arial" w:cs="Arial"/>
                                <w:i w:val="0"/>
                                <w:iCs w:val="0"/>
                                <w:color w:val="000000" w:themeColor="text1"/>
                                <w:sz w:val="24"/>
                                <w:szCs w:val="24"/>
                              </w:rPr>
                            </w:pPr>
                            <w:r w:rsidRPr="00A92335">
                              <w:rPr>
                                <w:rFonts w:ascii="Arial" w:hAnsi="Arial" w:cs="Arial"/>
                                <w:b/>
                                <w:bCs/>
                                <w:i w:val="0"/>
                                <w:iCs w:val="0"/>
                                <w:color w:val="000000" w:themeColor="text1"/>
                                <w:sz w:val="24"/>
                                <w:szCs w:val="24"/>
                              </w:rPr>
                              <w:t>Table 4.</w:t>
                            </w:r>
                            <w:r>
                              <w:rPr>
                                <w:rFonts w:ascii="Arial" w:hAnsi="Arial" w:cs="Arial"/>
                                <w:b/>
                                <w:bCs/>
                                <w:i w:val="0"/>
                                <w:iCs w:val="0"/>
                                <w:color w:val="000000" w:themeColor="text1"/>
                                <w:sz w:val="24"/>
                                <w:szCs w:val="24"/>
                              </w:rPr>
                              <w:t xml:space="preserve">1 </w:t>
                            </w:r>
                            <w:r>
                              <w:rPr>
                                <w:rFonts w:ascii="Arial" w:hAnsi="Arial" w:cs="Arial"/>
                                <w:i w:val="0"/>
                                <w:iCs w:val="0"/>
                                <w:color w:val="000000" w:themeColor="text1"/>
                                <w:sz w:val="24"/>
                                <w:szCs w:val="24"/>
                              </w:rPr>
                              <w:t xml:space="preserve">Attention directed toward orientation, contrast and shape can be decoded through two-way classification in visual ROIs.  </w:t>
                            </w:r>
                          </w:p>
                          <w:tbl>
                            <w:tblPr>
                              <w:tblStyle w:val="TableGrid"/>
                              <w:tblW w:w="0" w:type="auto"/>
                              <w:tblLook w:val="04A0" w:firstRow="1" w:lastRow="0" w:firstColumn="1" w:lastColumn="0" w:noHBand="0" w:noVBand="1"/>
                            </w:tblPr>
                            <w:tblGrid>
                              <w:gridCol w:w="974"/>
                              <w:gridCol w:w="1285"/>
                              <w:gridCol w:w="1569"/>
                              <w:gridCol w:w="1076"/>
                              <w:gridCol w:w="1475"/>
                              <w:gridCol w:w="1079"/>
                              <w:gridCol w:w="1204"/>
                            </w:tblGrid>
                            <w:tr w:rsidR="00C93BE0" w14:paraId="0BB799BA" w14:textId="77777777" w:rsidTr="004E41A6">
                              <w:tc>
                                <w:tcPr>
                                  <w:tcW w:w="974" w:type="dxa"/>
                                  <w:tcBorders>
                                    <w:top w:val="single" w:sz="18" w:space="0" w:color="000000"/>
                                    <w:left w:val="nil"/>
                                    <w:bottom w:val="single" w:sz="8" w:space="0" w:color="000000"/>
                                    <w:right w:val="nil"/>
                                  </w:tcBorders>
                                </w:tcPr>
                                <w:p w14:paraId="4B68101A" w14:textId="77777777" w:rsidR="00C93BE0" w:rsidRPr="006F0EDD" w:rsidRDefault="00C93BE0" w:rsidP="004E41A6">
                                  <w:pPr>
                                    <w:rPr>
                                      <w:rFonts w:ascii="Arial" w:hAnsi="Arial" w:cs="Arial"/>
                                    </w:rPr>
                                  </w:pPr>
                                </w:p>
                              </w:tc>
                              <w:tc>
                                <w:tcPr>
                                  <w:tcW w:w="2854" w:type="dxa"/>
                                  <w:gridSpan w:val="2"/>
                                  <w:tcBorders>
                                    <w:top w:val="single" w:sz="18" w:space="0" w:color="000000"/>
                                    <w:left w:val="nil"/>
                                    <w:bottom w:val="single" w:sz="8" w:space="0" w:color="000000"/>
                                    <w:right w:val="nil"/>
                                  </w:tcBorders>
                                </w:tcPr>
                                <w:p w14:paraId="723E870A" w14:textId="77777777" w:rsidR="00C93BE0" w:rsidRPr="006F0EDD" w:rsidRDefault="00C93BE0" w:rsidP="004E41A6">
                                  <w:pPr>
                                    <w:rPr>
                                      <w:rFonts w:ascii="Arial" w:hAnsi="Arial" w:cs="Arial"/>
                                    </w:rPr>
                                  </w:pPr>
                                  <w:r w:rsidRPr="006F0EDD">
                                    <w:rPr>
                                      <w:rFonts w:ascii="Arial" w:hAnsi="Arial" w:cs="Arial"/>
                                    </w:rPr>
                                    <w:t xml:space="preserve">Orientation </w:t>
                                  </w:r>
                                  <w:r>
                                    <w:rPr>
                                      <w:rFonts w:ascii="Arial" w:hAnsi="Arial" w:cs="Arial"/>
                                    </w:rPr>
                                    <w:t>vs.</w:t>
                                  </w:r>
                                  <w:r w:rsidRPr="006F0EDD">
                                    <w:rPr>
                                      <w:rFonts w:ascii="Arial" w:hAnsi="Arial" w:cs="Arial"/>
                                    </w:rPr>
                                    <w:t xml:space="preserve"> </w:t>
                                  </w:r>
                                  <w:r>
                                    <w:rPr>
                                      <w:rFonts w:ascii="Arial" w:hAnsi="Arial" w:cs="Arial"/>
                                    </w:rPr>
                                    <w:t>Contrast</w:t>
                                  </w:r>
                                </w:p>
                              </w:tc>
                              <w:tc>
                                <w:tcPr>
                                  <w:tcW w:w="2551" w:type="dxa"/>
                                  <w:gridSpan w:val="2"/>
                                  <w:tcBorders>
                                    <w:top w:val="single" w:sz="18" w:space="0" w:color="000000"/>
                                    <w:left w:val="nil"/>
                                    <w:bottom w:val="single" w:sz="8" w:space="0" w:color="000000"/>
                                    <w:right w:val="nil"/>
                                  </w:tcBorders>
                                </w:tcPr>
                                <w:p w14:paraId="63CF836A" w14:textId="77777777" w:rsidR="00C93BE0" w:rsidRPr="006F0EDD" w:rsidRDefault="00C93BE0" w:rsidP="004E41A6">
                                  <w:pPr>
                                    <w:rPr>
                                      <w:rFonts w:ascii="Arial" w:hAnsi="Arial" w:cs="Arial"/>
                                    </w:rPr>
                                  </w:pPr>
                                  <w:r w:rsidRPr="006F0EDD">
                                    <w:rPr>
                                      <w:rFonts w:ascii="Arial" w:hAnsi="Arial" w:cs="Arial"/>
                                    </w:rPr>
                                    <w:t xml:space="preserve">Orientation </w:t>
                                  </w:r>
                                  <w:r>
                                    <w:rPr>
                                      <w:rFonts w:ascii="Arial" w:hAnsi="Arial" w:cs="Arial"/>
                                    </w:rPr>
                                    <w:t>vs.</w:t>
                                  </w:r>
                                  <w:r w:rsidRPr="006F0EDD">
                                    <w:rPr>
                                      <w:rFonts w:ascii="Arial" w:hAnsi="Arial" w:cs="Arial"/>
                                    </w:rPr>
                                    <w:t xml:space="preserve"> </w:t>
                                  </w:r>
                                  <w:r>
                                    <w:rPr>
                                      <w:rFonts w:ascii="Arial" w:hAnsi="Arial" w:cs="Arial"/>
                                    </w:rPr>
                                    <w:t>Shape</w:t>
                                  </w:r>
                                </w:p>
                              </w:tc>
                              <w:tc>
                                <w:tcPr>
                                  <w:tcW w:w="2283" w:type="dxa"/>
                                  <w:gridSpan w:val="2"/>
                                  <w:tcBorders>
                                    <w:top w:val="single" w:sz="18" w:space="0" w:color="000000"/>
                                    <w:left w:val="nil"/>
                                    <w:bottom w:val="single" w:sz="8" w:space="0" w:color="000000"/>
                                    <w:right w:val="nil"/>
                                  </w:tcBorders>
                                </w:tcPr>
                                <w:p w14:paraId="2AF17238" w14:textId="77777777" w:rsidR="00C93BE0" w:rsidRPr="006F0EDD" w:rsidRDefault="00C93BE0" w:rsidP="004E41A6">
                                  <w:pPr>
                                    <w:rPr>
                                      <w:rFonts w:ascii="Arial" w:hAnsi="Arial" w:cs="Arial"/>
                                    </w:rPr>
                                  </w:pPr>
                                  <w:r w:rsidRPr="006F0EDD">
                                    <w:rPr>
                                      <w:rFonts w:ascii="Arial" w:hAnsi="Arial" w:cs="Arial"/>
                                    </w:rPr>
                                    <w:t xml:space="preserve">Contrast </w:t>
                                  </w:r>
                                  <w:r>
                                    <w:rPr>
                                      <w:rFonts w:ascii="Arial" w:hAnsi="Arial" w:cs="Arial"/>
                                    </w:rPr>
                                    <w:t>vs.</w:t>
                                  </w:r>
                                  <w:r w:rsidRPr="006F0EDD">
                                    <w:rPr>
                                      <w:rFonts w:ascii="Arial" w:hAnsi="Arial" w:cs="Arial"/>
                                    </w:rPr>
                                    <w:t xml:space="preserve"> Shape</w:t>
                                  </w:r>
                                </w:p>
                              </w:tc>
                            </w:tr>
                            <w:tr w:rsidR="00C93BE0" w14:paraId="0DC0F301"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bottom w:val="single" w:sz="8" w:space="0" w:color="000000"/>
                                  </w:tcBorders>
                                </w:tcPr>
                                <w:p w14:paraId="1D911DB5" w14:textId="77777777" w:rsidR="00C93BE0" w:rsidRPr="006F0EDD" w:rsidRDefault="00C93BE0" w:rsidP="004E41A6">
                                  <w:pPr>
                                    <w:jc w:val="center"/>
                                    <w:rPr>
                                      <w:rFonts w:ascii="Arial" w:hAnsi="Arial" w:cs="Arial"/>
                                    </w:rPr>
                                  </w:pPr>
                                  <w:r>
                                    <w:rPr>
                                      <w:rFonts w:ascii="Arial" w:hAnsi="Arial" w:cs="Arial"/>
                                    </w:rPr>
                                    <w:t>ROI</w:t>
                                  </w:r>
                                </w:p>
                              </w:tc>
                              <w:tc>
                                <w:tcPr>
                                  <w:tcW w:w="1285" w:type="dxa"/>
                                  <w:tcBorders>
                                    <w:top w:val="single" w:sz="8" w:space="0" w:color="000000"/>
                                    <w:bottom w:val="single" w:sz="8" w:space="0" w:color="auto"/>
                                  </w:tcBorders>
                                </w:tcPr>
                                <w:p w14:paraId="632D77E0" w14:textId="77777777" w:rsidR="00C93BE0" w:rsidRPr="006F0EDD" w:rsidRDefault="00C93BE0" w:rsidP="004E41A6">
                                  <w:pPr>
                                    <w:jc w:val="center"/>
                                    <w:rPr>
                                      <w:rFonts w:ascii="Arial" w:hAnsi="Arial" w:cs="Arial"/>
                                    </w:rPr>
                                  </w:pPr>
                                  <w:r>
                                    <w:rPr>
                                      <w:rFonts w:ascii="Arial" w:hAnsi="Arial" w:cs="Arial"/>
                                    </w:rPr>
                                    <w:t>Z</w:t>
                                  </w:r>
                                </w:p>
                              </w:tc>
                              <w:tc>
                                <w:tcPr>
                                  <w:tcW w:w="1569" w:type="dxa"/>
                                  <w:tcBorders>
                                    <w:top w:val="single" w:sz="8" w:space="0" w:color="000000"/>
                                    <w:bottom w:val="single" w:sz="8" w:space="0" w:color="auto"/>
                                  </w:tcBorders>
                                </w:tcPr>
                                <w:p w14:paraId="625CC562" w14:textId="77777777" w:rsidR="00C93BE0" w:rsidRPr="006F0EDD" w:rsidRDefault="00C93BE0" w:rsidP="004E41A6">
                                  <w:pPr>
                                    <w:jc w:val="center"/>
                                    <w:rPr>
                                      <w:rFonts w:ascii="Arial" w:hAnsi="Arial" w:cs="Arial"/>
                                      <w:i/>
                                      <w:iCs/>
                                    </w:rPr>
                                  </w:pPr>
                                  <w:r>
                                    <w:rPr>
                                      <w:rFonts w:ascii="Arial" w:hAnsi="Arial" w:cs="Arial"/>
                                      <w:i/>
                                      <w:iCs/>
                                    </w:rPr>
                                    <w:t>p</w:t>
                                  </w:r>
                                </w:p>
                              </w:tc>
                              <w:tc>
                                <w:tcPr>
                                  <w:tcW w:w="1076" w:type="dxa"/>
                                  <w:tcBorders>
                                    <w:top w:val="single" w:sz="8" w:space="0" w:color="000000"/>
                                    <w:bottom w:val="single" w:sz="8" w:space="0" w:color="auto"/>
                                  </w:tcBorders>
                                </w:tcPr>
                                <w:p w14:paraId="1C0D27DB" w14:textId="77777777" w:rsidR="00C93BE0" w:rsidRPr="006F0EDD" w:rsidRDefault="00C93BE0" w:rsidP="004E41A6">
                                  <w:pPr>
                                    <w:jc w:val="center"/>
                                    <w:rPr>
                                      <w:rFonts w:ascii="Arial" w:hAnsi="Arial" w:cs="Arial"/>
                                    </w:rPr>
                                  </w:pPr>
                                  <w:r>
                                    <w:rPr>
                                      <w:rFonts w:ascii="Arial" w:hAnsi="Arial" w:cs="Arial"/>
                                    </w:rPr>
                                    <w:t>Z</w:t>
                                  </w:r>
                                </w:p>
                              </w:tc>
                              <w:tc>
                                <w:tcPr>
                                  <w:tcW w:w="1475" w:type="dxa"/>
                                  <w:tcBorders>
                                    <w:top w:val="single" w:sz="8" w:space="0" w:color="000000"/>
                                    <w:bottom w:val="single" w:sz="8" w:space="0" w:color="auto"/>
                                  </w:tcBorders>
                                </w:tcPr>
                                <w:p w14:paraId="3FBEBB93" w14:textId="77777777" w:rsidR="00C93BE0" w:rsidRPr="006F0EDD" w:rsidRDefault="00C93BE0" w:rsidP="004E41A6">
                                  <w:pPr>
                                    <w:jc w:val="center"/>
                                    <w:rPr>
                                      <w:rFonts w:ascii="Arial" w:hAnsi="Arial" w:cs="Arial"/>
                                      <w:i/>
                                      <w:iCs/>
                                    </w:rPr>
                                  </w:pPr>
                                  <w:r>
                                    <w:rPr>
                                      <w:rFonts w:ascii="Arial" w:hAnsi="Arial" w:cs="Arial"/>
                                      <w:i/>
                                      <w:iCs/>
                                    </w:rPr>
                                    <w:t>p</w:t>
                                  </w:r>
                                </w:p>
                              </w:tc>
                              <w:tc>
                                <w:tcPr>
                                  <w:tcW w:w="1079" w:type="dxa"/>
                                  <w:tcBorders>
                                    <w:top w:val="single" w:sz="8" w:space="0" w:color="000000"/>
                                    <w:bottom w:val="single" w:sz="8" w:space="0" w:color="auto"/>
                                  </w:tcBorders>
                                </w:tcPr>
                                <w:p w14:paraId="132EC707" w14:textId="77777777" w:rsidR="00C93BE0" w:rsidRPr="006F0EDD" w:rsidRDefault="00C93BE0" w:rsidP="004E41A6">
                                  <w:pPr>
                                    <w:jc w:val="center"/>
                                    <w:rPr>
                                      <w:rFonts w:ascii="Arial" w:hAnsi="Arial" w:cs="Arial"/>
                                    </w:rPr>
                                  </w:pPr>
                                  <w:r>
                                    <w:rPr>
                                      <w:rFonts w:ascii="Arial" w:hAnsi="Arial" w:cs="Arial"/>
                                    </w:rPr>
                                    <w:t>Z</w:t>
                                  </w:r>
                                </w:p>
                              </w:tc>
                              <w:tc>
                                <w:tcPr>
                                  <w:tcW w:w="1204" w:type="dxa"/>
                                  <w:tcBorders>
                                    <w:top w:val="single" w:sz="8" w:space="0" w:color="000000"/>
                                    <w:bottom w:val="single" w:sz="8" w:space="0" w:color="auto"/>
                                  </w:tcBorders>
                                </w:tcPr>
                                <w:p w14:paraId="04961C1B" w14:textId="77777777" w:rsidR="00C93BE0" w:rsidRPr="006F0EDD" w:rsidRDefault="00C93BE0" w:rsidP="004E41A6">
                                  <w:pPr>
                                    <w:jc w:val="center"/>
                                    <w:rPr>
                                      <w:rFonts w:ascii="Arial" w:hAnsi="Arial" w:cs="Arial"/>
                                      <w:i/>
                                      <w:iCs/>
                                    </w:rPr>
                                  </w:pPr>
                                  <w:r>
                                    <w:rPr>
                                      <w:rFonts w:ascii="Arial" w:hAnsi="Arial" w:cs="Arial"/>
                                      <w:i/>
                                      <w:iCs/>
                                    </w:rPr>
                                    <w:t>p</w:t>
                                  </w:r>
                                </w:p>
                              </w:tc>
                            </w:tr>
                            <w:tr w:rsidR="00C93BE0" w14:paraId="523E6AEA"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tcBorders>
                                </w:tcPr>
                                <w:p w14:paraId="3E3733DF" w14:textId="77777777" w:rsidR="00C93BE0" w:rsidRPr="006F0EDD" w:rsidRDefault="00C93BE0" w:rsidP="004E41A6">
                                  <w:pPr>
                                    <w:jc w:val="center"/>
                                    <w:rPr>
                                      <w:rFonts w:ascii="Arial" w:hAnsi="Arial" w:cs="Arial"/>
                                    </w:rPr>
                                  </w:pPr>
                                  <w:r w:rsidRPr="006F0EDD">
                                    <w:rPr>
                                      <w:rFonts w:ascii="Arial" w:hAnsi="Arial" w:cs="Arial"/>
                                    </w:rPr>
                                    <w:t>V1</w:t>
                                  </w:r>
                                </w:p>
                              </w:tc>
                              <w:tc>
                                <w:tcPr>
                                  <w:tcW w:w="1285" w:type="dxa"/>
                                  <w:tcBorders>
                                    <w:top w:val="single" w:sz="8" w:space="0" w:color="auto"/>
                                  </w:tcBorders>
                                </w:tcPr>
                                <w:p w14:paraId="66CDC8ED" w14:textId="77777777" w:rsidR="00C93BE0" w:rsidRPr="006F0EDD" w:rsidRDefault="00C93BE0" w:rsidP="004E41A6">
                                  <w:pPr>
                                    <w:jc w:val="center"/>
                                    <w:rPr>
                                      <w:rFonts w:ascii="Arial" w:hAnsi="Arial" w:cs="Arial"/>
                                    </w:rPr>
                                  </w:pPr>
                                  <w:r>
                                    <w:rPr>
                                      <w:rFonts w:ascii="Arial" w:hAnsi="Arial" w:cs="Arial"/>
                                    </w:rPr>
                                    <w:t>2.45</w:t>
                                  </w:r>
                                </w:p>
                              </w:tc>
                              <w:tc>
                                <w:tcPr>
                                  <w:tcW w:w="1569" w:type="dxa"/>
                                  <w:tcBorders>
                                    <w:top w:val="single" w:sz="8" w:space="0" w:color="auto"/>
                                  </w:tcBorders>
                                </w:tcPr>
                                <w:p w14:paraId="7FA220E8" w14:textId="77777777" w:rsidR="00C93BE0" w:rsidRPr="006F0EDD" w:rsidRDefault="00C93BE0" w:rsidP="004E41A6">
                                  <w:pPr>
                                    <w:jc w:val="center"/>
                                    <w:rPr>
                                      <w:rFonts w:ascii="Arial" w:hAnsi="Arial" w:cs="Arial"/>
                                    </w:rPr>
                                  </w:pPr>
                                  <w:r>
                                    <w:rPr>
                                      <w:rFonts w:ascii="Arial" w:hAnsi="Arial" w:cs="Arial"/>
                                    </w:rPr>
                                    <w:t>.051</w:t>
                                  </w:r>
                                </w:p>
                              </w:tc>
                              <w:tc>
                                <w:tcPr>
                                  <w:tcW w:w="1076" w:type="dxa"/>
                                  <w:tcBorders>
                                    <w:top w:val="single" w:sz="8" w:space="0" w:color="auto"/>
                                  </w:tcBorders>
                                </w:tcPr>
                                <w:p w14:paraId="09D56B4E" w14:textId="77777777" w:rsidR="00C93BE0" w:rsidRPr="006F0EDD" w:rsidRDefault="00C93BE0" w:rsidP="004E41A6">
                                  <w:pPr>
                                    <w:jc w:val="center"/>
                                    <w:rPr>
                                      <w:rFonts w:ascii="Arial" w:hAnsi="Arial" w:cs="Arial"/>
                                    </w:rPr>
                                  </w:pPr>
                                  <w:r>
                                    <w:rPr>
                                      <w:rFonts w:ascii="Arial" w:hAnsi="Arial" w:cs="Arial"/>
                                    </w:rPr>
                                    <w:t>3.06</w:t>
                                  </w:r>
                                </w:p>
                              </w:tc>
                              <w:tc>
                                <w:tcPr>
                                  <w:tcW w:w="1475" w:type="dxa"/>
                                  <w:tcBorders>
                                    <w:top w:val="single" w:sz="8" w:space="0" w:color="auto"/>
                                  </w:tcBorders>
                                </w:tcPr>
                                <w:p w14:paraId="5B824F19" w14:textId="77777777" w:rsidR="00C93BE0" w:rsidRPr="006F0EDD" w:rsidRDefault="00C93BE0" w:rsidP="004E41A6">
                                  <w:pPr>
                                    <w:jc w:val="center"/>
                                    <w:rPr>
                                      <w:rFonts w:ascii="Arial" w:hAnsi="Arial" w:cs="Arial"/>
                                    </w:rPr>
                                  </w:pPr>
                                  <w:r>
                                    <w:rPr>
                                      <w:rFonts w:ascii="Arial" w:hAnsi="Arial" w:cs="Arial"/>
                                    </w:rPr>
                                    <w:t>.028*</w:t>
                                  </w:r>
                                </w:p>
                              </w:tc>
                              <w:tc>
                                <w:tcPr>
                                  <w:tcW w:w="1079" w:type="dxa"/>
                                  <w:tcBorders>
                                    <w:top w:val="single" w:sz="8" w:space="0" w:color="auto"/>
                                  </w:tcBorders>
                                </w:tcPr>
                                <w:p w14:paraId="31216207" w14:textId="77777777" w:rsidR="00C93BE0" w:rsidRPr="006F0EDD" w:rsidRDefault="00C93BE0" w:rsidP="004E41A6">
                                  <w:pPr>
                                    <w:jc w:val="center"/>
                                    <w:rPr>
                                      <w:rFonts w:ascii="Arial" w:hAnsi="Arial" w:cs="Arial"/>
                                    </w:rPr>
                                  </w:pPr>
                                  <w:r>
                                    <w:rPr>
                                      <w:rFonts w:ascii="Arial" w:hAnsi="Arial" w:cs="Arial"/>
                                    </w:rPr>
                                    <w:t>2.94</w:t>
                                  </w:r>
                                </w:p>
                              </w:tc>
                              <w:tc>
                                <w:tcPr>
                                  <w:tcW w:w="1204" w:type="dxa"/>
                                  <w:tcBorders>
                                    <w:top w:val="single" w:sz="8" w:space="0" w:color="auto"/>
                                  </w:tcBorders>
                                </w:tcPr>
                                <w:p w14:paraId="68BA6841" w14:textId="77777777" w:rsidR="00C93BE0" w:rsidRPr="006F0EDD" w:rsidRDefault="00C93BE0" w:rsidP="004E41A6">
                                  <w:pPr>
                                    <w:jc w:val="center"/>
                                    <w:rPr>
                                      <w:rFonts w:ascii="Arial" w:hAnsi="Arial" w:cs="Arial"/>
                                    </w:rPr>
                                  </w:pPr>
                                  <w:r>
                                    <w:rPr>
                                      <w:rFonts w:ascii="Arial" w:hAnsi="Arial" w:cs="Arial"/>
                                    </w:rPr>
                                    <w:t>.028*</w:t>
                                  </w:r>
                                </w:p>
                              </w:tc>
                            </w:tr>
                            <w:tr w:rsidR="00C93BE0" w14:paraId="12A80386"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3F988307" w14:textId="59AEE732" w:rsidR="00C93BE0" w:rsidRPr="006F0EDD" w:rsidRDefault="00C93BE0" w:rsidP="004E41A6">
                                  <w:pPr>
                                    <w:jc w:val="center"/>
                                    <w:rPr>
                                      <w:rFonts w:ascii="Arial" w:hAnsi="Arial" w:cs="Arial"/>
                                    </w:rPr>
                                  </w:pPr>
                                  <w:r w:rsidRPr="006F0EDD">
                                    <w:rPr>
                                      <w:rFonts w:ascii="Arial" w:hAnsi="Arial" w:cs="Arial"/>
                                    </w:rPr>
                                    <w:t>V3A</w:t>
                                  </w:r>
                                  <w:r>
                                    <w:rPr>
                                      <w:rFonts w:ascii="Arial" w:hAnsi="Arial" w:cs="Arial"/>
                                    </w:rPr>
                                    <w:t>/</w:t>
                                  </w:r>
                                  <w:r w:rsidRPr="006F0EDD">
                                    <w:rPr>
                                      <w:rFonts w:ascii="Arial" w:hAnsi="Arial" w:cs="Arial"/>
                                    </w:rPr>
                                    <w:t>B</w:t>
                                  </w:r>
                                </w:p>
                              </w:tc>
                              <w:tc>
                                <w:tcPr>
                                  <w:tcW w:w="1285" w:type="dxa"/>
                                </w:tcPr>
                                <w:p w14:paraId="58E76C39" w14:textId="77777777" w:rsidR="00C93BE0" w:rsidRPr="006F0EDD" w:rsidRDefault="00C93BE0" w:rsidP="004E41A6">
                                  <w:pPr>
                                    <w:jc w:val="center"/>
                                    <w:rPr>
                                      <w:rFonts w:ascii="Arial" w:hAnsi="Arial" w:cs="Arial"/>
                                    </w:rPr>
                                  </w:pPr>
                                  <w:r>
                                    <w:rPr>
                                      <w:rFonts w:ascii="Arial" w:hAnsi="Arial" w:cs="Arial"/>
                                    </w:rPr>
                                    <w:t>2.63</w:t>
                                  </w:r>
                                </w:p>
                              </w:tc>
                              <w:tc>
                                <w:tcPr>
                                  <w:tcW w:w="1569" w:type="dxa"/>
                                </w:tcPr>
                                <w:p w14:paraId="412FA7E4" w14:textId="77777777" w:rsidR="00C93BE0" w:rsidRPr="006F0EDD" w:rsidRDefault="00C93BE0" w:rsidP="004E41A6">
                                  <w:pPr>
                                    <w:jc w:val="center"/>
                                    <w:rPr>
                                      <w:rFonts w:ascii="Arial" w:hAnsi="Arial" w:cs="Arial"/>
                                    </w:rPr>
                                  </w:pPr>
                                  <w:r>
                                    <w:rPr>
                                      <w:rFonts w:ascii="Arial" w:hAnsi="Arial" w:cs="Arial"/>
                                    </w:rPr>
                                    <w:t>.042*</w:t>
                                  </w:r>
                                </w:p>
                              </w:tc>
                              <w:tc>
                                <w:tcPr>
                                  <w:tcW w:w="1076" w:type="dxa"/>
                                </w:tcPr>
                                <w:p w14:paraId="5C489FDB" w14:textId="77777777" w:rsidR="00C93BE0" w:rsidRPr="006F0EDD" w:rsidRDefault="00C93BE0" w:rsidP="004E41A6">
                                  <w:pPr>
                                    <w:jc w:val="center"/>
                                    <w:rPr>
                                      <w:rFonts w:ascii="Arial" w:hAnsi="Arial" w:cs="Arial"/>
                                    </w:rPr>
                                  </w:pPr>
                                  <w:r>
                                    <w:rPr>
                                      <w:rFonts w:ascii="Arial" w:hAnsi="Arial" w:cs="Arial"/>
                                    </w:rPr>
                                    <w:t>2.94</w:t>
                                  </w:r>
                                </w:p>
                              </w:tc>
                              <w:tc>
                                <w:tcPr>
                                  <w:tcW w:w="1475" w:type="dxa"/>
                                </w:tcPr>
                                <w:p w14:paraId="69298014" w14:textId="77777777" w:rsidR="00C93BE0" w:rsidRPr="006F0EDD" w:rsidRDefault="00C93BE0" w:rsidP="004E41A6">
                                  <w:pPr>
                                    <w:jc w:val="center"/>
                                    <w:rPr>
                                      <w:rFonts w:ascii="Arial" w:hAnsi="Arial" w:cs="Arial"/>
                                    </w:rPr>
                                  </w:pPr>
                                  <w:r>
                                    <w:rPr>
                                      <w:rFonts w:ascii="Arial" w:hAnsi="Arial" w:cs="Arial"/>
                                    </w:rPr>
                                    <w:t>.028*</w:t>
                                  </w:r>
                                </w:p>
                              </w:tc>
                              <w:tc>
                                <w:tcPr>
                                  <w:tcW w:w="1079" w:type="dxa"/>
                                </w:tcPr>
                                <w:p w14:paraId="78237234" w14:textId="77777777" w:rsidR="00C93BE0" w:rsidRPr="006F0EDD" w:rsidRDefault="00C93BE0" w:rsidP="004E41A6">
                                  <w:pPr>
                                    <w:jc w:val="center"/>
                                    <w:rPr>
                                      <w:rFonts w:ascii="Arial" w:hAnsi="Arial" w:cs="Arial"/>
                                    </w:rPr>
                                  </w:pPr>
                                  <w:r>
                                    <w:rPr>
                                      <w:rFonts w:ascii="Arial" w:hAnsi="Arial" w:cs="Arial"/>
                                    </w:rPr>
                                    <w:t>2.51</w:t>
                                  </w:r>
                                </w:p>
                              </w:tc>
                              <w:tc>
                                <w:tcPr>
                                  <w:tcW w:w="1204" w:type="dxa"/>
                                </w:tcPr>
                                <w:p w14:paraId="02E12729" w14:textId="77777777" w:rsidR="00C93BE0" w:rsidRPr="006F0EDD" w:rsidRDefault="00C93BE0" w:rsidP="004E41A6">
                                  <w:pPr>
                                    <w:jc w:val="center"/>
                                    <w:rPr>
                                      <w:rFonts w:ascii="Arial" w:hAnsi="Arial" w:cs="Arial"/>
                                    </w:rPr>
                                  </w:pPr>
                                  <w:r>
                                    <w:rPr>
                                      <w:rFonts w:ascii="Arial" w:hAnsi="Arial" w:cs="Arial"/>
                                    </w:rPr>
                                    <w:t>.050</w:t>
                                  </w:r>
                                </w:p>
                              </w:tc>
                            </w:tr>
                            <w:tr w:rsidR="00C93BE0" w14:paraId="643605ED"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529BE4ED" w14:textId="77777777" w:rsidR="00C93BE0" w:rsidRPr="006F0EDD" w:rsidRDefault="00C93BE0" w:rsidP="004E41A6">
                                  <w:pPr>
                                    <w:jc w:val="center"/>
                                    <w:rPr>
                                      <w:rFonts w:ascii="Arial" w:hAnsi="Arial" w:cs="Arial"/>
                                    </w:rPr>
                                  </w:pPr>
                                  <w:r w:rsidRPr="006F0EDD">
                                    <w:rPr>
                                      <w:rFonts w:ascii="Arial" w:hAnsi="Arial" w:cs="Arial"/>
                                    </w:rPr>
                                    <w:t>hV4</w:t>
                                  </w:r>
                                </w:p>
                              </w:tc>
                              <w:tc>
                                <w:tcPr>
                                  <w:tcW w:w="1285" w:type="dxa"/>
                                </w:tcPr>
                                <w:p w14:paraId="41AA4040" w14:textId="77777777" w:rsidR="00C93BE0" w:rsidRPr="006F0EDD" w:rsidRDefault="00C93BE0" w:rsidP="004E41A6">
                                  <w:pPr>
                                    <w:jc w:val="center"/>
                                    <w:rPr>
                                      <w:rFonts w:ascii="Arial" w:hAnsi="Arial" w:cs="Arial"/>
                                    </w:rPr>
                                  </w:pPr>
                                  <w:r>
                                    <w:rPr>
                                      <w:rFonts w:ascii="Arial" w:hAnsi="Arial" w:cs="Arial"/>
                                    </w:rPr>
                                    <w:t>2.39</w:t>
                                  </w:r>
                                </w:p>
                              </w:tc>
                              <w:tc>
                                <w:tcPr>
                                  <w:tcW w:w="1569" w:type="dxa"/>
                                </w:tcPr>
                                <w:p w14:paraId="3B6F9D29" w14:textId="77777777" w:rsidR="00C93BE0" w:rsidRPr="006F0EDD" w:rsidRDefault="00C93BE0" w:rsidP="004E41A6">
                                  <w:pPr>
                                    <w:jc w:val="center"/>
                                    <w:rPr>
                                      <w:rFonts w:ascii="Arial" w:hAnsi="Arial" w:cs="Arial"/>
                                    </w:rPr>
                                  </w:pPr>
                                  <w:r>
                                    <w:rPr>
                                      <w:rFonts w:ascii="Arial" w:hAnsi="Arial" w:cs="Arial"/>
                                    </w:rPr>
                                    <w:t>.055</w:t>
                                  </w:r>
                                </w:p>
                              </w:tc>
                              <w:tc>
                                <w:tcPr>
                                  <w:tcW w:w="1076" w:type="dxa"/>
                                </w:tcPr>
                                <w:p w14:paraId="43ECF36E" w14:textId="77777777" w:rsidR="00C93BE0" w:rsidRPr="006F0EDD" w:rsidRDefault="00C93BE0" w:rsidP="004E41A6">
                                  <w:pPr>
                                    <w:jc w:val="center"/>
                                    <w:rPr>
                                      <w:rFonts w:ascii="Arial" w:hAnsi="Arial" w:cs="Arial"/>
                                    </w:rPr>
                                  </w:pPr>
                                  <w:r>
                                    <w:rPr>
                                      <w:rFonts w:ascii="Arial" w:hAnsi="Arial" w:cs="Arial"/>
                                    </w:rPr>
                                    <w:t>2.75</w:t>
                                  </w:r>
                                </w:p>
                              </w:tc>
                              <w:tc>
                                <w:tcPr>
                                  <w:tcW w:w="1475" w:type="dxa"/>
                                </w:tcPr>
                                <w:p w14:paraId="74438C03" w14:textId="77777777" w:rsidR="00C93BE0" w:rsidRPr="006F0EDD" w:rsidRDefault="00C93BE0" w:rsidP="004E41A6">
                                  <w:pPr>
                                    <w:jc w:val="center"/>
                                    <w:rPr>
                                      <w:rFonts w:ascii="Arial" w:hAnsi="Arial" w:cs="Arial"/>
                                    </w:rPr>
                                  </w:pPr>
                                  <w:r>
                                    <w:rPr>
                                      <w:rFonts w:ascii="Arial" w:hAnsi="Arial" w:cs="Arial"/>
                                    </w:rPr>
                                    <w:t>.037*</w:t>
                                  </w:r>
                                </w:p>
                              </w:tc>
                              <w:tc>
                                <w:tcPr>
                                  <w:tcW w:w="1079" w:type="dxa"/>
                                </w:tcPr>
                                <w:p w14:paraId="5E5F531D" w14:textId="77777777" w:rsidR="00C93BE0" w:rsidRPr="006F0EDD" w:rsidRDefault="00C93BE0" w:rsidP="004E41A6">
                                  <w:pPr>
                                    <w:jc w:val="center"/>
                                    <w:rPr>
                                      <w:rFonts w:ascii="Arial" w:hAnsi="Arial" w:cs="Arial"/>
                                    </w:rPr>
                                  </w:pPr>
                                  <w:r>
                                    <w:rPr>
                                      <w:rFonts w:ascii="Arial" w:hAnsi="Arial" w:cs="Arial"/>
                                    </w:rPr>
                                    <w:t>2.99</w:t>
                                  </w:r>
                                </w:p>
                              </w:tc>
                              <w:tc>
                                <w:tcPr>
                                  <w:tcW w:w="1204" w:type="dxa"/>
                                </w:tcPr>
                                <w:p w14:paraId="0A045B7A" w14:textId="77777777" w:rsidR="00C93BE0" w:rsidRPr="006F0EDD" w:rsidRDefault="00C93BE0" w:rsidP="004E41A6">
                                  <w:pPr>
                                    <w:jc w:val="center"/>
                                    <w:rPr>
                                      <w:rFonts w:ascii="Arial" w:hAnsi="Arial" w:cs="Arial"/>
                                    </w:rPr>
                                  </w:pPr>
                                  <w:r>
                                    <w:rPr>
                                      <w:rFonts w:ascii="Arial" w:hAnsi="Arial" w:cs="Arial"/>
                                    </w:rPr>
                                    <w:t>.028*</w:t>
                                  </w:r>
                                </w:p>
                              </w:tc>
                            </w:tr>
                            <w:tr w:rsidR="00C93BE0" w14:paraId="591A2D3B"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078E2E31" w14:textId="77777777" w:rsidR="00C93BE0" w:rsidRPr="006F0EDD" w:rsidRDefault="00C93BE0" w:rsidP="004E41A6">
                                  <w:pPr>
                                    <w:jc w:val="center"/>
                                    <w:rPr>
                                      <w:rFonts w:ascii="Arial" w:hAnsi="Arial" w:cs="Arial"/>
                                    </w:rPr>
                                  </w:pPr>
                                  <w:r w:rsidRPr="006F0EDD">
                                    <w:rPr>
                                      <w:rFonts w:ascii="Arial" w:hAnsi="Arial" w:cs="Arial"/>
                                    </w:rPr>
                                    <w:t>LO-1</w:t>
                                  </w:r>
                                </w:p>
                              </w:tc>
                              <w:tc>
                                <w:tcPr>
                                  <w:tcW w:w="1285" w:type="dxa"/>
                                </w:tcPr>
                                <w:p w14:paraId="748EC026" w14:textId="77777777" w:rsidR="00C93BE0" w:rsidRPr="006F0EDD" w:rsidRDefault="00C93BE0" w:rsidP="004E41A6">
                                  <w:pPr>
                                    <w:jc w:val="center"/>
                                    <w:rPr>
                                      <w:rFonts w:ascii="Arial" w:hAnsi="Arial" w:cs="Arial"/>
                                    </w:rPr>
                                  </w:pPr>
                                  <w:r>
                                    <w:rPr>
                                      <w:rFonts w:ascii="Arial" w:hAnsi="Arial" w:cs="Arial"/>
                                    </w:rPr>
                                    <w:t>2.98</w:t>
                                  </w:r>
                                </w:p>
                              </w:tc>
                              <w:tc>
                                <w:tcPr>
                                  <w:tcW w:w="1569" w:type="dxa"/>
                                </w:tcPr>
                                <w:p w14:paraId="236E7468" w14:textId="77777777" w:rsidR="00C93BE0" w:rsidRPr="006F0EDD" w:rsidRDefault="00C93BE0" w:rsidP="004E41A6">
                                  <w:pPr>
                                    <w:jc w:val="center"/>
                                    <w:rPr>
                                      <w:rFonts w:ascii="Arial" w:hAnsi="Arial" w:cs="Arial"/>
                                    </w:rPr>
                                  </w:pPr>
                                  <w:r>
                                    <w:rPr>
                                      <w:rFonts w:ascii="Arial" w:hAnsi="Arial" w:cs="Arial"/>
                                    </w:rPr>
                                    <w:t>.028*</w:t>
                                  </w:r>
                                </w:p>
                              </w:tc>
                              <w:tc>
                                <w:tcPr>
                                  <w:tcW w:w="1076" w:type="dxa"/>
                                </w:tcPr>
                                <w:p w14:paraId="5F748455" w14:textId="77777777" w:rsidR="00C93BE0" w:rsidRPr="006F0EDD" w:rsidRDefault="00C93BE0" w:rsidP="004E41A6">
                                  <w:pPr>
                                    <w:jc w:val="center"/>
                                    <w:rPr>
                                      <w:rFonts w:ascii="Arial" w:hAnsi="Arial" w:cs="Arial"/>
                                    </w:rPr>
                                  </w:pPr>
                                  <w:r>
                                    <w:rPr>
                                      <w:rFonts w:ascii="Arial" w:hAnsi="Arial" w:cs="Arial"/>
                                    </w:rPr>
                                    <w:t>2.83</w:t>
                                  </w:r>
                                </w:p>
                              </w:tc>
                              <w:tc>
                                <w:tcPr>
                                  <w:tcW w:w="1475" w:type="dxa"/>
                                </w:tcPr>
                                <w:p w14:paraId="1405A6D2" w14:textId="77777777" w:rsidR="00C93BE0" w:rsidRPr="006F0EDD" w:rsidRDefault="00C93BE0" w:rsidP="004E41A6">
                                  <w:pPr>
                                    <w:jc w:val="center"/>
                                    <w:rPr>
                                      <w:rFonts w:ascii="Arial" w:hAnsi="Arial" w:cs="Arial"/>
                                    </w:rPr>
                                  </w:pPr>
                                  <w:r>
                                    <w:rPr>
                                      <w:rFonts w:ascii="Arial" w:hAnsi="Arial" w:cs="Arial"/>
                                    </w:rPr>
                                    <w:t>.034*</w:t>
                                  </w:r>
                                </w:p>
                              </w:tc>
                              <w:tc>
                                <w:tcPr>
                                  <w:tcW w:w="1079" w:type="dxa"/>
                                </w:tcPr>
                                <w:p w14:paraId="37DD7605" w14:textId="77777777" w:rsidR="00C93BE0" w:rsidRPr="006F0EDD" w:rsidRDefault="00C93BE0" w:rsidP="004E41A6">
                                  <w:pPr>
                                    <w:jc w:val="center"/>
                                    <w:rPr>
                                      <w:rFonts w:ascii="Arial" w:hAnsi="Arial" w:cs="Arial"/>
                                    </w:rPr>
                                  </w:pPr>
                                  <w:r>
                                    <w:rPr>
                                      <w:rFonts w:ascii="Arial" w:hAnsi="Arial" w:cs="Arial"/>
                                    </w:rPr>
                                    <w:t>2.67</w:t>
                                  </w:r>
                                </w:p>
                              </w:tc>
                              <w:tc>
                                <w:tcPr>
                                  <w:tcW w:w="1204" w:type="dxa"/>
                                </w:tcPr>
                                <w:p w14:paraId="46056C57" w14:textId="77777777" w:rsidR="00C93BE0" w:rsidRPr="006F0EDD" w:rsidRDefault="00C93BE0" w:rsidP="004E41A6">
                                  <w:pPr>
                                    <w:jc w:val="center"/>
                                    <w:rPr>
                                      <w:rFonts w:ascii="Arial" w:hAnsi="Arial" w:cs="Arial"/>
                                    </w:rPr>
                                  </w:pPr>
                                  <w:r>
                                    <w:rPr>
                                      <w:rFonts w:ascii="Arial" w:hAnsi="Arial" w:cs="Arial"/>
                                    </w:rPr>
                                    <w:t>.042*</w:t>
                                  </w:r>
                                </w:p>
                              </w:tc>
                            </w:tr>
                            <w:tr w:rsidR="00C93BE0" w14:paraId="1DF4B9B4"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bottom w:val="single" w:sz="8" w:space="0" w:color="000000"/>
                                  </w:tcBorders>
                                </w:tcPr>
                                <w:p w14:paraId="5C46124A" w14:textId="77777777" w:rsidR="00C93BE0" w:rsidRPr="006F0EDD" w:rsidRDefault="00C93BE0" w:rsidP="004E41A6">
                                  <w:pPr>
                                    <w:jc w:val="center"/>
                                    <w:rPr>
                                      <w:rFonts w:ascii="Arial" w:hAnsi="Arial" w:cs="Arial"/>
                                    </w:rPr>
                                  </w:pPr>
                                  <w:r w:rsidRPr="006F0EDD">
                                    <w:rPr>
                                      <w:rFonts w:ascii="Arial" w:hAnsi="Arial" w:cs="Arial"/>
                                    </w:rPr>
                                    <w:t>LO-2</w:t>
                                  </w:r>
                                </w:p>
                              </w:tc>
                              <w:tc>
                                <w:tcPr>
                                  <w:tcW w:w="1285" w:type="dxa"/>
                                  <w:tcBorders>
                                    <w:bottom w:val="single" w:sz="8" w:space="0" w:color="000000"/>
                                  </w:tcBorders>
                                </w:tcPr>
                                <w:p w14:paraId="07388344" w14:textId="77777777" w:rsidR="00C93BE0" w:rsidRPr="006F0EDD" w:rsidRDefault="00C93BE0" w:rsidP="004E41A6">
                                  <w:pPr>
                                    <w:jc w:val="center"/>
                                    <w:rPr>
                                      <w:rFonts w:ascii="Arial" w:hAnsi="Arial" w:cs="Arial"/>
                                    </w:rPr>
                                  </w:pPr>
                                  <w:r>
                                    <w:rPr>
                                      <w:rFonts w:ascii="Arial" w:hAnsi="Arial" w:cs="Arial"/>
                                    </w:rPr>
                                    <w:t>2.59</w:t>
                                  </w:r>
                                </w:p>
                              </w:tc>
                              <w:tc>
                                <w:tcPr>
                                  <w:tcW w:w="1569" w:type="dxa"/>
                                  <w:tcBorders>
                                    <w:bottom w:val="single" w:sz="8" w:space="0" w:color="000000"/>
                                  </w:tcBorders>
                                </w:tcPr>
                                <w:p w14:paraId="1E108E23" w14:textId="77777777" w:rsidR="00C93BE0" w:rsidRPr="006F0EDD" w:rsidRDefault="00C93BE0" w:rsidP="004E41A6">
                                  <w:pPr>
                                    <w:jc w:val="center"/>
                                    <w:rPr>
                                      <w:rFonts w:ascii="Arial" w:hAnsi="Arial" w:cs="Arial"/>
                                    </w:rPr>
                                  </w:pPr>
                                  <w:r>
                                    <w:rPr>
                                      <w:rFonts w:ascii="Arial" w:hAnsi="Arial" w:cs="Arial"/>
                                    </w:rPr>
                                    <w:t>.043*</w:t>
                                  </w:r>
                                </w:p>
                              </w:tc>
                              <w:tc>
                                <w:tcPr>
                                  <w:tcW w:w="1076" w:type="dxa"/>
                                  <w:tcBorders>
                                    <w:bottom w:val="single" w:sz="8" w:space="0" w:color="000000"/>
                                  </w:tcBorders>
                                </w:tcPr>
                                <w:p w14:paraId="7C29A4A9" w14:textId="77777777" w:rsidR="00C93BE0" w:rsidRPr="006F0EDD" w:rsidRDefault="00C93BE0" w:rsidP="004E41A6">
                                  <w:pPr>
                                    <w:jc w:val="center"/>
                                    <w:rPr>
                                      <w:rFonts w:ascii="Arial" w:hAnsi="Arial" w:cs="Arial"/>
                                    </w:rPr>
                                  </w:pPr>
                                  <w:r>
                                    <w:rPr>
                                      <w:rFonts w:ascii="Arial" w:hAnsi="Arial" w:cs="Arial"/>
                                    </w:rPr>
                                    <w:t>2.93</w:t>
                                  </w:r>
                                </w:p>
                              </w:tc>
                              <w:tc>
                                <w:tcPr>
                                  <w:tcW w:w="1475" w:type="dxa"/>
                                  <w:tcBorders>
                                    <w:bottom w:val="single" w:sz="8" w:space="0" w:color="000000"/>
                                  </w:tcBorders>
                                </w:tcPr>
                                <w:p w14:paraId="649EE054" w14:textId="77777777" w:rsidR="00C93BE0" w:rsidRPr="006F0EDD" w:rsidRDefault="00C93BE0" w:rsidP="004E41A6">
                                  <w:pPr>
                                    <w:jc w:val="center"/>
                                    <w:rPr>
                                      <w:rFonts w:ascii="Arial" w:hAnsi="Arial" w:cs="Arial"/>
                                    </w:rPr>
                                  </w:pPr>
                                  <w:r>
                                    <w:rPr>
                                      <w:rFonts w:ascii="Arial" w:hAnsi="Arial" w:cs="Arial"/>
                                    </w:rPr>
                                    <w:t>.028*</w:t>
                                  </w:r>
                                </w:p>
                              </w:tc>
                              <w:tc>
                                <w:tcPr>
                                  <w:tcW w:w="1079" w:type="dxa"/>
                                  <w:tcBorders>
                                    <w:bottom w:val="single" w:sz="8" w:space="0" w:color="000000"/>
                                  </w:tcBorders>
                                </w:tcPr>
                                <w:p w14:paraId="3E10D6F3" w14:textId="77777777" w:rsidR="00C93BE0" w:rsidRPr="006F0EDD" w:rsidRDefault="00C93BE0" w:rsidP="004E41A6">
                                  <w:pPr>
                                    <w:jc w:val="center"/>
                                    <w:rPr>
                                      <w:rFonts w:ascii="Arial" w:hAnsi="Arial" w:cs="Arial"/>
                                    </w:rPr>
                                  </w:pPr>
                                  <w:r>
                                    <w:rPr>
                                      <w:rFonts w:ascii="Arial" w:hAnsi="Arial" w:cs="Arial"/>
                                    </w:rPr>
                                    <w:t>2.48</w:t>
                                  </w:r>
                                </w:p>
                              </w:tc>
                              <w:tc>
                                <w:tcPr>
                                  <w:tcW w:w="1204" w:type="dxa"/>
                                  <w:tcBorders>
                                    <w:bottom w:val="single" w:sz="8" w:space="0" w:color="000000"/>
                                  </w:tcBorders>
                                </w:tcPr>
                                <w:p w14:paraId="2712F95A" w14:textId="77777777" w:rsidR="00C93BE0" w:rsidRPr="006F0EDD" w:rsidRDefault="00C93BE0" w:rsidP="004E41A6">
                                  <w:pPr>
                                    <w:jc w:val="center"/>
                                    <w:rPr>
                                      <w:rFonts w:ascii="Arial" w:hAnsi="Arial" w:cs="Arial"/>
                                    </w:rPr>
                                  </w:pPr>
                                  <w:r>
                                    <w:rPr>
                                      <w:rFonts w:ascii="Arial" w:hAnsi="Arial" w:cs="Arial"/>
                                    </w:rPr>
                                    <w:t>.051</w:t>
                                  </w:r>
                                </w:p>
                              </w:tc>
                            </w:tr>
                          </w:tbl>
                          <w:p w14:paraId="5084F738" w14:textId="77777777" w:rsidR="00C93BE0" w:rsidRPr="006F0EDD" w:rsidRDefault="00C93BE0" w:rsidP="00B22E1F">
                            <w:pPr>
                              <w:rPr>
                                <w:rFonts w:ascii="Arial" w:hAnsi="Arial" w:cs="Arial"/>
                                <w:i/>
                                <w:iCs/>
                              </w:rPr>
                            </w:pPr>
                            <w:r w:rsidRPr="006F0EDD">
                              <w:rPr>
                                <w:rFonts w:ascii="Arial" w:hAnsi="Arial" w:cs="Arial"/>
                                <w:i/>
                                <w:iCs/>
                              </w:rPr>
                              <w:t>*</w:t>
                            </w:r>
                            <w:r>
                              <w:rPr>
                                <w:rFonts w:ascii="Arial" w:hAnsi="Arial" w:cs="Arial"/>
                                <w:i/>
                                <w:iCs/>
                              </w:rPr>
                              <w:t xml:space="preserve"> p &lt;.05, ** p&lt;.01, *** p&lt;.001</w:t>
                            </w:r>
                          </w:p>
                          <w:p w14:paraId="180D0E77" w14:textId="77777777" w:rsidR="00C93BE0" w:rsidRDefault="00C93BE0" w:rsidP="00B22E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0CB1B" id="Text Box 2" o:spid="_x0000_s1049" type="#_x0000_t202" style="position:absolute;margin-left:-5.15pt;margin-top:260.8pt;width:457.75pt;height:183.1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" filled="f" stroked="f" strokeweight=".5pt">
                <v:textbox>
                  <w:txbxContent>
                    <w:p w14:paraId="4BDBD430" w14:textId="77777777" w:rsidR="00C93BE0" w:rsidRPr="00A92335" w:rsidRDefault="00C93BE0" w:rsidP="00B22E1F">
                      <w:pPr>
                        <w:pStyle w:val="Caption"/>
                        <w:keepNext/>
                        <w:rPr>
                          <w:rFonts w:ascii="Arial" w:hAnsi="Arial" w:cs="Arial"/>
                          <w:i w:val="0"/>
                          <w:iCs w:val="0"/>
                          <w:color w:val="000000" w:themeColor="text1"/>
                          <w:sz w:val="24"/>
                          <w:szCs w:val="24"/>
                        </w:rPr>
                      </w:pPr>
                      <w:r w:rsidRPr="00A92335">
                        <w:rPr>
                          <w:rFonts w:ascii="Arial" w:hAnsi="Arial" w:cs="Arial"/>
                          <w:b/>
                          <w:bCs/>
                          <w:i w:val="0"/>
                          <w:iCs w:val="0"/>
                          <w:color w:val="000000" w:themeColor="text1"/>
                          <w:sz w:val="24"/>
                          <w:szCs w:val="24"/>
                        </w:rPr>
                        <w:t>Table 4.</w:t>
                      </w:r>
                      <w:r>
                        <w:rPr>
                          <w:rFonts w:ascii="Arial" w:hAnsi="Arial" w:cs="Arial"/>
                          <w:b/>
                          <w:bCs/>
                          <w:i w:val="0"/>
                          <w:iCs w:val="0"/>
                          <w:color w:val="000000" w:themeColor="text1"/>
                          <w:sz w:val="24"/>
                          <w:szCs w:val="24"/>
                        </w:rPr>
                        <w:t xml:space="preserve">1 </w:t>
                      </w:r>
                      <w:r>
                        <w:rPr>
                          <w:rFonts w:ascii="Arial" w:hAnsi="Arial" w:cs="Arial"/>
                          <w:i w:val="0"/>
                          <w:iCs w:val="0"/>
                          <w:color w:val="000000" w:themeColor="text1"/>
                          <w:sz w:val="24"/>
                          <w:szCs w:val="24"/>
                        </w:rPr>
                        <w:t xml:space="preserve">Attention directed toward orientation, contrast and shape can be decoded through two-way classification in visual ROIs.  </w:t>
                      </w:r>
                    </w:p>
                    <w:tbl>
                      <w:tblPr>
                        <w:tblStyle w:val="TableGrid"/>
                        <w:tblW w:w="0" w:type="auto"/>
                        <w:tblLook w:val="04A0" w:firstRow="1" w:lastRow="0" w:firstColumn="1" w:lastColumn="0" w:noHBand="0" w:noVBand="1"/>
                      </w:tblPr>
                      <w:tblGrid>
                        <w:gridCol w:w="974"/>
                        <w:gridCol w:w="1285"/>
                        <w:gridCol w:w="1569"/>
                        <w:gridCol w:w="1076"/>
                        <w:gridCol w:w="1475"/>
                        <w:gridCol w:w="1079"/>
                        <w:gridCol w:w="1204"/>
                      </w:tblGrid>
                      <w:tr w:rsidR="00C93BE0" w14:paraId="0BB799BA" w14:textId="77777777" w:rsidTr="004E41A6">
                        <w:tc>
                          <w:tcPr>
                            <w:tcW w:w="974" w:type="dxa"/>
                            <w:tcBorders>
                              <w:top w:val="single" w:sz="18" w:space="0" w:color="000000"/>
                              <w:left w:val="nil"/>
                              <w:bottom w:val="single" w:sz="8" w:space="0" w:color="000000"/>
                              <w:right w:val="nil"/>
                            </w:tcBorders>
                          </w:tcPr>
                          <w:p w14:paraId="4B68101A" w14:textId="77777777" w:rsidR="00C93BE0" w:rsidRPr="006F0EDD" w:rsidRDefault="00C93BE0" w:rsidP="004E41A6">
                            <w:pPr>
                              <w:rPr>
                                <w:rFonts w:ascii="Arial" w:hAnsi="Arial" w:cs="Arial"/>
                              </w:rPr>
                            </w:pPr>
                          </w:p>
                        </w:tc>
                        <w:tc>
                          <w:tcPr>
                            <w:tcW w:w="2854" w:type="dxa"/>
                            <w:gridSpan w:val="2"/>
                            <w:tcBorders>
                              <w:top w:val="single" w:sz="18" w:space="0" w:color="000000"/>
                              <w:left w:val="nil"/>
                              <w:bottom w:val="single" w:sz="8" w:space="0" w:color="000000"/>
                              <w:right w:val="nil"/>
                            </w:tcBorders>
                          </w:tcPr>
                          <w:p w14:paraId="723E870A" w14:textId="77777777" w:rsidR="00C93BE0" w:rsidRPr="006F0EDD" w:rsidRDefault="00C93BE0" w:rsidP="004E41A6">
                            <w:pPr>
                              <w:rPr>
                                <w:rFonts w:ascii="Arial" w:hAnsi="Arial" w:cs="Arial"/>
                              </w:rPr>
                            </w:pPr>
                            <w:r w:rsidRPr="006F0EDD">
                              <w:rPr>
                                <w:rFonts w:ascii="Arial" w:hAnsi="Arial" w:cs="Arial"/>
                              </w:rPr>
                              <w:t xml:space="preserve">Orientation </w:t>
                            </w:r>
                            <w:r>
                              <w:rPr>
                                <w:rFonts w:ascii="Arial" w:hAnsi="Arial" w:cs="Arial"/>
                              </w:rPr>
                              <w:t>vs.</w:t>
                            </w:r>
                            <w:r w:rsidRPr="006F0EDD">
                              <w:rPr>
                                <w:rFonts w:ascii="Arial" w:hAnsi="Arial" w:cs="Arial"/>
                              </w:rPr>
                              <w:t xml:space="preserve"> </w:t>
                            </w:r>
                            <w:r>
                              <w:rPr>
                                <w:rFonts w:ascii="Arial" w:hAnsi="Arial" w:cs="Arial"/>
                              </w:rPr>
                              <w:t>Contrast</w:t>
                            </w:r>
                          </w:p>
                        </w:tc>
                        <w:tc>
                          <w:tcPr>
                            <w:tcW w:w="2551" w:type="dxa"/>
                            <w:gridSpan w:val="2"/>
                            <w:tcBorders>
                              <w:top w:val="single" w:sz="18" w:space="0" w:color="000000"/>
                              <w:left w:val="nil"/>
                              <w:bottom w:val="single" w:sz="8" w:space="0" w:color="000000"/>
                              <w:right w:val="nil"/>
                            </w:tcBorders>
                          </w:tcPr>
                          <w:p w14:paraId="63CF836A" w14:textId="77777777" w:rsidR="00C93BE0" w:rsidRPr="006F0EDD" w:rsidRDefault="00C93BE0" w:rsidP="004E41A6">
                            <w:pPr>
                              <w:rPr>
                                <w:rFonts w:ascii="Arial" w:hAnsi="Arial" w:cs="Arial"/>
                              </w:rPr>
                            </w:pPr>
                            <w:r w:rsidRPr="006F0EDD">
                              <w:rPr>
                                <w:rFonts w:ascii="Arial" w:hAnsi="Arial" w:cs="Arial"/>
                              </w:rPr>
                              <w:t xml:space="preserve">Orientation </w:t>
                            </w:r>
                            <w:r>
                              <w:rPr>
                                <w:rFonts w:ascii="Arial" w:hAnsi="Arial" w:cs="Arial"/>
                              </w:rPr>
                              <w:t>vs.</w:t>
                            </w:r>
                            <w:r w:rsidRPr="006F0EDD">
                              <w:rPr>
                                <w:rFonts w:ascii="Arial" w:hAnsi="Arial" w:cs="Arial"/>
                              </w:rPr>
                              <w:t xml:space="preserve"> </w:t>
                            </w:r>
                            <w:r>
                              <w:rPr>
                                <w:rFonts w:ascii="Arial" w:hAnsi="Arial" w:cs="Arial"/>
                              </w:rPr>
                              <w:t>Shape</w:t>
                            </w:r>
                          </w:p>
                        </w:tc>
                        <w:tc>
                          <w:tcPr>
                            <w:tcW w:w="2283" w:type="dxa"/>
                            <w:gridSpan w:val="2"/>
                            <w:tcBorders>
                              <w:top w:val="single" w:sz="18" w:space="0" w:color="000000"/>
                              <w:left w:val="nil"/>
                              <w:bottom w:val="single" w:sz="8" w:space="0" w:color="000000"/>
                              <w:right w:val="nil"/>
                            </w:tcBorders>
                          </w:tcPr>
                          <w:p w14:paraId="2AF17238" w14:textId="77777777" w:rsidR="00C93BE0" w:rsidRPr="006F0EDD" w:rsidRDefault="00C93BE0" w:rsidP="004E41A6">
                            <w:pPr>
                              <w:rPr>
                                <w:rFonts w:ascii="Arial" w:hAnsi="Arial" w:cs="Arial"/>
                              </w:rPr>
                            </w:pPr>
                            <w:r w:rsidRPr="006F0EDD">
                              <w:rPr>
                                <w:rFonts w:ascii="Arial" w:hAnsi="Arial" w:cs="Arial"/>
                              </w:rPr>
                              <w:t xml:space="preserve">Contrast </w:t>
                            </w:r>
                            <w:r>
                              <w:rPr>
                                <w:rFonts w:ascii="Arial" w:hAnsi="Arial" w:cs="Arial"/>
                              </w:rPr>
                              <w:t>vs.</w:t>
                            </w:r>
                            <w:r w:rsidRPr="006F0EDD">
                              <w:rPr>
                                <w:rFonts w:ascii="Arial" w:hAnsi="Arial" w:cs="Arial"/>
                              </w:rPr>
                              <w:t xml:space="preserve"> Shape</w:t>
                            </w:r>
                          </w:p>
                        </w:tc>
                      </w:tr>
                      <w:tr w:rsidR="00C93BE0" w14:paraId="0DC0F301"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bottom w:val="single" w:sz="8" w:space="0" w:color="000000"/>
                            </w:tcBorders>
                          </w:tcPr>
                          <w:p w14:paraId="1D911DB5" w14:textId="77777777" w:rsidR="00C93BE0" w:rsidRPr="006F0EDD" w:rsidRDefault="00C93BE0" w:rsidP="004E41A6">
                            <w:pPr>
                              <w:jc w:val="center"/>
                              <w:rPr>
                                <w:rFonts w:ascii="Arial" w:hAnsi="Arial" w:cs="Arial"/>
                              </w:rPr>
                            </w:pPr>
                            <w:r>
                              <w:rPr>
                                <w:rFonts w:ascii="Arial" w:hAnsi="Arial" w:cs="Arial"/>
                              </w:rPr>
                              <w:t>ROI</w:t>
                            </w:r>
                          </w:p>
                        </w:tc>
                        <w:tc>
                          <w:tcPr>
                            <w:tcW w:w="1285" w:type="dxa"/>
                            <w:tcBorders>
                              <w:top w:val="single" w:sz="8" w:space="0" w:color="000000"/>
                              <w:bottom w:val="single" w:sz="8" w:space="0" w:color="auto"/>
                            </w:tcBorders>
                          </w:tcPr>
                          <w:p w14:paraId="632D77E0" w14:textId="77777777" w:rsidR="00C93BE0" w:rsidRPr="006F0EDD" w:rsidRDefault="00C93BE0" w:rsidP="004E41A6">
                            <w:pPr>
                              <w:jc w:val="center"/>
                              <w:rPr>
                                <w:rFonts w:ascii="Arial" w:hAnsi="Arial" w:cs="Arial"/>
                              </w:rPr>
                            </w:pPr>
                            <w:r>
                              <w:rPr>
                                <w:rFonts w:ascii="Arial" w:hAnsi="Arial" w:cs="Arial"/>
                              </w:rPr>
                              <w:t>Z</w:t>
                            </w:r>
                          </w:p>
                        </w:tc>
                        <w:tc>
                          <w:tcPr>
                            <w:tcW w:w="1569" w:type="dxa"/>
                            <w:tcBorders>
                              <w:top w:val="single" w:sz="8" w:space="0" w:color="000000"/>
                              <w:bottom w:val="single" w:sz="8" w:space="0" w:color="auto"/>
                            </w:tcBorders>
                          </w:tcPr>
                          <w:p w14:paraId="625CC562" w14:textId="77777777" w:rsidR="00C93BE0" w:rsidRPr="006F0EDD" w:rsidRDefault="00C93BE0" w:rsidP="004E41A6">
                            <w:pPr>
                              <w:jc w:val="center"/>
                              <w:rPr>
                                <w:rFonts w:ascii="Arial" w:hAnsi="Arial" w:cs="Arial"/>
                                <w:i/>
                                <w:iCs/>
                              </w:rPr>
                            </w:pPr>
                            <w:r>
                              <w:rPr>
                                <w:rFonts w:ascii="Arial" w:hAnsi="Arial" w:cs="Arial"/>
                                <w:i/>
                                <w:iCs/>
                              </w:rPr>
                              <w:t>p</w:t>
                            </w:r>
                          </w:p>
                        </w:tc>
                        <w:tc>
                          <w:tcPr>
                            <w:tcW w:w="1076" w:type="dxa"/>
                            <w:tcBorders>
                              <w:top w:val="single" w:sz="8" w:space="0" w:color="000000"/>
                              <w:bottom w:val="single" w:sz="8" w:space="0" w:color="auto"/>
                            </w:tcBorders>
                          </w:tcPr>
                          <w:p w14:paraId="1C0D27DB" w14:textId="77777777" w:rsidR="00C93BE0" w:rsidRPr="006F0EDD" w:rsidRDefault="00C93BE0" w:rsidP="004E41A6">
                            <w:pPr>
                              <w:jc w:val="center"/>
                              <w:rPr>
                                <w:rFonts w:ascii="Arial" w:hAnsi="Arial" w:cs="Arial"/>
                              </w:rPr>
                            </w:pPr>
                            <w:r>
                              <w:rPr>
                                <w:rFonts w:ascii="Arial" w:hAnsi="Arial" w:cs="Arial"/>
                              </w:rPr>
                              <w:t>Z</w:t>
                            </w:r>
                          </w:p>
                        </w:tc>
                        <w:tc>
                          <w:tcPr>
                            <w:tcW w:w="1475" w:type="dxa"/>
                            <w:tcBorders>
                              <w:top w:val="single" w:sz="8" w:space="0" w:color="000000"/>
                              <w:bottom w:val="single" w:sz="8" w:space="0" w:color="auto"/>
                            </w:tcBorders>
                          </w:tcPr>
                          <w:p w14:paraId="3FBEBB93" w14:textId="77777777" w:rsidR="00C93BE0" w:rsidRPr="006F0EDD" w:rsidRDefault="00C93BE0" w:rsidP="004E41A6">
                            <w:pPr>
                              <w:jc w:val="center"/>
                              <w:rPr>
                                <w:rFonts w:ascii="Arial" w:hAnsi="Arial" w:cs="Arial"/>
                                <w:i/>
                                <w:iCs/>
                              </w:rPr>
                            </w:pPr>
                            <w:r>
                              <w:rPr>
                                <w:rFonts w:ascii="Arial" w:hAnsi="Arial" w:cs="Arial"/>
                                <w:i/>
                                <w:iCs/>
                              </w:rPr>
                              <w:t>p</w:t>
                            </w:r>
                          </w:p>
                        </w:tc>
                        <w:tc>
                          <w:tcPr>
                            <w:tcW w:w="1079" w:type="dxa"/>
                            <w:tcBorders>
                              <w:top w:val="single" w:sz="8" w:space="0" w:color="000000"/>
                              <w:bottom w:val="single" w:sz="8" w:space="0" w:color="auto"/>
                            </w:tcBorders>
                          </w:tcPr>
                          <w:p w14:paraId="132EC707" w14:textId="77777777" w:rsidR="00C93BE0" w:rsidRPr="006F0EDD" w:rsidRDefault="00C93BE0" w:rsidP="004E41A6">
                            <w:pPr>
                              <w:jc w:val="center"/>
                              <w:rPr>
                                <w:rFonts w:ascii="Arial" w:hAnsi="Arial" w:cs="Arial"/>
                              </w:rPr>
                            </w:pPr>
                            <w:r>
                              <w:rPr>
                                <w:rFonts w:ascii="Arial" w:hAnsi="Arial" w:cs="Arial"/>
                              </w:rPr>
                              <w:t>Z</w:t>
                            </w:r>
                          </w:p>
                        </w:tc>
                        <w:tc>
                          <w:tcPr>
                            <w:tcW w:w="1204" w:type="dxa"/>
                            <w:tcBorders>
                              <w:top w:val="single" w:sz="8" w:space="0" w:color="000000"/>
                              <w:bottom w:val="single" w:sz="8" w:space="0" w:color="auto"/>
                            </w:tcBorders>
                          </w:tcPr>
                          <w:p w14:paraId="04961C1B" w14:textId="77777777" w:rsidR="00C93BE0" w:rsidRPr="006F0EDD" w:rsidRDefault="00C93BE0" w:rsidP="004E41A6">
                            <w:pPr>
                              <w:jc w:val="center"/>
                              <w:rPr>
                                <w:rFonts w:ascii="Arial" w:hAnsi="Arial" w:cs="Arial"/>
                                <w:i/>
                                <w:iCs/>
                              </w:rPr>
                            </w:pPr>
                            <w:r>
                              <w:rPr>
                                <w:rFonts w:ascii="Arial" w:hAnsi="Arial" w:cs="Arial"/>
                                <w:i/>
                                <w:iCs/>
                              </w:rPr>
                              <w:t>p</w:t>
                            </w:r>
                          </w:p>
                        </w:tc>
                      </w:tr>
                      <w:tr w:rsidR="00C93BE0" w14:paraId="523E6AEA"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tcBorders>
                          </w:tcPr>
                          <w:p w14:paraId="3E3733DF" w14:textId="77777777" w:rsidR="00C93BE0" w:rsidRPr="006F0EDD" w:rsidRDefault="00C93BE0" w:rsidP="004E41A6">
                            <w:pPr>
                              <w:jc w:val="center"/>
                              <w:rPr>
                                <w:rFonts w:ascii="Arial" w:hAnsi="Arial" w:cs="Arial"/>
                              </w:rPr>
                            </w:pPr>
                            <w:r w:rsidRPr="006F0EDD">
                              <w:rPr>
                                <w:rFonts w:ascii="Arial" w:hAnsi="Arial" w:cs="Arial"/>
                              </w:rPr>
                              <w:t>V1</w:t>
                            </w:r>
                          </w:p>
                        </w:tc>
                        <w:tc>
                          <w:tcPr>
                            <w:tcW w:w="1285" w:type="dxa"/>
                            <w:tcBorders>
                              <w:top w:val="single" w:sz="8" w:space="0" w:color="auto"/>
                            </w:tcBorders>
                          </w:tcPr>
                          <w:p w14:paraId="66CDC8ED" w14:textId="77777777" w:rsidR="00C93BE0" w:rsidRPr="006F0EDD" w:rsidRDefault="00C93BE0" w:rsidP="004E41A6">
                            <w:pPr>
                              <w:jc w:val="center"/>
                              <w:rPr>
                                <w:rFonts w:ascii="Arial" w:hAnsi="Arial" w:cs="Arial"/>
                              </w:rPr>
                            </w:pPr>
                            <w:r>
                              <w:rPr>
                                <w:rFonts w:ascii="Arial" w:hAnsi="Arial" w:cs="Arial"/>
                              </w:rPr>
                              <w:t>2.45</w:t>
                            </w:r>
                          </w:p>
                        </w:tc>
                        <w:tc>
                          <w:tcPr>
                            <w:tcW w:w="1569" w:type="dxa"/>
                            <w:tcBorders>
                              <w:top w:val="single" w:sz="8" w:space="0" w:color="auto"/>
                            </w:tcBorders>
                          </w:tcPr>
                          <w:p w14:paraId="7FA220E8" w14:textId="77777777" w:rsidR="00C93BE0" w:rsidRPr="006F0EDD" w:rsidRDefault="00C93BE0" w:rsidP="004E41A6">
                            <w:pPr>
                              <w:jc w:val="center"/>
                              <w:rPr>
                                <w:rFonts w:ascii="Arial" w:hAnsi="Arial" w:cs="Arial"/>
                              </w:rPr>
                            </w:pPr>
                            <w:r>
                              <w:rPr>
                                <w:rFonts w:ascii="Arial" w:hAnsi="Arial" w:cs="Arial"/>
                              </w:rPr>
                              <w:t>.051</w:t>
                            </w:r>
                          </w:p>
                        </w:tc>
                        <w:tc>
                          <w:tcPr>
                            <w:tcW w:w="1076" w:type="dxa"/>
                            <w:tcBorders>
                              <w:top w:val="single" w:sz="8" w:space="0" w:color="auto"/>
                            </w:tcBorders>
                          </w:tcPr>
                          <w:p w14:paraId="09D56B4E" w14:textId="77777777" w:rsidR="00C93BE0" w:rsidRPr="006F0EDD" w:rsidRDefault="00C93BE0" w:rsidP="004E41A6">
                            <w:pPr>
                              <w:jc w:val="center"/>
                              <w:rPr>
                                <w:rFonts w:ascii="Arial" w:hAnsi="Arial" w:cs="Arial"/>
                              </w:rPr>
                            </w:pPr>
                            <w:r>
                              <w:rPr>
                                <w:rFonts w:ascii="Arial" w:hAnsi="Arial" w:cs="Arial"/>
                              </w:rPr>
                              <w:t>3.06</w:t>
                            </w:r>
                          </w:p>
                        </w:tc>
                        <w:tc>
                          <w:tcPr>
                            <w:tcW w:w="1475" w:type="dxa"/>
                            <w:tcBorders>
                              <w:top w:val="single" w:sz="8" w:space="0" w:color="auto"/>
                            </w:tcBorders>
                          </w:tcPr>
                          <w:p w14:paraId="5B824F19" w14:textId="77777777" w:rsidR="00C93BE0" w:rsidRPr="006F0EDD" w:rsidRDefault="00C93BE0" w:rsidP="004E41A6">
                            <w:pPr>
                              <w:jc w:val="center"/>
                              <w:rPr>
                                <w:rFonts w:ascii="Arial" w:hAnsi="Arial" w:cs="Arial"/>
                              </w:rPr>
                            </w:pPr>
                            <w:r>
                              <w:rPr>
                                <w:rFonts w:ascii="Arial" w:hAnsi="Arial" w:cs="Arial"/>
                              </w:rPr>
                              <w:t>.028*</w:t>
                            </w:r>
                          </w:p>
                        </w:tc>
                        <w:tc>
                          <w:tcPr>
                            <w:tcW w:w="1079" w:type="dxa"/>
                            <w:tcBorders>
                              <w:top w:val="single" w:sz="8" w:space="0" w:color="auto"/>
                            </w:tcBorders>
                          </w:tcPr>
                          <w:p w14:paraId="31216207" w14:textId="77777777" w:rsidR="00C93BE0" w:rsidRPr="006F0EDD" w:rsidRDefault="00C93BE0" w:rsidP="004E41A6">
                            <w:pPr>
                              <w:jc w:val="center"/>
                              <w:rPr>
                                <w:rFonts w:ascii="Arial" w:hAnsi="Arial" w:cs="Arial"/>
                              </w:rPr>
                            </w:pPr>
                            <w:r>
                              <w:rPr>
                                <w:rFonts w:ascii="Arial" w:hAnsi="Arial" w:cs="Arial"/>
                              </w:rPr>
                              <w:t>2.94</w:t>
                            </w:r>
                          </w:p>
                        </w:tc>
                        <w:tc>
                          <w:tcPr>
                            <w:tcW w:w="1204" w:type="dxa"/>
                            <w:tcBorders>
                              <w:top w:val="single" w:sz="8" w:space="0" w:color="auto"/>
                            </w:tcBorders>
                          </w:tcPr>
                          <w:p w14:paraId="68BA6841" w14:textId="77777777" w:rsidR="00C93BE0" w:rsidRPr="006F0EDD" w:rsidRDefault="00C93BE0" w:rsidP="004E41A6">
                            <w:pPr>
                              <w:jc w:val="center"/>
                              <w:rPr>
                                <w:rFonts w:ascii="Arial" w:hAnsi="Arial" w:cs="Arial"/>
                              </w:rPr>
                            </w:pPr>
                            <w:r>
                              <w:rPr>
                                <w:rFonts w:ascii="Arial" w:hAnsi="Arial" w:cs="Arial"/>
                              </w:rPr>
                              <w:t>.028*</w:t>
                            </w:r>
                          </w:p>
                        </w:tc>
                      </w:tr>
                      <w:tr w:rsidR="00C93BE0" w14:paraId="12A80386"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3F988307" w14:textId="59AEE732" w:rsidR="00C93BE0" w:rsidRPr="006F0EDD" w:rsidRDefault="00C93BE0" w:rsidP="004E41A6">
                            <w:pPr>
                              <w:jc w:val="center"/>
                              <w:rPr>
                                <w:rFonts w:ascii="Arial" w:hAnsi="Arial" w:cs="Arial"/>
                              </w:rPr>
                            </w:pPr>
                            <w:r w:rsidRPr="006F0EDD">
                              <w:rPr>
                                <w:rFonts w:ascii="Arial" w:hAnsi="Arial" w:cs="Arial"/>
                              </w:rPr>
                              <w:t>V3A</w:t>
                            </w:r>
                            <w:r>
                              <w:rPr>
                                <w:rFonts w:ascii="Arial" w:hAnsi="Arial" w:cs="Arial"/>
                              </w:rPr>
                              <w:t>/</w:t>
                            </w:r>
                            <w:r w:rsidRPr="006F0EDD">
                              <w:rPr>
                                <w:rFonts w:ascii="Arial" w:hAnsi="Arial" w:cs="Arial"/>
                              </w:rPr>
                              <w:t>B</w:t>
                            </w:r>
                          </w:p>
                        </w:tc>
                        <w:tc>
                          <w:tcPr>
                            <w:tcW w:w="1285" w:type="dxa"/>
                          </w:tcPr>
                          <w:p w14:paraId="58E76C39" w14:textId="77777777" w:rsidR="00C93BE0" w:rsidRPr="006F0EDD" w:rsidRDefault="00C93BE0" w:rsidP="004E41A6">
                            <w:pPr>
                              <w:jc w:val="center"/>
                              <w:rPr>
                                <w:rFonts w:ascii="Arial" w:hAnsi="Arial" w:cs="Arial"/>
                              </w:rPr>
                            </w:pPr>
                            <w:r>
                              <w:rPr>
                                <w:rFonts w:ascii="Arial" w:hAnsi="Arial" w:cs="Arial"/>
                              </w:rPr>
                              <w:t>2.63</w:t>
                            </w:r>
                          </w:p>
                        </w:tc>
                        <w:tc>
                          <w:tcPr>
                            <w:tcW w:w="1569" w:type="dxa"/>
                          </w:tcPr>
                          <w:p w14:paraId="412FA7E4" w14:textId="77777777" w:rsidR="00C93BE0" w:rsidRPr="006F0EDD" w:rsidRDefault="00C93BE0" w:rsidP="004E41A6">
                            <w:pPr>
                              <w:jc w:val="center"/>
                              <w:rPr>
                                <w:rFonts w:ascii="Arial" w:hAnsi="Arial" w:cs="Arial"/>
                              </w:rPr>
                            </w:pPr>
                            <w:r>
                              <w:rPr>
                                <w:rFonts w:ascii="Arial" w:hAnsi="Arial" w:cs="Arial"/>
                              </w:rPr>
                              <w:t>.042*</w:t>
                            </w:r>
                          </w:p>
                        </w:tc>
                        <w:tc>
                          <w:tcPr>
                            <w:tcW w:w="1076" w:type="dxa"/>
                          </w:tcPr>
                          <w:p w14:paraId="5C489FDB" w14:textId="77777777" w:rsidR="00C93BE0" w:rsidRPr="006F0EDD" w:rsidRDefault="00C93BE0" w:rsidP="004E41A6">
                            <w:pPr>
                              <w:jc w:val="center"/>
                              <w:rPr>
                                <w:rFonts w:ascii="Arial" w:hAnsi="Arial" w:cs="Arial"/>
                              </w:rPr>
                            </w:pPr>
                            <w:r>
                              <w:rPr>
                                <w:rFonts w:ascii="Arial" w:hAnsi="Arial" w:cs="Arial"/>
                              </w:rPr>
                              <w:t>2.94</w:t>
                            </w:r>
                          </w:p>
                        </w:tc>
                        <w:tc>
                          <w:tcPr>
                            <w:tcW w:w="1475" w:type="dxa"/>
                          </w:tcPr>
                          <w:p w14:paraId="69298014" w14:textId="77777777" w:rsidR="00C93BE0" w:rsidRPr="006F0EDD" w:rsidRDefault="00C93BE0" w:rsidP="004E41A6">
                            <w:pPr>
                              <w:jc w:val="center"/>
                              <w:rPr>
                                <w:rFonts w:ascii="Arial" w:hAnsi="Arial" w:cs="Arial"/>
                              </w:rPr>
                            </w:pPr>
                            <w:r>
                              <w:rPr>
                                <w:rFonts w:ascii="Arial" w:hAnsi="Arial" w:cs="Arial"/>
                              </w:rPr>
                              <w:t>.028*</w:t>
                            </w:r>
                          </w:p>
                        </w:tc>
                        <w:tc>
                          <w:tcPr>
                            <w:tcW w:w="1079" w:type="dxa"/>
                          </w:tcPr>
                          <w:p w14:paraId="78237234" w14:textId="77777777" w:rsidR="00C93BE0" w:rsidRPr="006F0EDD" w:rsidRDefault="00C93BE0" w:rsidP="004E41A6">
                            <w:pPr>
                              <w:jc w:val="center"/>
                              <w:rPr>
                                <w:rFonts w:ascii="Arial" w:hAnsi="Arial" w:cs="Arial"/>
                              </w:rPr>
                            </w:pPr>
                            <w:r>
                              <w:rPr>
                                <w:rFonts w:ascii="Arial" w:hAnsi="Arial" w:cs="Arial"/>
                              </w:rPr>
                              <w:t>2.51</w:t>
                            </w:r>
                          </w:p>
                        </w:tc>
                        <w:tc>
                          <w:tcPr>
                            <w:tcW w:w="1204" w:type="dxa"/>
                          </w:tcPr>
                          <w:p w14:paraId="02E12729" w14:textId="77777777" w:rsidR="00C93BE0" w:rsidRPr="006F0EDD" w:rsidRDefault="00C93BE0" w:rsidP="004E41A6">
                            <w:pPr>
                              <w:jc w:val="center"/>
                              <w:rPr>
                                <w:rFonts w:ascii="Arial" w:hAnsi="Arial" w:cs="Arial"/>
                              </w:rPr>
                            </w:pPr>
                            <w:r>
                              <w:rPr>
                                <w:rFonts w:ascii="Arial" w:hAnsi="Arial" w:cs="Arial"/>
                              </w:rPr>
                              <w:t>.050</w:t>
                            </w:r>
                          </w:p>
                        </w:tc>
                      </w:tr>
                      <w:tr w:rsidR="00C93BE0" w14:paraId="643605ED"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529BE4ED" w14:textId="77777777" w:rsidR="00C93BE0" w:rsidRPr="006F0EDD" w:rsidRDefault="00C93BE0" w:rsidP="004E41A6">
                            <w:pPr>
                              <w:jc w:val="center"/>
                              <w:rPr>
                                <w:rFonts w:ascii="Arial" w:hAnsi="Arial" w:cs="Arial"/>
                              </w:rPr>
                            </w:pPr>
                            <w:r w:rsidRPr="006F0EDD">
                              <w:rPr>
                                <w:rFonts w:ascii="Arial" w:hAnsi="Arial" w:cs="Arial"/>
                              </w:rPr>
                              <w:t>hV4</w:t>
                            </w:r>
                          </w:p>
                        </w:tc>
                        <w:tc>
                          <w:tcPr>
                            <w:tcW w:w="1285" w:type="dxa"/>
                          </w:tcPr>
                          <w:p w14:paraId="41AA4040" w14:textId="77777777" w:rsidR="00C93BE0" w:rsidRPr="006F0EDD" w:rsidRDefault="00C93BE0" w:rsidP="004E41A6">
                            <w:pPr>
                              <w:jc w:val="center"/>
                              <w:rPr>
                                <w:rFonts w:ascii="Arial" w:hAnsi="Arial" w:cs="Arial"/>
                              </w:rPr>
                            </w:pPr>
                            <w:r>
                              <w:rPr>
                                <w:rFonts w:ascii="Arial" w:hAnsi="Arial" w:cs="Arial"/>
                              </w:rPr>
                              <w:t>2.39</w:t>
                            </w:r>
                          </w:p>
                        </w:tc>
                        <w:tc>
                          <w:tcPr>
                            <w:tcW w:w="1569" w:type="dxa"/>
                          </w:tcPr>
                          <w:p w14:paraId="3B6F9D29" w14:textId="77777777" w:rsidR="00C93BE0" w:rsidRPr="006F0EDD" w:rsidRDefault="00C93BE0" w:rsidP="004E41A6">
                            <w:pPr>
                              <w:jc w:val="center"/>
                              <w:rPr>
                                <w:rFonts w:ascii="Arial" w:hAnsi="Arial" w:cs="Arial"/>
                              </w:rPr>
                            </w:pPr>
                            <w:r>
                              <w:rPr>
                                <w:rFonts w:ascii="Arial" w:hAnsi="Arial" w:cs="Arial"/>
                              </w:rPr>
                              <w:t>.055</w:t>
                            </w:r>
                          </w:p>
                        </w:tc>
                        <w:tc>
                          <w:tcPr>
                            <w:tcW w:w="1076" w:type="dxa"/>
                          </w:tcPr>
                          <w:p w14:paraId="43ECF36E" w14:textId="77777777" w:rsidR="00C93BE0" w:rsidRPr="006F0EDD" w:rsidRDefault="00C93BE0" w:rsidP="004E41A6">
                            <w:pPr>
                              <w:jc w:val="center"/>
                              <w:rPr>
                                <w:rFonts w:ascii="Arial" w:hAnsi="Arial" w:cs="Arial"/>
                              </w:rPr>
                            </w:pPr>
                            <w:r>
                              <w:rPr>
                                <w:rFonts w:ascii="Arial" w:hAnsi="Arial" w:cs="Arial"/>
                              </w:rPr>
                              <w:t>2.75</w:t>
                            </w:r>
                          </w:p>
                        </w:tc>
                        <w:tc>
                          <w:tcPr>
                            <w:tcW w:w="1475" w:type="dxa"/>
                          </w:tcPr>
                          <w:p w14:paraId="74438C03" w14:textId="77777777" w:rsidR="00C93BE0" w:rsidRPr="006F0EDD" w:rsidRDefault="00C93BE0" w:rsidP="004E41A6">
                            <w:pPr>
                              <w:jc w:val="center"/>
                              <w:rPr>
                                <w:rFonts w:ascii="Arial" w:hAnsi="Arial" w:cs="Arial"/>
                              </w:rPr>
                            </w:pPr>
                            <w:r>
                              <w:rPr>
                                <w:rFonts w:ascii="Arial" w:hAnsi="Arial" w:cs="Arial"/>
                              </w:rPr>
                              <w:t>.037*</w:t>
                            </w:r>
                          </w:p>
                        </w:tc>
                        <w:tc>
                          <w:tcPr>
                            <w:tcW w:w="1079" w:type="dxa"/>
                          </w:tcPr>
                          <w:p w14:paraId="5E5F531D" w14:textId="77777777" w:rsidR="00C93BE0" w:rsidRPr="006F0EDD" w:rsidRDefault="00C93BE0" w:rsidP="004E41A6">
                            <w:pPr>
                              <w:jc w:val="center"/>
                              <w:rPr>
                                <w:rFonts w:ascii="Arial" w:hAnsi="Arial" w:cs="Arial"/>
                              </w:rPr>
                            </w:pPr>
                            <w:r>
                              <w:rPr>
                                <w:rFonts w:ascii="Arial" w:hAnsi="Arial" w:cs="Arial"/>
                              </w:rPr>
                              <w:t>2.99</w:t>
                            </w:r>
                          </w:p>
                        </w:tc>
                        <w:tc>
                          <w:tcPr>
                            <w:tcW w:w="1204" w:type="dxa"/>
                          </w:tcPr>
                          <w:p w14:paraId="0A045B7A" w14:textId="77777777" w:rsidR="00C93BE0" w:rsidRPr="006F0EDD" w:rsidRDefault="00C93BE0" w:rsidP="004E41A6">
                            <w:pPr>
                              <w:jc w:val="center"/>
                              <w:rPr>
                                <w:rFonts w:ascii="Arial" w:hAnsi="Arial" w:cs="Arial"/>
                              </w:rPr>
                            </w:pPr>
                            <w:r>
                              <w:rPr>
                                <w:rFonts w:ascii="Arial" w:hAnsi="Arial" w:cs="Arial"/>
                              </w:rPr>
                              <w:t>.028*</w:t>
                            </w:r>
                          </w:p>
                        </w:tc>
                      </w:tr>
                      <w:tr w:rsidR="00C93BE0" w14:paraId="591A2D3B"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078E2E31" w14:textId="77777777" w:rsidR="00C93BE0" w:rsidRPr="006F0EDD" w:rsidRDefault="00C93BE0" w:rsidP="004E41A6">
                            <w:pPr>
                              <w:jc w:val="center"/>
                              <w:rPr>
                                <w:rFonts w:ascii="Arial" w:hAnsi="Arial" w:cs="Arial"/>
                              </w:rPr>
                            </w:pPr>
                            <w:r w:rsidRPr="006F0EDD">
                              <w:rPr>
                                <w:rFonts w:ascii="Arial" w:hAnsi="Arial" w:cs="Arial"/>
                              </w:rPr>
                              <w:t>LO-1</w:t>
                            </w:r>
                          </w:p>
                        </w:tc>
                        <w:tc>
                          <w:tcPr>
                            <w:tcW w:w="1285" w:type="dxa"/>
                          </w:tcPr>
                          <w:p w14:paraId="748EC026" w14:textId="77777777" w:rsidR="00C93BE0" w:rsidRPr="006F0EDD" w:rsidRDefault="00C93BE0" w:rsidP="004E41A6">
                            <w:pPr>
                              <w:jc w:val="center"/>
                              <w:rPr>
                                <w:rFonts w:ascii="Arial" w:hAnsi="Arial" w:cs="Arial"/>
                              </w:rPr>
                            </w:pPr>
                            <w:r>
                              <w:rPr>
                                <w:rFonts w:ascii="Arial" w:hAnsi="Arial" w:cs="Arial"/>
                              </w:rPr>
                              <w:t>2.98</w:t>
                            </w:r>
                          </w:p>
                        </w:tc>
                        <w:tc>
                          <w:tcPr>
                            <w:tcW w:w="1569" w:type="dxa"/>
                          </w:tcPr>
                          <w:p w14:paraId="236E7468" w14:textId="77777777" w:rsidR="00C93BE0" w:rsidRPr="006F0EDD" w:rsidRDefault="00C93BE0" w:rsidP="004E41A6">
                            <w:pPr>
                              <w:jc w:val="center"/>
                              <w:rPr>
                                <w:rFonts w:ascii="Arial" w:hAnsi="Arial" w:cs="Arial"/>
                              </w:rPr>
                            </w:pPr>
                            <w:r>
                              <w:rPr>
                                <w:rFonts w:ascii="Arial" w:hAnsi="Arial" w:cs="Arial"/>
                              </w:rPr>
                              <w:t>.028*</w:t>
                            </w:r>
                          </w:p>
                        </w:tc>
                        <w:tc>
                          <w:tcPr>
                            <w:tcW w:w="1076" w:type="dxa"/>
                          </w:tcPr>
                          <w:p w14:paraId="5F748455" w14:textId="77777777" w:rsidR="00C93BE0" w:rsidRPr="006F0EDD" w:rsidRDefault="00C93BE0" w:rsidP="004E41A6">
                            <w:pPr>
                              <w:jc w:val="center"/>
                              <w:rPr>
                                <w:rFonts w:ascii="Arial" w:hAnsi="Arial" w:cs="Arial"/>
                              </w:rPr>
                            </w:pPr>
                            <w:r>
                              <w:rPr>
                                <w:rFonts w:ascii="Arial" w:hAnsi="Arial" w:cs="Arial"/>
                              </w:rPr>
                              <w:t>2.83</w:t>
                            </w:r>
                          </w:p>
                        </w:tc>
                        <w:tc>
                          <w:tcPr>
                            <w:tcW w:w="1475" w:type="dxa"/>
                          </w:tcPr>
                          <w:p w14:paraId="1405A6D2" w14:textId="77777777" w:rsidR="00C93BE0" w:rsidRPr="006F0EDD" w:rsidRDefault="00C93BE0" w:rsidP="004E41A6">
                            <w:pPr>
                              <w:jc w:val="center"/>
                              <w:rPr>
                                <w:rFonts w:ascii="Arial" w:hAnsi="Arial" w:cs="Arial"/>
                              </w:rPr>
                            </w:pPr>
                            <w:r>
                              <w:rPr>
                                <w:rFonts w:ascii="Arial" w:hAnsi="Arial" w:cs="Arial"/>
                              </w:rPr>
                              <w:t>.034*</w:t>
                            </w:r>
                          </w:p>
                        </w:tc>
                        <w:tc>
                          <w:tcPr>
                            <w:tcW w:w="1079" w:type="dxa"/>
                          </w:tcPr>
                          <w:p w14:paraId="37DD7605" w14:textId="77777777" w:rsidR="00C93BE0" w:rsidRPr="006F0EDD" w:rsidRDefault="00C93BE0" w:rsidP="004E41A6">
                            <w:pPr>
                              <w:jc w:val="center"/>
                              <w:rPr>
                                <w:rFonts w:ascii="Arial" w:hAnsi="Arial" w:cs="Arial"/>
                              </w:rPr>
                            </w:pPr>
                            <w:r>
                              <w:rPr>
                                <w:rFonts w:ascii="Arial" w:hAnsi="Arial" w:cs="Arial"/>
                              </w:rPr>
                              <w:t>2.67</w:t>
                            </w:r>
                          </w:p>
                        </w:tc>
                        <w:tc>
                          <w:tcPr>
                            <w:tcW w:w="1204" w:type="dxa"/>
                          </w:tcPr>
                          <w:p w14:paraId="46056C57" w14:textId="77777777" w:rsidR="00C93BE0" w:rsidRPr="006F0EDD" w:rsidRDefault="00C93BE0" w:rsidP="004E41A6">
                            <w:pPr>
                              <w:jc w:val="center"/>
                              <w:rPr>
                                <w:rFonts w:ascii="Arial" w:hAnsi="Arial" w:cs="Arial"/>
                              </w:rPr>
                            </w:pPr>
                            <w:r>
                              <w:rPr>
                                <w:rFonts w:ascii="Arial" w:hAnsi="Arial" w:cs="Arial"/>
                              </w:rPr>
                              <w:t>.042*</w:t>
                            </w:r>
                          </w:p>
                        </w:tc>
                      </w:tr>
                      <w:tr w:rsidR="00C93BE0" w14:paraId="1DF4B9B4"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bottom w:val="single" w:sz="8" w:space="0" w:color="000000"/>
                            </w:tcBorders>
                          </w:tcPr>
                          <w:p w14:paraId="5C46124A" w14:textId="77777777" w:rsidR="00C93BE0" w:rsidRPr="006F0EDD" w:rsidRDefault="00C93BE0" w:rsidP="004E41A6">
                            <w:pPr>
                              <w:jc w:val="center"/>
                              <w:rPr>
                                <w:rFonts w:ascii="Arial" w:hAnsi="Arial" w:cs="Arial"/>
                              </w:rPr>
                            </w:pPr>
                            <w:r w:rsidRPr="006F0EDD">
                              <w:rPr>
                                <w:rFonts w:ascii="Arial" w:hAnsi="Arial" w:cs="Arial"/>
                              </w:rPr>
                              <w:t>LO-2</w:t>
                            </w:r>
                          </w:p>
                        </w:tc>
                        <w:tc>
                          <w:tcPr>
                            <w:tcW w:w="1285" w:type="dxa"/>
                            <w:tcBorders>
                              <w:bottom w:val="single" w:sz="8" w:space="0" w:color="000000"/>
                            </w:tcBorders>
                          </w:tcPr>
                          <w:p w14:paraId="07388344" w14:textId="77777777" w:rsidR="00C93BE0" w:rsidRPr="006F0EDD" w:rsidRDefault="00C93BE0" w:rsidP="004E41A6">
                            <w:pPr>
                              <w:jc w:val="center"/>
                              <w:rPr>
                                <w:rFonts w:ascii="Arial" w:hAnsi="Arial" w:cs="Arial"/>
                              </w:rPr>
                            </w:pPr>
                            <w:r>
                              <w:rPr>
                                <w:rFonts w:ascii="Arial" w:hAnsi="Arial" w:cs="Arial"/>
                              </w:rPr>
                              <w:t>2.59</w:t>
                            </w:r>
                          </w:p>
                        </w:tc>
                        <w:tc>
                          <w:tcPr>
                            <w:tcW w:w="1569" w:type="dxa"/>
                            <w:tcBorders>
                              <w:bottom w:val="single" w:sz="8" w:space="0" w:color="000000"/>
                            </w:tcBorders>
                          </w:tcPr>
                          <w:p w14:paraId="1E108E23" w14:textId="77777777" w:rsidR="00C93BE0" w:rsidRPr="006F0EDD" w:rsidRDefault="00C93BE0" w:rsidP="004E41A6">
                            <w:pPr>
                              <w:jc w:val="center"/>
                              <w:rPr>
                                <w:rFonts w:ascii="Arial" w:hAnsi="Arial" w:cs="Arial"/>
                              </w:rPr>
                            </w:pPr>
                            <w:r>
                              <w:rPr>
                                <w:rFonts w:ascii="Arial" w:hAnsi="Arial" w:cs="Arial"/>
                              </w:rPr>
                              <w:t>.043*</w:t>
                            </w:r>
                          </w:p>
                        </w:tc>
                        <w:tc>
                          <w:tcPr>
                            <w:tcW w:w="1076" w:type="dxa"/>
                            <w:tcBorders>
                              <w:bottom w:val="single" w:sz="8" w:space="0" w:color="000000"/>
                            </w:tcBorders>
                          </w:tcPr>
                          <w:p w14:paraId="7C29A4A9" w14:textId="77777777" w:rsidR="00C93BE0" w:rsidRPr="006F0EDD" w:rsidRDefault="00C93BE0" w:rsidP="004E41A6">
                            <w:pPr>
                              <w:jc w:val="center"/>
                              <w:rPr>
                                <w:rFonts w:ascii="Arial" w:hAnsi="Arial" w:cs="Arial"/>
                              </w:rPr>
                            </w:pPr>
                            <w:r>
                              <w:rPr>
                                <w:rFonts w:ascii="Arial" w:hAnsi="Arial" w:cs="Arial"/>
                              </w:rPr>
                              <w:t>2.93</w:t>
                            </w:r>
                          </w:p>
                        </w:tc>
                        <w:tc>
                          <w:tcPr>
                            <w:tcW w:w="1475" w:type="dxa"/>
                            <w:tcBorders>
                              <w:bottom w:val="single" w:sz="8" w:space="0" w:color="000000"/>
                            </w:tcBorders>
                          </w:tcPr>
                          <w:p w14:paraId="649EE054" w14:textId="77777777" w:rsidR="00C93BE0" w:rsidRPr="006F0EDD" w:rsidRDefault="00C93BE0" w:rsidP="004E41A6">
                            <w:pPr>
                              <w:jc w:val="center"/>
                              <w:rPr>
                                <w:rFonts w:ascii="Arial" w:hAnsi="Arial" w:cs="Arial"/>
                              </w:rPr>
                            </w:pPr>
                            <w:r>
                              <w:rPr>
                                <w:rFonts w:ascii="Arial" w:hAnsi="Arial" w:cs="Arial"/>
                              </w:rPr>
                              <w:t>.028*</w:t>
                            </w:r>
                          </w:p>
                        </w:tc>
                        <w:tc>
                          <w:tcPr>
                            <w:tcW w:w="1079" w:type="dxa"/>
                            <w:tcBorders>
                              <w:bottom w:val="single" w:sz="8" w:space="0" w:color="000000"/>
                            </w:tcBorders>
                          </w:tcPr>
                          <w:p w14:paraId="3E10D6F3" w14:textId="77777777" w:rsidR="00C93BE0" w:rsidRPr="006F0EDD" w:rsidRDefault="00C93BE0" w:rsidP="004E41A6">
                            <w:pPr>
                              <w:jc w:val="center"/>
                              <w:rPr>
                                <w:rFonts w:ascii="Arial" w:hAnsi="Arial" w:cs="Arial"/>
                              </w:rPr>
                            </w:pPr>
                            <w:r>
                              <w:rPr>
                                <w:rFonts w:ascii="Arial" w:hAnsi="Arial" w:cs="Arial"/>
                              </w:rPr>
                              <w:t>2.48</w:t>
                            </w:r>
                          </w:p>
                        </w:tc>
                        <w:tc>
                          <w:tcPr>
                            <w:tcW w:w="1204" w:type="dxa"/>
                            <w:tcBorders>
                              <w:bottom w:val="single" w:sz="8" w:space="0" w:color="000000"/>
                            </w:tcBorders>
                          </w:tcPr>
                          <w:p w14:paraId="2712F95A" w14:textId="77777777" w:rsidR="00C93BE0" w:rsidRPr="006F0EDD" w:rsidRDefault="00C93BE0" w:rsidP="004E41A6">
                            <w:pPr>
                              <w:jc w:val="center"/>
                              <w:rPr>
                                <w:rFonts w:ascii="Arial" w:hAnsi="Arial" w:cs="Arial"/>
                              </w:rPr>
                            </w:pPr>
                            <w:r>
                              <w:rPr>
                                <w:rFonts w:ascii="Arial" w:hAnsi="Arial" w:cs="Arial"/>
                              </w:rPr>
                              <w:t>.051</w:t>
                            </w:r>
                          </w:p>
                        </w:tc>
                      </w:tr>
                    </w:tbl>
                    <w:p w14:paraId="5084F738" w14:textId="77777777" w:rsidR="00C93BE0" w:rsidRPr="006F0EDD" w:rsidRDefault="00C93BE0" w:rsidP="00B22E1F">
                      <w:pPr>
                        <w:rPr>
                          <w:rFonts w:ascii="Arial" w:hAnsi="Arial" w:cs="Arial"/>
                          <w:i/>
                          <w:iCs/>
                        </w:rPr>
                      </w:pPr>
                      <w:r w:rsidRPr="006F0EDD">
                        <w:rPr>
                          <w:rFonts w:ascii="Arial" w:hAnsi="Arial" w:cs="Arial"/>
                          <w:i/>
                          <w:iCs/>
                        </w:rPr>
                        <w:t>*</w:t>
                      </w:r>
                      <w:r>
                        <w:rPr>
                          <w:rFonts w:ascii="Arial" w:hAnsi="Arial" w:cs="Arial"/>
                          <w:i/>
                          <w:iCs/>
                        </w:rPr>
                        <w:t xml:space="preserve"> p &lt;.05, ** p&lt;.01, *** p&lt;.001</w:t>
                      </w:r>
                    </w:p>
                    <w:p w14:paraId="180D0E77" w14:textId="77777777" w:rsidR="00C93BE0" w:rsidRDefault="00C93BE0" w:rsidP="00B22E1F"/>
                  </w:txbxContent>
                </v:textbox>
                <w10:wrap type="square"/>
              </v:shape>
            </w:pict>
          </mc:Fallback>
        </mc:AlternateContent>
      </w:r>
      <w:r w:rsidR="00FA62F7" w:rsidRPr="00225AB0">
        <w:rPr>
          <w:rFonts w:ascii="Arial" w:hAnsi="Arial" w:cs="Arial"/>
          <w:color w:val="0D0D0D" w:themeColor="text1" w:themeTint="F2"/>
        </w:rPr>
        <w:t>In V1, we found above-chance classification of attention to orientation versus shape and contrast versus shape</w:t>
      </w:r>
      <w:r>
        <w:rPr>
          <w:rFonts w:ascii="Arial" w:hAnsi="Arial" w:cs="Arial"/>
          <w:color w:val="0D0D0D" w:themeColor="text1" w:themeTint="F2"/>
        </w:rPr>
        <w:t xml:space="preserve">. </w:t>
      </w:r>
      <w:r w:rsidR="00D44AC6">
        <w:rPr>
          <w:rFonts w:ascii="Arial" w:hAnsi="Arial" w:cs="Arial"/>
          <w:color w:val="0D0D0D" w:themeColor="text1" w:themeTint="F2"/>
        </w:rPr>
        <w:t>In</w:t>
      </w:r>
      <w:r w:rsidR="00FA62F7" w:rsidRPr="00225AB0">
        <w:rPr>
          <w:rFonts w:ascii="Arial" w:hAnsi="Arial" w:cs="Arial"/>
          <w:color w:val="0D0D0D" w:themeColor="text1" w:themeTint="F2"/>
        </w:rPr>
        <w:t xml:space="preserve"> both V3A/B and LO-1, classification accuracies were significantly above chance for orientation versus contrast and orientation versus shape conditions</w:t>
      </w:r>
      <w:r>
        <w:rPr>
          <w:rFonts w:ascii="Arial" w:hAnsi="Arial" w:cs="Arial"/>
          <w:color w:val="0D0D0D" w:themeColor="text1" w:themeTint="F2"/>
        </w:rPr>
        <w:t xml:space="preserve">. </w:t>
      </w:r>
      <w:r w:rsidR="00D44AC6">
        <w:rPr>
          <w:rFonts w:ascii="Arial" w:hAnsi="Arial" w:cs="Arial"/>
          <w:color w:val="0D0D0D" w:themeColor="text1" w:themeTint="F2"/>
        </w:rPr>
        <w:t>In</w:t>
      </w:r>
      <w:r w:rsidR="00FA62F7" w:rsidRPr="00225AB0">
        <w:rPr>
          <w:rFonts w:ascii="Arial" w:hAnsi="Arial" w:cs="Arial"/>
          <w:color w:val="0D0D0D" w:themeColor="text1" w:themeTint="F2"/>
        </w:rPr>
        <w:t xml:space="preserve"> LO-1, the classification of contrast versus shape data was also significantly above chance</w:t>
      </w:r>
      <w:r>
        <w:rPr>
          <w:rFonts w:ascii="Arial" w:hAnsi="Arial" w:cs="Arial"/>
          <w:color w:val="0D0D0D" w:themeColor="text1" w:themeTint="F2"/>
        </w:rPr>
        <w:t xml:space="preserve">. </w:t>
      </w:r>
      <w:r w:rsidR="00D44AC6">
        <w:rPr>
          <w:rFonts w:ascii="Arial" w:hAnsi="Arial" w:cs="Arial"/>
          <w:color w:val="0D0D0D" w:themeColor="text1" w:themeTint="F2"/>
        </w:rPr>
        <w:t>In</w:t>
      </w:r>
      <w:r w:rsidR="00FA62F7" w:rsidRPr="00225AB0">
        <w:rPr>
          <w:rFonts w:ascii="Arial" w:hAnsi="Arial" w:cs="Arial"/>
          <w:color w:val="0D0D0D" w:themeColor="text1" w:themeTint="F2"/>
        </w:rPr>
        <w:t xml:space="preserve"> hV4, successful classification of orientation versus shape and contrast versus shape above change level was identified</w:t>
      </w:r>
      <w:r>
        <w:rPr>
          <w:rFonts w:ascii="Arial" w:hAnsi="Arial" w:cs="Arial"/>
          <w:color w:val="0D0D0D" w:themeColor="text1" w:themeTint="F2"/>
        </w:rPr>
        <w:t xml:space="preserve">. </w:t>
      </w:r>
      <w:r w:rsidR="00D44AC6">
        <w:rPr>
          <w:rFonts w:ascii="Arial" w:hAnsi="Arial" w:cs="Arial"/>
          <w:color w:val="0D0D0D" w:themeColor="text1" w:themeTint="F2"/>
        </w:rPr>
        <w:t>In</w:t>
      </w:r>
      <w:r w:rsidR="00FA62F7" w:rsidRPr="00225AB0">
        <w:rPr>
          <w:rFonts w:ascii="Arial" w:hAnsi="Arial" w:cs="Arial"/>
          <w:color w:val="0D0D0D" w:themeColor="text1" w:themeTint="F2"/>
        </w:rPr>
        <w:t xml:space="preserve"> LO-2, classification of both orientation versus contrast and orientation versus shape above chance level was identified (see Figure</w:t>
      </w:r>
      <w:r w:rsidR="00014957">
        <w:rPr>
          <w:rFonts w:ascii="Arial" w:hAnsi="Arial" w:cs="Arial"/>
          <w:color w:val="0D0D0D" w:themeColor="text1" w:themeTint="F2"/>
        </w:rPr>
        <w:t xml:space="preserve"> 4.</w:t>
      </w:r>
      <w:r w:rsidR="00FA62F7" w:rsidRPr="00225AB0">
        <w:rPr>
          <w:rFonts w:ascii="Arial" w:hAnsi="Arial" w:cs="Arial"/>
          <w:color w:val="0D0D0D" w:themeColor="text1" w:themeTint="F2"/>
        </w:rPr>
        <w:t>3C</w:t>
      </w:r>
      <w:r>
        <w:rPr>
          <w:rFonts w:ascii="Arial" w:hAnsi="Arial" w:cs="Arial"/>
          <w:color w:val="0D0D0D" w:themeColor="text1" w:themeTint="F2"/>
        </w:rPr>
        <w:t xml:space="preserve"> and Table 4.1</w:t>
      </w:r>
      <w:r w:rsidR="00FA62F7" w:rsidRPr="00225AB0">
        <w:rPr>
          <w:rFonts w:ascii="Arial" w:hAnsi="Arial" w:cs="Arial"/>
          <w:color w:val="0D0D0D" w:themeColor="text1" w:themeTint="F2"/>
        </w:rPr>
        <w:t>).</w:t>
      </w:r>
      <w:r w:rsidR="00FA62F7" w:rsidRPr="00225AB0">
        <w:rPr>
          <w:rFonts w:ascii="Arial" w:hAnsi="Arial" w:cs="Arial"/>
          <w:i/>
          <w:color w:val="0D0D0D" w:themeColor="text1" w:themeTint="F2"/>
        </w:rPr>
        <w:t xml:space="preserve"> </w:t>
      </w:r>
    </w:p>
    <w:p w14:paraId="3938265A" w14:textId="77777777" w:rsidR="00FA62F7" w:rsidRDefault="00FA62F7" w:rsidP="001811CC">
      <w:pPr>
        <w:pStyle w:val="Heading3"/>
        <w:numPr>
          <w:ilvl w:val="2"/>
          <w:numId w:val="5"/>
        </w:numPr>
        <w:rPr>
          <w:rFonts w:ascii="Arial" w:hAnsi="Arial" w:cs="Arial"/>
          <w:b/>
          <w:i/>
          <w:color w:val="000000" w:themeColor="text1"/>
          <w:sz w:val="28"/>
          <w:szCs w:val="28"/>
        </w:rPr>
      </w:pPr>
      <w:bookmarkStart w:id="518" w:name="_Toc11148003"/>
      <w:bookmarkStart w:id="519" w:name="_Toc11153951"/>
      <w:bookmarkStart w:id="520" w:name="_Toc11753654"/>
      <w:bookmarkStart w:id="521" w:name="_Toc11926840"/>
      <w:bookmarkStart w:id="522" w:name="_Toc11930085"/>
      <w:bookmarkStart w:id="523" w:name="_Toc16075401"/>
      <w:bookmarkStart w:id="524" w:name="_Toc16237012"/>
      <w:r w:rsidRPr="00F35905">
        <w:rPr>
          <w:rFonts w:ascii="Arial" w:hAnsi="Arial" w:cs="Arial"/>
          <w:b/>
          <w:i/>
          <w:color w:val="000000" w:themeColor="text1"/>
          <w:sz w:val="28"/>
          <w:szCs w:val="28"/>
        </w:rPr>
        <w:t>Multivariate Analysis: spatial pattern analysis</w:t>
      </w:r>
      <w:bookmarkEnd w:id="518"/>
      <w:bookmarkEnd w:id="519"/>
      <w:bookmarkEnd w:id="520"/>
      <w:bookmarkEnd w:id="521"/>
      <w:bookmarkEnd w:id="522"/>
      <w:bookmarkEnd w:id="523"/>
      <w:bookmarkEnd w:id="524"/>
    </w:p>
    <w:p w14:paraId="3A241626" w14:textId="77777777" w:rsidR="00F35905" w:rsidRPr="00F35905" w:rsidRDefault="00F35905" w:rsidP="00F35905"/>
    <w:p w14:paraId="15728646" w14:textId="0D9CDE5B"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Previous reports have shown that some types of bottom-up stimuli generate patterns of retinotopically-biased responses </w:t>
      </w:r>
      <w:r w:rsidR="00D44AC6">
        <w:rPr>
          <w:rFonts w:ascii="Arial" w:hAnsi="Arial" w:cs="Arial"/>
          <w:color w:val="0D0D0D" w:themeColor="text1" w:themeTint="F2"/>
        </w:rPr>
        <w:t>in</w:t>
      </w:r>
      <w:r w:rsidRPr="00225AB0">
        <w:rPr>
          <w:rFonts w:ascii="Arial" w:hAnsi="Arial" w:cs="Arial"/>
          <w:color w:val="0D0D0D" w:themeColor="text1" w:themeTint="F2"/>
        </w:rPr>
        <w:t xml:space="preserve"> individual areas at relatively large spatial scales. </w:t>
      </w:r>
      <w:r w:rsidRPr="00EA4EBE">
        <w:rPr>
          <w:rFonts w:ascii="Arial" w:hAnsi="Arial" w:cs="Arial"/>
          <w:color w:val="0D0D0D" w:themeColor="text1" w:themeTint="F2"/>
        </w:rPr>
        <w:t xml:space="preserve">For example, vertical and horizontal gratings drive voxels near the vertical and horizontal midline respectively </w:t>
      </w:r>
      <w:r w:rsidRPr="00EA4EBE">
        <w:rPr>
          <w:rFonts w:ascii="Arial" w:hAnsi="Arial" w:cs="Arial"/>
          <w:color w:val="0D0D0D" w:themeColor="text1" w:themeTint="F2"/>
        </w:rPr>
        <w:fldChar w:fldCharType="begin"/>
      </w:r>
      <w:r w:rsidR="00321AB9" w:rsidRPr="00EA4EBE">
        <w:rPr>
          <w:rFonts w:ascii="Arial" w:hAnsi="Arial" w:cs="Arial"/>
          <w:color w:val="0D0D0D" w:themeColor="text1" w:themeTint="F2"/>
        </w:rPr>
        <w:instrText xml:space="preserve"> ADDIN ZOTERO_ITEM CSL_CITATION {"citationID":"8VghKCtP","properties":{"formattedCitation":"(Freeman et al., 2011; R. B. Tootell et al., 1998)","plainCitation":"(Freeman et al., 2011; R. B. Tootell et al., 1998)","dontUpdate":true,"noteIndex":0},"citationItems":[{"id":"9GXKD9A2/d6xEhJos","uris":["http://zotero.org/groups/318634/items/5HKL6X3M"],"uri":["http://zotero.org/groups/318634/items/5HKL6X3M"],"itemData":{"id":"Hfn7wotm/C5dO5Zea","type":"article-journal","title":"The retinotopy of visual spatial attention","container-title":"Neuron","page":"1409-1422","volume":"21","issue":"6","source":"PubMed","abstract":"We used high-field (3T) functional magnetic resonance imaging (fMRI) to label cortical activity due to visual spatial attention, relative to flattened cortical maps of the retinotopy and visual areas from the same human subjects. In the main task, the visual stimulus remained constant, but covert visual spatial attention was varied in both location and load. In each of the extrastriate retinotopic areas, we found MR increases at the representations of the attended target. Similar but smaller increases were found in V1. Decreased MR levels were found in the same cortical locations when attention was directed at retinotopically different locations. In and surrounding area MT+, MR increases were lateralized but not otherwise retinotopic. At the representation of eccentricities central to that of the attended targets, prominent MR decreases occurred during spatial attention.","ISSN":"0896-6273","note":"PMID: 9883733","journalAbbreviation":"Neuron","language":"eng","author":[{"family":"Tootell","given":"R. B."},{"family":"Hadjikhani","given":"N."},{"family":"Hall","given":"E. K."},{"family":"Marrett","given":"S."},{"family":"Vanduffel","given":"W."},{"family":"Vaughan","given":"J. T."},{"family":"Dale","given":"A. M."}],"issued":{"date-parts":[["1998",12]]}}},{"id":247,"uris":["http://zotero.org/groups/318634/items/87VKZCHG"],"uri":["http://zotero.org/groups/318634/items/87VKZCHG"],"itemData":{"id":247,"type":"article-journal","title":"Orientation decoding depends on maps, not columns","container-title":"Journal of Neuroscience","page":"4792–4804","volume":"31","issue":"13","source":"Google Scholar","author":[{"family":"Freeman","given":"Jeremy"},{"family":"Brouwer","given":"Gijs Joost"},{"family":"Heeger","given":"David J."},{"family":"Merriam","given":"Elisha P."}],"issued":{"date-parts":[["2011"]]}}}],"schema":"https://github.com/citation-style-language/schema/raw/master/csl-citation.json"} </w:instrText>
      </w:r>
      <w:r w:rsidRPr="00EA4EBE">
        <w:rPr>
          <w:rFonts w:ascii="Arial" w:hAnsi="Arial" w:cs="Arial"/>
          <w:color w:val="0D0D0D" w:themeColor="text1" w:themeTint="F2"/>
        </w:rPr>
        <w:fldChar w:fldCharType="separate"/>
      </w:r>
      <w:r w:rsidR="00967B1F" w:rsidRPr="00EA4EBE">
        <w:rPr>
          <w:rFonts w:ascii="Arial" w:hAnsi="Arial" w:cs="Arial"/>
        </w:rPr>
        <w:t>(Freeman et al., 2011; Tootell et al., 1998)</w:t>
      </w:r>
      <w:r w:rsidRPr="00EA4EBE">
        <w:rPr>
          <w:rFonts w:ascii="Arial" w:hAnsi="Arial" w:cs="Arial"/>
          <w:color w:val="0D0D0D" w:themeColor="text1" w:themeTint="F2"/>
        </w:rPr>
        <w:fldChar w:fldCharType="end"/>
      </w:r>
      <w:r w:rsidRPr="00EA4EBE">
        <w:rPr>
          <w:rFonts w:ascii="Arial" w:hAnsi="Arial" w:cs="Arial"/>
          <w:color w:val="0D0D0D" w:themeColor="text1" w:themeTint="F2"/>
        </w:rPr>
        <w:t xml:space="preserve">. </w:t>
      </w:r>
      <w:r w:rsidR="00EA4EBE" w:rsidRPr="00EA4EBE">
        <w:rPr>
          <w:rFonts w:ascii="Arial" w:hAnsi="Arial" w:cs="Arial"/>
          <w:color w:val="0D0D0D" w:themeColor="text1" w:themeTint="F2"/>
        </w:rPr>
        <w:t xml:space="preserve">Other researchers however, suggest many early-visual voxels contain more complex tuning properties than predicted by coarse-scale biases such as radial bias or cardinal orientation selectivity, and these voxels with varying preferences are intermingled </w:t>
      </w:r>
      <w:r w:rsidR="00D44AC6">
        <w:rPr>
          <w:rFonts w:ascii="Arial" w:hAnsi="Arial" w:cs="Arial"/>
          <w:color w:val="0D0D0D" w:themeColor="text1" w:themeTint="F2"/>
        </w:rPr>
        <w:t>in</w:t>
      </w:r>
      <w:r w:rsidR="00EA4EBE" w:rsidRPr="00EA4EBE">
        <w:rPr>
          <w:rFonts w:ascii="Arial" w:hAnsi="Arial" w:cs="Arial"/>
          <w:color w:val="0D0D0D" w:themeColor="text1" w:themeTint="F2"/>
        </w:rPr>
        <w:t xml:space="preserve"> V1 (e.g.</w:t>
      </w:r>
      <w:r w:rsidR="00EA4EBE">
        <w:rPr>
          <w:rFonts w:ascii="Arial" w:hAnsi="Arial" w:cs="Arial"/>
          <w:color w:val="0D0D0D" w:themeColor="text1" w:themeTint="F2"/>
        </w:rPr>
        <w:fldChar w:fldCharType="begin"/>
      </w:r>
      <w:r w:rsidR="00EA4EBE">
        <w:rPr>
          <w:rFonts w:ascii="Arial" w:hAnsi="Arial" w:cs="Arial"/>
          <w:color w:val="0D0D0D" w:themeColor="text1" w:themeTint="F2"/>
        </w:rPr>
        <w:instrText xml:space="preserve"> ADDIN ZOTERO_ITEM CSL_CITATION {"citationID":"ZnQQoFqa","properties":{"formattedCitation":"(Alink, Walther, Krugliak, &amp; Kriegeskorte, 2017; Kamitani &amp; Sawahata, 2010; Kay et al., 2008; Mannion et al., 2009; Pratte, Sy, Swisher, &amp; Tong, 2016)","plainCitation":"(Alink, Walther, Krugliak, &amp; Kriegeskorte, 2017; Kamitani &amp; Sawahata, 2010; Kay et al., 2008; Mannion et al., 2009; Pratte, Sy, Swisher, &amp; Tong, 2016)","noteIndex":0},"citationItems":[{"id":155,"uris":["http://zotero.org/groups/318634/items/73RMCG8Q"],"uri":["http://zotero.org/groups/318634/items/73RMCG8Q"],"itemData":{"id":155,"type":"article-journal","title":"Identifying natural images from human brain activity","container-title":"Nature","page":"352-355","volume":"452","issue":"7185","source":"PubMed","abstract":"A challenging goal in neuroscience is to be able to read out, or decode, mental content from brain activity. Recent functional magnetic resonance imaging (fMRI) studies have decoded orientation, position and object category from activity in visual cortex. However, these studies typically used relatively simple stimuli (for example, gratings) or images drawn from fixed categories (for example, faces, houses), and decoding was based on previous measurements of brain activity evoked by those same stimuli or categories. To overcome these limitations, here we develop a decoding method based on quantitative receptive-field models that characterize the relationship between visual stimuli and fMRI activity in early visual areas. These models describe the tuning of individual voxels for space, orientation and spatial frequency, and are estimated directly from responses evoked by natural images. We show that these receptive-field models make it possible to identify, from a large set of completely novel natural images, which specific image was seen by an observer. Identification is not a mere consequence of the retinotopic organization of visual areas; simpler receptive-field models that describe only spatial tuning yield much poorer identification performance. Our results suggest that it may soon be possible to reconstruct a picture of a person's visual experience from measurements of brain activity alone.","DOI":"10.1038/nature06713","ISSN":"1476-4687","note":"PMID: 18322462\nPMCID: PMC3556484","journalAbbreviation":"Nature","language":"eng","author":[{"family":"Kay","given":"Kendrick N."},{"family":"Naselaris","given":"Thomas"},{"family":"Prenger","given":"Ryan J."},{"family":"Gallant","given":"Jack L."}],"issued":{"date-parts":[["2008",3,20]]}}},{"id":99,"uris":["http://zotero.org/groups/318634/items/KGIFYJHF"],"uri":["http://zotero.org/groups/318634/items/KGIFYJHF"],"itemData":{"id":99,"type":"article-journal","title":"Discrimination of the local orientation structure of spiral Glass patterns early in human visual cortex","container-title":"NeuroImage","page":"511-515","volume":"46","issue":"2","source":"PubMed","abstract":"The local orientation structure of a visual image is fundamental to the perception of spatial form. Reports of reliable orientation-selective modulations in the pattern of fMRI activity have demonstrated the potential for investigating the representation of orientation in the human visual cortex. Orientation-selective voxel responses could arise from anisotropies in the preferred orientations of pooled neurons due to the random sampling of the cortical surface. However, it is unclear whether orientation-selective voxel responses reflect biases in the underlying distribution of neuronal orientation preference, such as the demonstrated over-representation of radial orientations (those collinear with fixation). Here, we investigated whether stimuli balanced in their radial components could evoke orientation-selective biases in voxel activity. We attempted to discriminate the sense of spiral Glass patterns (opening anti-clockwise or clockwise), in which the local orientation structure was defined by the placement of paired dots at an orientation offset from the radial. We found that information within the spatial pattern of fMRI responses in each of V1, V2, V3, and V3A/B allowed discrimination of the spiral sense with accuracies significantly above chance. This result demonstrates that orientation-selective voxel responses can arise without the influence of a radial bias. Furthermore, the finding indicates the importance of the early visual areas in representing the local orientation structure for the perception of complex spatial form.","ISSN":"1095-9572","note":"PMID: 19385017","journalAbbreviation":"Neuroimage","language":"eng","author":[{"family":"Mannion","given":"D. J."},{"family":"McDonald","given":"J. S."},{"family":"Clifford","given":"C. W. G."}],"issued":{"date-parts":[["2009",6]]}}},{"id":46,"uris":["http://zotero.org/groups/318634/items/4BZ895WQ"],"uri":["http://zotero.org/groups/318634/items/4BZ895WQ"],"itemData":{"id":46,"type":"article-journal","title":"Spatial smoothing hurts localization but not information: pitfalls for brain mappers","container-title":"NeuroImage","page":"1949-1952","volume":"49","issue":"3","source":"PubMed","abstract":"Op de Beeck (Op de Beeck, H., 2009. Against hyperacuity in brain reading: Spatial smoothing does not hurt multivariate fMRI analyses? Neuroimage) challenges the possibility of extracting information from subvoxel representations via random biases associated with voxel sampling, the hypothesis proposed by Kamitani and Tong (Kamitani, Y., Tong, F., 2005. Decoding the visual and subjective contents of the human brain. Nat. Neurosci. 8, 679-685). Here, we show that his results provide no evidence against the possibility, being consistent with both of the subvoxel and supravoxel representation models. Classification of spatially smoothed fMRI data is not an effective means to probe into information sources for multivoxel decoding, since smoothing does not hurt the information contents of multivoxel patterns. We point out the danger of interpreting multivoxel decoding results based on intuitions guided by the conventional brain mapping paradigm.","DOI":"10.1016/j.neuroimage.2009.06.040","ISSN":"1095-9572","note":"PMID: 19559797","title-short":"Spatial smoothing hurts localization but not information","journalAbbreviation":"Neuroimage","language":"eng","author":[{"family":"Kamitani","given":"Yukiyasu"},{"family":"Sawahata","given":"Yasuhito"}],"issued":{"date-parts":[["2010",2,1]]}}},{"id":550,"uris":["http://zotero.org/groups/318634/items/WMLX2GBP"],"uri":["http://zotero.org/groups/318634/items/WMLX2GBP"],"itemData":{"id":550,"type":"article-journal","title":"Radial bias is not necessary for orientation decoding","container-title":"NeuroImage","page":"23-33","volume":"127","source":"PubMed","abstract":"Multivariate pattern analysis can be used to decode the orientation of a viewed grating from fMRI signals in early visual areas. Although some studies have reported identifying multiple sources of the orientation information that make decoding possible, a recent study argued that orientation decoding is only possible because of a single source: a coarse-scale retinotopically organized preference for radial orientations. Here we aim to resolve these discrepant findings. We show that there were subtle, but critical, experimental design choices that led to the erroneous conclusion that a radial bias is the only source of orientation information in fMRI signals. In particular, we show that the reliance on a fast temporal-encoding paradigm for spatial mapping can be problematic, as effects of space and time become conflated and lead to distorted estimates of a voxel's orientation or retinotopic preference. When we implement minor changes to the temporal paradigm or to the visual stimulus itself, by slowing the periodic rotation of the stimulus or by smoothing its contrast-energy profile, we find significant evidence of orientation information that does not originate from radial bias. In an additional block-paradigm experiment where space and time were not conflated, we apply a formal model comparison approach and find that many voxels exhibit more complex tuning properties than predicted by radial bias alone or in combination with other known coarse-scale biases. Our findings support the conclusion that radial bias is not necessary for orientation decoding. In addition, our study highlights potential limitations of using temporal phase-encoded fMRI designs for characterizing voxel tuning properties.","DOI":"10.1016/j.neuroimage.2015.11.066","ISSN":"1095-9572","note":"PMID: 26666900\nPMCID: PMC4755790","journalAbbreviation":"Neuroimage","language":"eng","author":[{"family":"Pratte","given":"Michael S."},{"family":"Sy","given":"Jocelyn L."},{"family":"Swisher","given":"Jascha D."},{"family":"Tong","given":"Frank"}],"issued":{"date-parts":[["2016",2,15]]}}},{"id":552,"uris":["http://zotero.org/groups/318634/items/8UGK7FS9"],"uri":["http://zotero.org/groups/318634/items/8UGK7FS9"],"itemData":{"id":552,"type":"article-journal","title":"Local opposite orientation preferences in V1: fMRI sensitivity to fine-grained pattern information","container-title":"Scientific Reports","page":"7128","volume":"7","issue":"1","source":"PubMed","abstract":"The orientation of a visual grating can be decoded from human primary visual cortex (V1) using functional magnetic resonance imaging (fMRI) at conventional resolutions (2-3 mm voxel width, 3T scanner). It is unclear to what extent this information originates from different spatial scales of neuronal selectivity, ranging from orientation columns to global areal maps. According to the global-areal-map account, fMRI orientation decoding relies exclusively on fMRI voxels in V1 exhibiting a radial or vertical preference. Here we show, by contrast, that 2-mm isotropic voxels in a small patch of V1 within a quarterfield representation exhibit reliable opposite selectivities. Sets of voxels with opposite selectivities are locally intermingled and each set can support orientation decoding. This indicates that global areal maps cannot fully account for orientation information in fMRI and demonstrates that fMRI also reflects fine-grained patterns of neuronal selectivity.","DOI":"10.1038/s41598-017-07036-8","ISSN":"2045-2322","note":"PMID: 28769042\nPMCID: PMC5540976","title-short":"Local opposite orientation preferences in V1","journalAbbreviation":"Sci Rep","language":"eng","author":[{"family":"Alink","given":"Arjen"},{"family":"Walther","given":"Alexander"},{"family":"Krugliak","given":"Alexandra"},{"family":"Kriegeskorte","given":"Nikolaus"}],"issued":{"date-parts":[["2017"]],"season":"02"}}}],"schema":"https://github.com/citation-style-language/schema/raw/master/csl-citation.json"} </w:instrText>
      </w:r>
      <w:r w:rsidR="00EA4EBE">
        <w:rPr>
          <w:rFonts w:ascii="Arial" w:hAnsi="Arial" w:cs="Arial"/>
          <w:color w:val="0D0D0D" w:themeColor="text1" w:themeTint="F2"/>
        </w:rPr>
        <w:fldChar w:fldCharType="separate"/>
      </w:r>
      <w:r w:rsidR="00EA4EBE">
        <w:rPr>
          <w:rFonts w:ascii="Arial" w:hAnsi="Arial" w:cs="Arial"/>
          <w:noProof/>
          <w:color w:val="0D0D0D" w:themeColor="text1" w:themeTint="F2"/>
        </w:rPr>
        <w:t xml:space="preserve"> Alink, Walther, Krugliak, &amp; Kriegeskorte, 2017; Kamitani &amp; Sawahata, 2010; Kay et </w:t>
      </w:r>
      <w:r w:rsidR="00EA4EBE">
        <w:rPr>
          <w:rFonts w:ascii="Arial" w:hAnsi="Arial" w:cs="Arial"/>
          <w:noProof/>
          <w:color w:val="0D0D0D" w:themeColor="text1" w:themeTint="F2"/>
        </w:rPr>
        <w:lastRenderedPageBreak/>
        <w:t>al., 2008; Mannion et al., 2009; Pratte, Sy, Swisher, &amp; Tong, 2016)</w:t>
      </w:r>
      <w:r w:rsidR="00EA4EBE">
        <w:rPr>
          <w:rFonts w:ascii="Arial" w:hAnsi="Arial" w:cs="Arial"/>
          <w:color w:val="0D0D0D" w:themeColor="text1" w:themeTint="F2"/>
        </w:rPr>
        <w:fldChar w:fldCharType="end"/>
      </w:r>
      <w:r w:rsidR="00EA4EBE" w:rsidRPr="00EA4EBE">
        <w:rPr>
          <w:rFonts w:ascii="Arial" w:hAnsi="Arial" w:cs="Arial"/>
          <w:color w:val="0D0D0D" w:themeColor="text1" w:themeTint="F2"/>
        </w:rPr>
        <w:t>. We asked whether coarse-scale biases, or fine-grain patterns of voxel selectivity</w:t>
      </w:r>
      <w:r w:rsidR="00EA4EBE">
        <w:rPr>
          <w:rFonts w:ascii="Arial" w:hAnsi="Arial" w:cs="Arial"/>
          <w:color w:val="0D0D0D" w:themeColor="text1" w:themeTint="F2"/>
        </w:rPr>
        <w:t xml:space="preserve"> </w:t>
      </w:r>
      <w:r w:rsidRPr="00225AB0">
        <w:rPr>
          <w:rFonts w:ascii="Arial" w:hAnsi="Arial" w:cs="Arial"/>
          <w:color w:val="0D0D0D" w:themeColor="text1" w:themeTint="F2"/>
        </w:rPr>
        <w:t xml:space="preserve">might be responsible for the top-down, attentionally-driven multivariate classification results that we found here. Subjects, might, for example, always attend preferentially to a particular part of visual space in order to solve different types of shape or orientation discrimination tasks. </w:t>
      </w:r>
    </w:p>
    <w:p w14:paraId="6595F66E" w14:textId="77777777" w:rsidR="00FA62F7" w:rsidRPr="00225AB0" w:rsidRDefault="00FA62F7" w:rsidP="00FA62F7">
      <w:pPr>
        <w:spacing w:line="480" w:lineRule="auto"/>
        <w:rPr>
          <w:rFonts w:ascii="Arial" w:hAnsi="Arial" w:cs="Arial"/>
          <w:color w:val="0D0D0D" w:themeColor="text1" w:themeTint="F2"/>
        </w:rPr>
      </w:pPr>
    </w:p>
    <w:p w14:paraId="451BD358" w14:textId="77777777"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To answer this question, we identified the voxels that were most informative for each type of classification decision and back-projected these into visual space. This allowed us to average spatial patterns of voxel preferences across observers. If all subjects used a common strategy (for example, attending to the vertical meridian) for a particular task, these averages would reveal a consistent non-zero response in this location. If, on the other hand, no changes in the large-scale pattern of responses was generated by attention, these maps would average to zero. Figure</w:t>
      </w:r>
      <w:r w:rsidR="00014957">
        <w:rPr>
          <w:rFonts w:ascii="Arial" w:hAnsi="Arial" w:cs="Arial"/>
          <w:color w:val="0D0D0D" w:themeColor="text1" w:themeTint="F2"/>
        </w:rPr>
        <w:t xml:space="preserve"> </w:t>
      </w:r>
      <w:r w:rsidRPr="00225AB0">
        <w:rPr>
          <w:rFonts w:ascii="Arial" w:hAnsi="Arial" w:cs="Arial"/>
          <w:color w:val="0D0D0D" w:themeColor="text1" w:themeTint="F2"/>
        </w:rPr>
        <w:t>4</w:t>
      </w:r>
      <w:r w:rsidR="00014957">
        <w:rPr>
          <w:rFonts w:ascii="Arial" w:hAnsi="Arial" w:cs="Arial"/>
          <w:color w:val="0D0D0D" w:themeColor="text1" w:themeTint="F2"/>
        </w:rPr>
        <w:t>.4</w:t>
      </w:r>
      <w:r w:rsidRPr="00225AB0">
        <w:rPr>
          <w:rFonts w:ascii="Arial" w:hAnsi="Arial" w:cs="Arial"/>
          <w:color w:val="0D0D0D" w:themeColor="text1" w:themeTint="F2"/>
        </w:rPr>
        <w:t xml:space="preserve"> shows mean values were computed across participants and thresholded (+/- 1.7 z-score, </w:t>
      </w:r>
      <w:r w:rsidRPr="00225AB0">
        <w:rPr>
          <w:rFonts w:ascii="Arial" w:hAnsi="Arial" w:cs="Arial"/>
          <w:i/>
          <w:color w:val="0D0D0D" w:themeColor="text1" w:themeTint="F2"/>
        </w:rPr>
        <w:t>p</w:t>
      </w:r>
      <w:r w:rsidRPr="00225AB0">
        <w:rPr>
          <w:rFonts w:ascii="Arial" w:hAnsi="Arial" w:cs="Arial"/>
          <w:color w:val="0D0D0D" w:themeColor="text1" w:themeTint="F2"/>
        </w:rPr>
        <w:t xml:space="preserve"> &lt; 0.05) to produce feature-specific attentional modulation maps. No significant patterns of attentional modulation are evident for any featural attentional focus across ROIs, and the 2° annulus of averaged attentional modulation revealed no clear peak of spatial attentional focus as a function of polar angle (see Figure 4</w:t>
      </w:r>
      <w:r w:rsidR="00014957">
        <w:rPr>
          <w:rFonts w:ascii="Arial" w:hAnsi="Arial" w:cs="Arial"/>
          <w:color w:val="0D0D0D" w:themeColor="text1" w:themeTint="F2"/>
        </w:rPr>
        <w:t>.4</w:t>
      </w:r>
      <w:r w:rsidRPr="00225AB0">
        <w:rPr>
          <w:rFonts w:ascii="Arial" w:hAnsi="Arial" w:cs="Arial"/>
          <w:color w:val="0D0D0D" w:themeColor="text1" w:themeTint="F2"/>
        </w:rPr>
        <w:t>).</w:t>
      </w:r>
    </w:p>
    <w:p w14:paraId="5787BAB2" w14:textId="77777777" w:rsidR="00FA62F7" w:rsidRPr="00225AB0" w:rsidRDefault="00FA62F7" w:rsidP="00FA62F7">
      <w:pPr>
        <w:spacing w:line="480" w:lineRule="auto"/>
        <w:rPr>
          <w:rFonts w:ascii="Arial" w:hAnsi="Arial" w:cs="Arial"/>
          <w:color w:val="0D0D0D" w:themeColor="text1" w:themeTint="F2"/>
        </w:rPr>
      </w:pPr>
    </w:p>
    <w:p w14:paraId="78336324" w14:textId="560AFF02" w:rsidR="007B68C2" w:rsidRPr="007B68C2" w:rsidRDefault="00FA62F7" w:rsidP="007B68C2">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We conclude that while the stimulus modulations that we use to drive attentional tasks may be too subtle to drive different voxel-level BOLD responses, the different attentional states that subjects employ to detect these changes do select different neuronal populations </w:t>
      </w:r>
      <w:r w:rsidR="00D44AC6">
        <w:rPr>
          <w:rFonts w:ascii="Arial" w:hAnsi="Arial" w:cs="Arial"/>
          <w:color w:val="0D0D0D" w:themeColor="text1" w:themeTint="F2"/>
        </w:rPr>
        <w:t>in</w:t>
      </w:r>
      <w:r w:rsidRPr="00225AB0">
        <w:rPr>
          <w:rFonts w:ascii="Arial" w:hAnsi="Arial" w:cs="Arial"/>
          <w:color w:val="0D0D0D" w:themeColor="text1" w:themeTint="F2"/>
        </w:rPr>
        <w:t xml:space="preserve"> early visual areas. </w:t>
      </w:r>
      <w:r w:rsidRPr="00225AB0">
        <w:rPr>
          <w:rFonts w:ascii="Arial" w:hAnsi="Arial" w:cs="Arial"/>
          <w:color w:val="0D0D0D" w:themeColor="text1" w:themeTint="F2"/>
        </w:rPr>
        <w:lastRenderedPageBreak/>
        <w:t>Our back-projection analysis indicates that these different populations are not consistent at a large-spatial scale across subjects. Our results are consistent with the hypothesis that subjects are selecting neurons from interdigitated populations that are optimal for particular tasks.</w:t>
      </w:r>
    </w:p>
    <w:p w14:paraId="1C3F284B" w14:textId="7EE5C12C" w:rsidR="00FA62F7" w:rsidRPr="00225AB0" w:rsidRDefault="009F3085" w:rsidP="00FA62F7">
      <w:pPr>
        <w:spacing w:line="480" w:lineRule="auto"/>
        <w:rPr>
          <w:rFonts w:ascii="Arial" w:hAnsi="Arial" w:cs="Arial"/>
          <w:i/>
          <w:color w:val="0D0D0D" w:themeColor="text1" w:themeTint="F2"/>
        </w:rPr>
      </w:pPr>
      <w:r w:rsidRPr="00225AB0">
        <w:rPr>
          <w:rFonts w:ascii="Arial" w:hAnsi="Arial" w:cs="Arial"/>
          <w:noProof/>
          <w:color w:val="0D0D0D" w:themeColor="text1" w:themeTint="F2"/>
          <w:lang w:eastAsia="en-GB"/>
        </w:rPr>
        <mc:AlternateContent>
          <mc:Choice Requires="wps">
            <w:drawing>
              <wp:anchor distT="0" distB="0" distL="114300" distR="114300" simplePos="0" relativeHeight="251815936" behindDoc="1" locked="0" layoutInCell="1" allowOverlap="1" wp14:anchorId="4476D945" wp14:editId="67247FB4">
                <wp:simplePos x="0" y="0"/>
                <wp:positionH relativeFrom="column">
                  <wp:posOffset>-82550</wp:posOffset>
                </wp:positionH>
                <wp:positionV relativeFrom="paragraph">
                  <wp:posOffset>353060</wp:posOffset>
                </wp:positionV>
                <wp:extent cx="5374005" cy="630364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5374005" cy="6303645"/>
                        </a:xfrm>
                        <a:prstGeom prst="rect">
                          <a:avLst/>
                        </a:prstGeom>
                        <a:solidFill>
                          <a:schemeClr val="lt1"/>
                        </a:solidFill>
                        <a:ln w="6350">
                          <a:noFill/>
                        </a:ln>
                      </wps:spPr>
                      <wps:txbx>
                        <w:txbxContent>
                          <w:p w14:paraId="01339572" w14:textId="77777777" w:rsidR="00C93BE0" w:rsidRDefault="00C93BE0" w:rsidP="009F3085">
                            <w:pPr>
                              <w:keepNext/>
                              <w:jc w:val="center"/>
                            </w:pPr>
                            <w:r>
                              <w:rPr>
                                <w:noProof/>
                                <w:lang w:eastAsia="en-GB"/>
                              </w:rPr>
                              <w:drawing>
                                <wp:inline distT="0" distB="0" distL="0" distR="0" wp14:anchorId="24A14B07" wp14:editId="5AC820F6">
                                  <wp:extent cx="5094269" cy="4253346"/>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4.png"/>
                                          <pic:cNvPicPr/>
                                        </pic:nvPicPr>
                                        <pic:blipFill rotWithShape="1">
                                          <a:blip r:embed="rId48">
                                            <a:extLst>
                                              <a:ext uri="{28A0092B-C50C-407E-A947-70E740481C1C}">
                                                <a14:useLocalDpi xmlns:a14="http://schemas.microsoft.com/office/drawing/2010/main" val="0"/>
                                              </a:ext>
                                            </a:extLst>
                                          </a:blip>
                                          <a:srcRect l="2582" r="3005"/>
                                          <a:stretch/>
                                        </pic:blipFill>
                                        <pic:spPr bwMode="auto">
                                          <a:xfrm>
                                            <a:off x="0" y="0"/>
                                            <a:ext cx="5152908" cy="4302306"/>
                                          </a:xfrm>
                                          <a:prstGeom prst="rect">
                                            <a:avLst/>
                                          </a:prstGeom>
                                          <a:ln>
                                            <a:noFill/>
                                          </a:ln>
                                          <a:extLst>
                                            <a:ext uri="{53640926-AAD7-44D8-BBD7-CCE9431645EC}">
                                              <a14:shadowObscured xmlns:a14="http://schemas.microsoft.com/office/drawing/2010/main"/>
                                            </a:ext>
                                          </a:extLst>
                                        </pic:spPr>
                                      </pic:pic>
                                    </a:graphicData>
                                  </a:graphic>
                                </wp:inline>
                              </w:drawing>
                            </w:r>
                          </w:p>
                          <w:p w14:paraId="32F8EB8B" w14:textId="66D4BD42" w:rsidR="00C93BE0" w:rsidRPr="00014957" w:rsidRDefault="00C93BE0" w:rsidP="009F3085">
                            <w:pPr>
                              <w:pStyle w:val="Caption"/>
                              <w:spacing w:line="360" w:lineRule="auto"/>
                              <w:jc w:val="both"/>
                              <w:rPr>
                                <w:rFonts w:ascii="Arial" w:hAnsi="Arial" w:cs="Arial"/>
                                <w:i w:val="0"/>
                                <w:color w:val="000000" w:themeColor="text1"/>
                                <w:sz w:val="24"/>
                                <w:szCs w:val="24"/>
                              </w:rPr>
                            </w:pPr>
                            <w:bookmarkStart w:id="525" w:name="_Toc12363352"/>
                            <w:bookmarkStart w:id="526" w:name="_Toc16242709"/>
                            <w:r w:rsidRPr="00014957">
                              <w:rPr>
                                <w:rFonts w:ascii="Arial" w:hAnsi="Arial" w:cs="Arial"/>
                                <w:b/>
                                <w:i w:val="0"/>
                                <w:color w:val="000000" w:themeColor="text1"/>
                                <w:sz w:val="24"/>
                                <w:szCs w:val="24"/>
                              </w:rPr>
                              <w:t>Figure</w:t>
                            </w:r>
                            <w:r>
                              <w:rPr>
                                <w:rFonts w:ascii="Arial" w:hAnsi="Arial" w:cs="Arial"/>
                                <w:b/>
                                <w:i w:val="0"/>
                                <w:color w:val="000000" w:themeColor="text1"/>
                                <w:sz w:val="24"/>
                                <w:szCs w:val="24"/>
                              </w:rPr>
                              <w:t xml:space="preserv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sidRPr="00014957">
                              <w:rPr>
                                <w:rFonts w:ascii="Arial" w:hAnsi="Arial" w:cs="Arial"/>
                                <w:i w:val="0"/>
                                <w:color w:val="000000" w:themeColor="text1"/>
                                <w:sz w:val="24"/>
                                <w:szCs w:val="24"/>
                              </w:rPr>
                              <w:t xml:space="preserve"> </w:t>
                            </w:r>
                            <w:r w:rsidRPr="00014957">
                              <w:rPr>
                                <w:rFonts w:ascii="Arial" w:hAnsi="Arial" w:cs="Arial"/>
                                <w:i w:val="0"/>
                                <w:iCs w:val="0"/>
                                <w:color w:val="000000" w:themeColor="text1"/>
                                <w:sz w:val="24"/>
                                <w:szCs w:val="24"/>
                                <w:lang w:val="en-US"/>
                              </w:rPr>
                              <w:t>Group-averaged voxel feature-specific weights as a function of eccentricity (6°) and polar angle (360°) reveal no large-scale biases in voxel weights across location. The gray annulus reflects averaged voxel modulation at 1° intervals across 1.5-2.5° visual space. Deviations from circularity indicate positive (feature-specific) or negative (passive viewing) preferring clusters of voxels. A radial frequency pattern stimulus overlay is provided for reference. Activation is thresholded at +/- 1.7 z-score (p</w:t>
                            </w:r>
                            <w:r w:rsidRPr="00014957">
                              <w:rPr>
                                <w:rFonts w:ascii="Arial" w:hAnsi="Arial" w:cs="Arial"/>
                                <w:i w:val="0"/>
                                <w:color w:val="000000" w:themeColor="text1"/>
                                <w:sz w:val="24"/>
                                <w:szCs w:val="24"/>
                                <w:lang w:val="en-US"/>
                              </w:rPr>
                              <w:t xml:space="preserve"> &lt;0.05).</w:t>
                            </w:r>
                            <w:bookmarkEnd w:id="525"/>
                            <w:bookmarkEnd w:id="526"/>
                          </w:p>
                          <w:p w14:paraId="1270F5A8" w14:textId="77777777" w:rsidR="00C93BE0" w:rsidRDefault="00C93BE0" w:rsidP="009F3085">
                            <w:pPr>
                              <w:keepNext/>
                              <w:jc w:val="center"/>
                            </w:pPr>
                          </w:p>
                          <w:p w14:paraId="128CDD47" w14:textId="77777777" w:rsidR="00C93BE0" w:rsidRPr="006B2A00" w:rsidRDefault="00C93BE0" w:rsidP="009F3085">
                            <w:pPr>
                              <w:pStyle w:val="Caption"/>
                              <w:jc w:val="center"/>
                              <w:rPr>
                                <w:rFonts w:ascii="Arial" w:hAnsi="Arial" w:cs="Arial"/>
                                <w:color w:val="000000" w:themeColor="text1"/>
                              </w:rPr>
                            </w:pPr>
                          </w:p>
                          <w:p w14:paraId="4111A135" w14:textId="77777777" w:rsidR="00C93BE0" w:rsidRDefault="00C93BE0" w:rsidP="009F3085">
                            <w:pPr>
                              <w:keepNext/>
                              <w:jc w:val="center"/>
                            </w:pPr>
                          </w:p>
                          <w:p w14:paraId="5C62371F" w14:textId="77777777" w:rsidR="00C93BE0" w:rsidRDefault="00C93BE0" w:rsidP="009F3085">
                            <w:pPr>
                              <w:keepNext/>
                              <w:jc w:val="center"/>
                            </w:pPr>
                          </w:p>
                          <w:p w14:paraId="3EE97FB9" w14:textId="77777777" w:rsidR="00C93BE0" w:rsidRPr="006B2A00" w:rsidRDefault="00C93BE0" w:rsidP="009F3085">
                            <w:pPr>
                              <w:pStyle w:val="Caption"/>
                              <w:jc w:val="center"/>
                              <w:rPr>
                                <w:rFonts w:ascii="Arial" w:hAnsi="Arial" w:cs="Arial"/>
                                <w:color w:val="000000" w:themeColor="text1"/>
                              </w:rPr>
                            </w:pPr>
                          </w:p>
                          <w:p w14:paraId="1ED59F6C" w14:textId="77777777" w:rsidR="00C93BE0" w:rsidRDefault="00C93BE0" w:rsidP="009F3085">
                            <w:pPr>
                              <w:keepNext/>
                              <w:jc w:val="center"/>
                            </w:pPr>
                          </w:p>
                          <w:p w14:paraId="0451A317" w14:textId="77777777" w:rsidR="00C93BE0" w:rsidRDefault="00C93BE0" w:rsidP="009F3085">
                            <w:pPr>
                              <w:pStyle w:val="Caption"/>
                              <w:jc w:val="center"/>
                            </w:pPr>
                          </w:p>
                          <w:p w14:paraId="4AEA6D51" w14:textId="77777777" w:rsidR="00C93BE0" w:rsidRDefault="00C93BE0" w:rsidP="009F3085">
                            <w:pPr>
                              <w:keepNext/>
                              <w:jc w:val="center"/>
                            </w:pPr>
                          </w:p>
                          <w:p w14:paraId="1E708C9A" w14:textId="77777777" w:rsidR="00C93BE0" w:rsidRPr="006B2A00" w:rsidRDefault="00C93BE0" w:rsidP="009F3085">
                            <w:pPr>
                              <w:pStyle w:val="Caption"/>
                              <w:jc w:val="center"/>
                              <w:rPr>
                                <w:rFonts w:ascii="Arial" w:hAnsi="Arial" w:cs="Arial"/>
                                <w:color w:val="000000" w:themeColor="text1"/>
                              </w:rPr>
                            </w:pPr>
                          </w:p>
                          <w:p w14:paraId="5ECEB10E" w14:textId="77777777" w:rsidR="00C93BE0" w:rsidRDefault="00C93BE0" w:rsidP="009F3085">
                            <w:pPr>
                              <w:keepNext/>
                              <w:jc w:val="center"/>
                            </w:pPr>
                          </w:p>
                          <w:p w14:paraId="3A6B605F" w14:textId="77777777" w:rsidR="00C93BE0" w:rsidRDefault="00C93BE0" w:rsidP="009F3085">
                            <w:pPr>
                              <w:pStyle w:val="Caption"/>
                              <w:jc w:val="center"/>
                            </w:pPr>
                          </w:p>
                          <w:p w14:paraId="445CE0C5" w14:textId="77777777" w:rsidR="00C93BE0" w:rsidRDefault="00C93BE0" w:rsidP="009F3085">
                            <w:pPr>
                              <w:keepNext/>
                              <w:jc w:val="center"/>
                            </w:pPr>
                          </w:p>
                          <w:p w14:paraId="3A27D19D"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6D945" id="Text Box 17" o:spid="_x0000_s1050" type="#_x0000_t202" style="position:absolute;margin-left:-6.5pt;margin-top:27.8pt;width:423.15pt;height:496.3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" fillcolor="white [3201]" stroked="f" strokeweight=".5pt">
                <v:textbox>
                  <w:txbxContent>
                    <w:p w14:paraId="01339572" w14:textId="77777777" w:rsidR="00C93BE0" w:rsidRDefault="00C93BE0" w:rsidP="009F3085">
                      <w:pPr>
                        <w:keepNext/>
                        <w:jc w:val="center"/>
                      </w:pPr>
                      <w:r>
                        <w:rPr>
                          <w:noProof/>
                          <w:lang w:eastAsia="en-GB"/>
                        </w:rPr>
                        <w:drawing>
                          <wp:inline distT="0" distB="0" distL="0" distR="0" wp14:anchorId="24A14B07" wp14:editId="5AC820F6">
                            <wp:extent cx="5094269" cy="4253346"/>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4.png"/>
                                    <pic:cNvPicPr/>
                                  </pic:nvPicPr>
                                  <pic:blipFill rotWithShape="1">
                                    <a:blip r:embed="rId49">
                                      <a:extLst>
                                        <a:ext uri="{28A0092B-C50C-407E-A947-70E740481C1C}">
                                          <a14:useLocalDpi xmlns:a14="http://schemas.microsoft.com/office/drawing/2010/main" val="0"/>
                                        </a:ext>
                                      </a:extLst>
                                    </a:blip>
                                    <a:srcRect l="2582" r="3005"/>
                                    <a:stretch/>
                                  </pic:blipFill>
                                  <pic:spPr bwMode="auto">
                                    <a:xfrm>
                                      <a:off x="0" y="0"/>
                                      <a:ext cx="5152908" cy="4302306"/>
                                    </a:xfrm>
                                    <a:prstGeom prst="rect">
                                      <a:avLst/>
                                    </a:prstGeom>
                                    <a:ln>
                                      <a:noFill/>
                                    </a:ln>
                                    <a:extLst>
                                      <a:ext uri="{53640926-AAD7-44D8-BBD7-CCE9431645EC}">
                                        <a14:shadowObscured xmlns:a14="http://schemas.microsoft.com/office/drawing/2010/main"/>
                                      </a:ext>
                                    </a:extLst>
                                  </pic:spPr>
                                </pic:pic>
                              </a:graphicData>
                            </a:graphic>
                          </wp:inline>
                        </w:drawing>
                      </w:r>
                    </w:p>
                    <w:p w14:paraId="32F8EB8B" w14:textId="66D4BD42" w:rsidR="00C93BE0" w:rsidRPr="00014957" w:rsidRDefault="00C93BE0" w:rsidP="009F3085">
                      <w:pPr>
                        <w:pStyle w:val="Caption"/>
                        <w:spacing w:line="360" w:lineRule="auto"/>
                        <w:jc w:val="both"/>
                        <w:rPr>
                          <w:rFonts w:ascii="Arial" w:hAnsi="Arial" w:cs="Arial"/>
                          <w:i w:val="0"/>
                          <w:color w:val="000000" w:themeColor="text1"/>
                          <w:sz w:val="24"/>
                          <w:szCs w:val="24"/>
                        </w:rPr>
                      </w:pPr>
                      <w:bookmarkStart w:id="566" w:name="_Toc12363352"/>
                      <w:bookmarkStart w:id="567" w:name="_Toc16242709"/>
                      <w:r w:rsidRPr="00014957">
                        <w:rPr>
                          <w:rFonts w:ascii="Arial" w:hAnsi="Arial" w:cs="Arial"/>
                          <w:b/>
                          <w:i w:val="0"/>
                          <w:color w:val="000000" w:themeColor="text1"/>
                          <w:sz w:val="24"/>
                          <w:szCs w:val="24"/>
                        </w:rPr>
                        <w:t>Figure</w:t>
                      </w:r>
                      <w:r>
                        <w:rPr>
                          <w:rFonts w:ascii="Arial" w:hAnsi="Arial" w:cs="Arial"/>
                          <w:b/>
                          <w:i w:val="0"/>
                          <w:color w:val="000000" w:themeColor="text1"/>
                          <w:sz w:val="24"/>
                          <w:szCs w:val="24"/>
                        </w:rPr>
                        <w:t xml:space="preserv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sidRPr="00014957">
                        <w:rPr>
                          <w:rFonts w:ascii="Arial" w:hAnsi="Arial" w:cs="Arial"/>
                          <w:i w:val="0"/>
                          <w:color w:val="000000" w:themeColor="text1"/>
                          <w:sz w:val="24"/>
                          <w:szCs w:val="24"/>
                        </w:rPr>
                        <w:t xml:space="preserve"> </w:t>
                      </w:r>
                      <w:r w:rsidRPr="00014957">
                        <w:rPr>
                          <w:rFonts w:ascii="Arial" w:hAnsi="Arial" w:cs="Arial"/>
                          <w:i w:val="0"/>
                          <w:iCs w:val="0"/>
                          <w:color w:val="000000" w:themeColor="text1"/>
                          <w:sz w:val="24"/>
                          <w:szCs w:val="24"/>
                          <w:lang w:val="en-US"/>
                        </w:rPr>
                        <w:t>Group-averaged voxel feature-specific weights as a function of eccentricity (6°) and polar angle (360°) reveal no large-scale biases in voxel weights across location. The gray annulus reflects averaged voxel modulation at 1° intervals across 1.5-2.5° visual space. Deviations from circularity indicate positive (feature-specific) or negative (passive viewing) preferring clusters of voxels. A radial frequency pattern stimulus overlay is provided for reference. Activation is thresholded at +/- 1.7 z-score (p</w:t>
                      </w:r>
                      <w:r w:rsidRPr="00014957">
                        <w:rPr>
                          <w:rFonts w:ascii="Arial" w:hAnsi="Arial" w:cs="Arial"/>
                          <w:i w:val="0"/>
                          <w:color w:val="000000" w:themeColor="text1"/>
                          <w:sz w:val="24"/>
                          <w:szCs w:val="24"/>
                          <w:lang w:val="en-US"/>
                        </w:rPr>
                        <w:t xml:space="preserve"> &lt;0.05).</w:t>
                      </w:r>
                      <w:bookmarkEnd w:id="566"/>
                      <w:bookmarkEnd w:id="567"/>
                    </w:p>
                    <w:p w14:paraId="1270F5A8" w14:textId="77777777" w:rsidR="00C93BE0" w:rsidRDefault="00C93BE0" w:rsidP="009F3085">
                      <w:pPr>
                        <w:keepNext/>
                        <w:jc w:val="center"/>
                      </w:pPr>
                    </w:p>
                    <w:p w14:paraId="128CDD47" w14:textId="77777777" w:rsidR="00C93BE0" w:rsidRPr="006B2A00" w:rsidRDefault="00C93BE0" w:rsidP="009F3085">
                      <w:pPr>
                        <w:pStyle w:val="Caption"/>
                        <w:jc w:val="center"/>
                        <w:rPr>
                          <w:rFonts w:ascii="Arial" w:hAnsi="Arial" w:cs="Arial"/>
                          <w:color w:val="000000" w:themeColor="text1"/>
                        </w:rPr>
                      </w:pPr>
                    </w:p>
                    <w:p w14:paraId="4111A135" w14:textId="77777777" w:rsidR="00C93BE0" w:rsidRDefault="00C93BE0" w:rsidP="009F3085">
                      <w:pPr>
                        <w:keepNext/>
                        <w:jc w:val="center"/>
                      </w:pPr>
                    </w:p>
                    <w:p w14:paraId="5C62371F" w14:textId="77777777" w:rsidR="00C93BE0" w:rsidRDefault="00C93BE0" w:rsidP="009F3085">
                      <w:pPr>
                        <w:keepNext/>
                        <w:jc w:val="center"/>
                      </w:pPr>
                    </w:p>
                    <w:p w14:paraId="3EE97FB9" w14:textId="77777777" w:rsidR="00C93BE0" w:rsidRPr="006B2A00" w:rsidRDefault="00C93BE0" w:rsidP="009F3085">
                      <w:pPr>
                        <w:pStyle w:val="Caption"/>
                        <w:jc w:val="center"/>
                        <w:rPr>
                          <w:rFonts w:ascii="Arial" w:hAnsi="Arial" w:cs="Arial"/>
                          <w:color w:val="000000" w:themeColor="text1"/>
                        </w:rPr>
                      </w:pPr>
                    </w:p>
                    <w:p w14:paraId="1ED59F6C" w14:textId="77777777" w:rsidR="00C93BE0" w:rsidRDefault="00C93BE0" w:rsidP="009F3085">
                      <w:pPr>
                        <w:keepNext/>
                        <w:jc w:val="center"/>
                      </w:pPr>
                    </w:p>
                    <w:p w14:paraId="0451A317" w14:textId="77777777" w:rsidR="00C93BE0" w:rsidRDefault="00C93BE0" w:rsidP="009F3085">
                      <w:pPr>
                        <w:pStyle w:val="Caption"/>
                        <w:jc w:val="center"/>
                      </w:pPr>
                    </w:p>
                    <w:p w14:paraId="4AEA6D51" w14:textId="77777777" w:rsidR="00C93BE0" w:rsidRDefault="00C93BE0" w:rsidP="009F3085">
                      <w:pPr>
                        <w:keepNext/>
                        <w:jc w:val="center"/>
                      </w:pPr>
                    </w:p>
                    <w:p w14:paraId="1E708C9A" w14:textId="77777777" w:rsidR="00C93BE0" w:rsidRPr="006B2A00" w:rsidRDefault="00C93BE0" w:rsidP="009F3085">
                      <w:pPr>
                        <w:pStyle w:val="Caption"/>
                        <w:jc w:val="center"/>
                        <w:rPr>
                          <w:rFonts w:ascii="Arial" w:hAnsi="Arial" w:cs="Arial"/>
                          <w:color w:val="000000" w:themeColor="text1"/>
                        </w:rPr>
                      </w:pPr>
                    </w:p>
                    <w:p w14:paraId="5ECEB10E" w14:textId="77777777" w:rsidR="00C93BE0" w:rsidRDefault="00C93BE0" w:rsidP="009F3085">
                      <w:pPr>
                        <w:keepNext/>
                        <w:jc w:val="center"/>
                      </w:pPr>
                    </w:p>
                    <w:p w14:paraId="3A6B605F" w14:textId="77777777" w:rsidR="00C93BE0" w:rsidRDefault="00C93BE0" w:rsidP="009F3085">
                      <w:pPr>
                        <w:pStyle w:val="Caption"/>
                        <w:jc w:val="center"/>
                      </w:pPr>
                    </w:p>
                    <w:p w14:paraId="445CE0C5" w14:textId="77777777" w:rsidR="00C93BE0" w:rsidRDefault="00C93BE0" w:rsidP="009F3085">
                      <w:pPr>
                        <w:keepNext/>
                        <w:jc w:val="center"/>
                      </w:pPr>
                    </w:p>
                    <w:p w14:paraId="3A27D19D" w14:textId="77777777" w:rsidR="00C93BE0" w:rsidRDefault="00C93BE0" w:rsidP="009F3085">
                      <w:pPr>
                        <w:jc w:val="center"/>
                      </w:pPr>
                    </w:p>
                  </w:txbxContent>
                </v:textbox>
                <w10:wrap type="square"/>
              </v:shape>
            </w:pict>
          </mc:Fallback>
        </mc:AlternateContent>
      </w:r>
    </w:p>
    <w:p w14:paraId="3DF990DA" w14:textId="77777777" w:rsidR="00FA62F7" w:rsidRDefault="00FA62F7" w:rsidP="001811CC">
      <w:pPr>
        <w:pStyle w:val="Heading3"/>
        <w:numPr>
          <w:ilvl w:val="2"/>
          <w:numId w:val="5"/>
        </w:numPr>
        <w:rPr>
          <w:rFonts w:ascii="Arial" w:hAnsi="Arial" w:cs="Arial"/>
          <w:b/>
          <w:i/>
          <w:color w:val="000000" w:themeColor="text1"/>
          <w:sz w:val="28"/>
          <w:szCs w:val="28"/>
        </w:rPr>
      </w:pPr>
      <w:bookmarkStart w:id="527" w:name="_Toc11148004"/>
      <w:bookmarkStart w:id="528" w:name="_Toc11153952"/>
      <w:bookmarkStart w:id="529" w:name="_Toc11753655"/>
      <w:bookmarkStart w:id="530" w:name="_Toc11926841"/>
      <w:bookmarkStart w:id="531" w:name="_Toc11930086"/>
      <w:bookmarkStart w:id="532" w:name="_Toc16075402"/>
      <w:bookmarkStart w:id="533" w:name="_Toc16237013"/>
      <w:r w:rsidRPr="00F35905">
        <w:rPr>
          <w:rFonts w:ascii="Arial" w:hAnsi="Arial" w:cs="Arial"/>
          <w:b/>
          <w:i/>
          <w:color w:val="000000" w:themeColor="text1"/>
          <w:sz w:val="28"/>
          <w:szCs w:val="28"/>
        </w:rPr>
        <w:t>Timeseries Connectivity Analysis</w:t>
      </w:r>
      <w:bookmarkEnd w:id="527"/>
      <w:bookmarkEnd w:id="528"/>
      <w:bookmarkEnd w:id="529"/>
      <w:bookmarkEnd w:id="530"/>
      <w:bookmarkEnd w:id="531"/>
      <w:bookmarkEnd w:id="532"/>
      <w:bookmarkEnd w:id="533"/>
    </w:p>
    <w:p w14:paraId="2A36D03E" w14:textId="77777777" w:rsidR="00F35905" w:rsidRPr="00F35905" w:rsidRDefault="00F35905" w:rsidP="00F35905"/>
    <w:p w14:paraId="13DF9439" w14:textId="77777777"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Attention had relatively little effect on time-averaged univariate BOLD responses in individual visual areas. In our final analysis, we asked whether </w:t>
      </w:r>
      <w:r w:rsidRPr="00225AB0">
        <w:rPr>
          <w:rFonts w:ascii="Arial" w:hAnsi="Arial" w:cs="Arial"/>
          <w:color w:val="0D0D0D" w:themeColor="text1" w:themeTint="F2"/>
        </w:rPr>
        <w:lastRenderedPageBreak/>
        <w:t xml:space="preserve">attention altered the way that individual ROIs communicate with each other. Specifically, asked whether functional connectivity (as measured by the similarity of </w:t>
      </w:r>
      <w:r w:rsidR="00F12C2D" w:rsidRPr="00225AB0">
        <w:rPr>
          <w:rFonts w:ascii="Arial" w:hAnsi="Arial" w:cs="Arial"/>
          <w:color w:val="0D0D0D" w:themeColor="text1" w:themeTint="F2"/>
        </w:rPr>
        <w:t>time courses</w:t>
      </w:r>
      <w:r w:rsidRPr="00225AB0">
        <w:rPr>
          <w:rFonts w:ascii="Arial" w:hAnsi="Arial" w:cs="Arial"/>
          <w:color w:val="0D0D0D" w:themeColor="text1" w:themeTint="F2"/>
        </w:rPr>
        <w:t xml:space="preserve"> in different ROIs) might be altered when subjects change their attentional state.</w:t>
      </w:r>
    </w:p>
    <w:p w14:paraId="0345FCF1" w14:textId="77777777" w:rsidR="00FA62F7" w:rsidRPr="00225AB0" w:rsidRDefault="00FA62F7" w:rsidP="00FA62F7">
      <w:pPr>
        <w:spacing w:line="480" w:lineRule="auto"/>
        <w:rPr>
          <w:rFonts w:ascii="Arial" w:hAnsi="Arial" w:cs="Arial"/>
          <w:color w:val="0D0D0D" w:themeColor="text1" w:themeTint="F2"/>
        </w:rPr>
      </w:pPr>
    </w:p>
    <w:p w14:paraId="2F055FCD" w14:textId="77777777"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We first performed non-parametric Kendall’s Tau correlations between univariate (ROI-averaged) </w:t>
      </w:r>
      <w:proofErr w:type="spellStart"/>
      <w:r w:rsidRPr="00225AB0">
        <w:rPr>
          <w:rFonts w:ascii="Arial" w:hAnsi="Arial" w:cs="Arial"/>
          <w:color w:val="0D0D0D" w:themeColor="text1" w:themeTint="F2"/>
        </w:rPr>
        <w:t>timecourses</w:t>
      </w:r>
      <w:proofErr w:type="spellEnd"/>
      <w:r w:rsidRPr="00225AB0">
        <w:rPr>
          <w:rFonts w:ascii="Arial" w:hAnsi="Arial" w:cs="Arial"/>
          <w:color w:val="0D0D0D" w:themeColor="text1" w:themeTint="F2"/>
        </w:rPr>
        <w:t xml:space="preserve"> from each pairwise combination of visual ROIs (V1, V3A/B, hV4, LO-1, LO-2 and IPS0) for each featural attention condition. These inter-ROI correlation patterns represent a ‘fingerprint’ for each task (see Figure</w:t>
      </w:r>
      <w:r w:rsidR="00D4075A">
        <w:rPr>
          <w:rFonts w:ascii="Arial" w:hAnsi="Arial" w:cs="Arial"/>
          <w:color w:val="0D0D0D" w:themeColor="text1" w:themeTint="F2"/>
        </w:rPr>
        <w:t xml:space="preserve"> 4.</w:t>
      </w:r>
      <w:r w:rsidRPr="00225AB0">
        <w:rPr>
          <w:rFonts w:ascii="Arial" w:hAnsi="Arial" w:cs="Arial"/>
          <w:color w:val="0D0D0D" w:themeColor="text1" w:themeTint="F2"/>
        </w:rPr>
        <w:t xml:space="preserve">5A). We asked if this overall fingerprint was altered by attentional task and then examined more detailed, pairwise combinations of attentional condition through a one-way repeated measure ANOVA with Bonferroni-corrected post-hoc tests, conducted on normalised and Fisher-z transformed coefficients. </w:t>
      </w:r>
    </w:p>
    <w:p w14:paraId="7C39026E" w14:textId="77777777" w:rsidR="00FA62F7" w:rsidRPr="00225AB0" w:rsidRDefault="00FA62F7" w:rsidP="00FA62F7">
      <w:pPr>
        <w:spacing w:line="480" w:lineRule="auto"/>
        <w:rPr>
          <w:rFonts w:ascii="Arial" w:hAnsi="Arial" w:cs="Arial"/>
          <w:color w:val="0D0D0D" w:themeColor="text1" w:themeTint="F2"/>
        </w:rPr>
      </w:pPr>
    </w:p>
    <w:p w14:paraId="321F2754" w14:textId="77777777"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Most strikingly, our analysis revealed significantly greater positive correlation between ROIs during </w:t>
      </w:r>
      <w:r w:rsidRPr="00225AB0">
        <w:rPr>
          <w:rFonts w:ascii="Arial" w:hAnsi="Arial" w:cs="Arial"/>
          <w:i/>
          <w:color w:val="0D0D0D" w:themeColor="text1" w:themeTint="F2"/>
        </w:rPr>
        <w:t>passive</w:t>
      </w:r>
      <w:r w:rsidRPr="00225AB0">
        <w:rPr>
          <w:rFonts w:ascii="Arial" w:hAnsi="Arial" w:cs="Arial"/>
          <w:color w:val="0D0D0D" w:themeColor="text1" w:themeTint="F2"/>
        </w:rPr>
        <w:t xml:space="preserve"> viewing than any attentional task condition (F(3,42) = 11.03, </w:t>
      </w:r>
      <w:r w:rsidRPr="00225AB0">
        <w:rPr>
          <w:rFonts w:ascii="Arial" w:hAnsi="Arial" w:cs="Arial"/>
          <w:i/>
          <w:color w:val="0D0D0D" w:themeColor="text1" w:themeTint="F2"/>
        </w:rPr>
        <w:t>p</w:t>
      </w:r>
      <w:r w:rsidRPr="00225AB0">
        <w:rPr>
          <w:rFonts w:ascii="Arial" w:hAnsi="Arial" w:cs="Arial"/>
          <w:color w:val="0D0D0D" w:themeColor="text1" w:themeTint="F2"/>
        </w:rPr>
        <w:t xml:space="preserve"> &lt;0.001, Bonferroni-corrected post-hoc tests, orientation versus passive;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.003, contrast versus passive;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0.006, shape versus passive; </w:t>
      </w:r>
      <w:r w:rsidRPr="00225AB0">
        <w:rPr>
          <w:rFonts w:ascii="Arial" w:hAnsi="Arial" w:cs="Arial"/>
          <w:i/>
          <w:color w:val="0D0D0D" w:themeColor="text1" w:themeTint="F2"/>
        </w:rPr>
        <w:t>p</w:t>
      </w:r>
      <w:r w:rsidRPr="00225AB0">
        <w:rPr>
          <w:rFonts w:ascii="Arial" w:hAnsi="Arial" w:cs="Arial"/>
          <w:color w:val="0D0D0D" w:themeColor="text1" w:themeTint="F2"/>
        </w:rPr>
        <w:t xml:space="preserve"> = 0.002). On average, there were no differences in the total level of connectivity between attentional conditions although, as shown below, individual pairs of areas do show significantly different levels of functional correlation in different attentional tasks. </w:t>
      </w:r>
    </w:p>
    <w:p w14:paraId="7034949C" w14:textId="77777777" w:rsidR="00FA62F7" w:rsidRPr="00225AB0" w:rsidRDefault="00FA62F7" w:rsidP="00FA62F7">
      <w:pPr>
        <w:spacing w:line="480" w:lineRule="auto"/>
        <w:rPr>
          <w:rFonts w:ascii="Arial" w:hAnsi="Arial" w:cs="Arial"/>
          <w:color w:val="0D0D0D" w:themeColor="text1" w:themeTint="F2"/>
        </w:rPr>
      </w:pPr>
    </w:p>
    <w:p w14:paraId="2C360F5F" w14:textId="77777777" w:rsidR="00FA62F7" w:rsidRPr="00225AB0" w:rsidRDefault="00FA62F7" w:rsidP="00FA62F7">
      <w:pPr>
        <w:spacing w:line="480" w:lineRule="auto"/>
        <w:rPr>
          <w:rFonts w:ascii="Arial" w:hAnsi="Arial" w:cs="Arial"/>
        </w:rPr>
      </w:pPr>
      <w:r w:rsidRPr="00225AB0">
        <w:rPr>
          <w:rFonts w:ascii="Arial" w:hAnsi="Arial" w:cs="Arial"/>
          <w:color w:val="0D0D0D" w:themeColor="text1" w:themeTint="F2"/>
        </w:rPr>
        <w:t xml:space="preserve">To identify the specific ROI-ROI connectivity patterns driving these differences in correlation ‘fingerprint’ across attentional tasks, we </w:t>
      </w:r>
      <w:r w:rsidRPr="00225AB0">
        <w:rPr>
          <w:rFonts w:ascii="Arial" w:hAnsi="Arial" w:cs="Arial"/>
          <w:color w:val="0D0D0D"/>
        </w:rPr>
        <w:t xml:space="preserve">calculated </w:t>
      </w:r>
      <w:r w:rsidRPr="00225AB0">
        <w:rPr>
          <w:rFonts w:ascii="Arial" w:hAnsi="Arial" w:cs="Arial"/>
          <w:color w:val="0D0D0D"/>
        </w:rPr>
        <w:lastRenderedPageBreak/>
        <w:t>the Euclidian distance (RMSE) between pairwise comparisons of attentional task condition (averaged across a subsample of participants for each condition), for both observed and noise (scrambled attention-condition label) datasets, bootstrapped across 10,000 iterations.</w:t>
      </w:r>
    </w:p>
    <w:p w14:paraId="30F87C2A" w14:textId="77777777" w:rsidR="00FA62F7" w:rsidRPr="00225AB0" w:rsidRDefault="00FA62F7" w:rsidP="00FA62F7">
      <w:pPr>
        <w:spacing w:line="480" w:lineRule="auto"/>
        <w:rPr>
          <w:rFonts w:ascii="Arial" w:hAnsi="Arial" w:cs="Arial"/>
          <w:color w:val="0D0D0D" w:themeColor="text1" w:themeTint="F2"/>
        </w:rPr>
      </w:pPr>
    </w:p>
    <w:p w14:paraId="47C02A21" w14:textId="43876721" w:rsidR="00FA62F7" w:rsidRPr="00225AB0" w:rsidRDefault="00FA62F7" w:rsidP="00FA62F7">
      <w:pPr>
        <w:spacing w:line="480" w:lineRule="auto"/>
        <w:rPr>
          <w:rFonts w:ascii="Arial" w:hAnsi="Arial" w:cs="Arial"/>
        </w:rPr>
      </w:pPr>
      <w:r w:rsidRPr="00225AB0">
        <w:rPr>
          <w:rFonts w:ascii="Arial" w:hAnsi="Arial" w:cs="Arial"/>
          <w:color w:val="0D0D0D"/>
        </w:rPr>
        <w:t>Comparing patterns of connectivity associated with IPS0 (IPS0-V1, IPS0-V3A/B, IPS0-hV4, IPS0-LO-1, IPS0-LO-2) revealed a difference between orientation and shape attentional focus conditions significantly larger than expected by chance (</w:t>
      </w:r>
      <w:r w:rsidRPr="00225AB0">
        <w:rPr>
          <w:rFonts w:ascii="Arial" w:hAnsi="Arial" w:cs="Arial"/>
          <w:i/>
          <w:iCs/>
          <w:color w:val="0D0D0D"/>
        </w:rPr>
        <w:t>p</w:t>
      </w:r>
      <w:r w:rsidRPr="00225AB0">
        <w:rPr>
          <w:rFonts w:ascii="Arial" w:hAnsi="Arial" w:cs="Arial"/>
          <w:color w:val="0D0D0D"/>
        </w:rPr>
        <w:t xml:space="preserve"> &lt;.001). We also discovered significant differences in IPS0 connectivity between shape versus passive attentional focus conditions (</w:t>
      </w:r>
      <w:r w:rsidRPr="00225AB0">
        <w:rPr>
          <w:rFonts w:ascii="Arial" w:hAnsi="Arial" w:cs="Arial"/>
          <w:i/>
          <w:iCs/>
          <w:color w:val="0D0D0D"/>
        </w:rPr>
        <w:t xml:space="preserve">p </w:t>
      </w:r>
      <w:r w:rsidRPr="00225AB0">
        <w:rPr>
          <w:rFonts w:ascii="Arial" w:hAnsi="Arial" w:cs="Arial"/>
          <w:color w:val="0D0D0D"/>
        </w:rPr>
        <w:t>&lt;0.001). hV4 connectivity across conditions revealed a similar pattern of results, with significant differences in connectivity between orientation and shape attention conditions (</w:t>
      </w:r>
      <w:r w:rsidRPr="00225AB0">
        <w:rPr>
          <w:rFonts w:ascii="Arial" w:hAnsi="Arial" w:cs="Arial"/>
          <w:i/>
          <w:iCs/>
          <w:color w:val="0D0D0D"/>
        </w:rPr>
        <w:t>p</w:t>
      </w:r>
      <w:r w:rsidRPr="00225AB0">
        <w:rPr>
          <w:rFonts w:ascii="Arial" w:hAnsi="Arial" w:cs="Arial"/>
          <w:color w:val="0D0D0D"/>
        </w:rPr>
        <w:t xml:space="preserve"> = 0.00</w:t>
      </w:r>
      <w:r w:rsidR="00EE6394">
        <w:rPr>
          <w:rFonts w:ascii="Arial" w:hAnsi="Arial" w:cs="Arial"/>
          <w:color w:val="0D0D0D"/>
        </w:rPr>
        <w:t>4</w:t>
      </w:r>
      <w:r w:rsidRPr="00225AB0">
        <w:rPr>
          <w:rFonts w:ascii="Arial" w:hAnsi="Arial" w:cs="Arial"/>
          <w:color w:val="0D0D0D"/>
        </w:rPr>
        <w:t>) and shape versus passive conditions (</w:t>
      </w:r>
      <w:r w:rsidRPr="00225AB0">
        <w:rPr>
          <w:rFonts w:ascii="Arial" w:hAnsi="Arial" w:cs="Arial"/>
          <w:i/>
          <w:iCs/>
          <w:color w:val="0D0D0D"/>
        </w:rPr>
        <w:t xml:space="preserve">p </w:t>
      </w:r>
      <w:r w:rsidRPr="00225AB0">
        <w:rPr>
          <w:rFonts w:ascii="Arial" w:hAnsi="Arial" w:cs="Arial"/>
          <w:color w:val="0D0D0D"/>
        </w:rPr>
        <w:t>= 0.00</w:t>
      </w:r>
      <w:r w:rsidR="00EE6394">
        <w:rPr>
          <w:rFonts w:ascii="Arial" w:hAnsi="Arial" w:cs="Arial"/>
          <w:color w:val="0D0D0D"/>
        </w:rPr>
        <w:t>4)</w:t>
      </w:r>
      <w:r w:rsidRPr="00225AB0">
        <w:rPr>
          <w:rFonts w:ascii="Arial" w:hAnsi="Arial" w:cs="Arial"/>
          <w:color w:val="0D0D0D"/>
        </w:rPr>
        <w:t>. There was an additional significant difference between activation patterns across hV4 connectivity between the contrast and passive conditions (</w:t>
      </w:r>
      <w:r w:rsidRPr="00225AB0">
        <w:rPr>
          <w:rFonts w:ascii="Arial" w:hAnsi="Arial" w:cs="Arial"/>
          <w:i/>
          <w:iCs/>
          <w:color w:val="0D0D0D"/>
        </w:rPr>
        <w:t>p</w:t>
      </w:r>
      <w:r w:rsidRPr="00225AB0">
        <w:rPr>
          <w:rFonts w:ascii="Arial" w:hAnsi="Arial" w:cs="Arial"/>
          <w:color w:val="0D0D0D"/>
        </w:rPr>
        <w:t xml:space="preserve"> = 0.01</w:t>
      </w:r>
      <w:r w:rsidR="00EE6394">
        <w:rPr>
          <w:rFonts w:ascii="Arial" w:hAnsi="Arial" w:cs="Arial"/>
          <w:color w:val="0D0D0D"/>
        </w:rPr>
        <w:t>5</w:t>
      </w:r>
      <w:r w:rsidRPr="00225AB0">
        <w:rPr>
          <w:rFonts w:ascii="Arial" w:hAnsi="Arial" w:cs="Arial"/>
          <w:color w:val="0D0D0D"/>
        </w:rPr>
        <w:t>). Analysis across LO-1-correlated ROIs revealed a significant difference in patterns of connectivity between orientation and passive conditions (</w:t>
      </w:r>
      <w:r w:rsidRPr="00225AB0">
        <w:rPr>
          <w:rFonts w:ascii="Arial" w:hAnsi="Arial" w:cs="Arial"/>
          <w:i/>
          <w:iCs/>
          <w:color w:val="0D0D0D"/>
        </w:rPr>
        <w:t>p</w:t>
      </w:r>
      <w:r w:rsidRPr="00225AB0">
        <w:rPr>
          <w:rFonts w:ascii="Arial" w:hAnsi="Arial" w:cs="Arial"/>
          <w:color w:val="0D0D0D"/>
        </w:rPr>
        <w:t xml:space="preserve"> = 0.00</w:t>
      </w:r>
      <w:r w:rsidR="00EE6394">
        <w:rPr>
          <w:rFonts w:ascii="Arial" w:hAnsi="Arial" w:cs="Arial"/>
          <w:color w:val="0D0D0D"/>
        </w:rPr>
        <w:t>6</w:t>
      </w:r>
      <w:r w:rsidRPr="00225AB0">
        <w:rPr>
          <w:rFonts w:ascii="Arial" w:hAnsi="Arial" w:cs="Arial"/>
          <w:color w:val="0D0D0D"/>
        </w:rPr>
        <w:t>) and we identified a significant difference between contrast and shape attentional focus conditions across LO-2-correlated ROIs (</w:t>
      </w:r>
      <w:r w:rsidRPr="00225AB0">
        <w:rPr>
          <w:rFonts w:ascii="Arial" w:hAnsi="Arial" w:cs="Arial"/>
          <w:i/>
          <w:iCs/>
          <w:color w:val="0D0D0D"/>
        </w:rPr>
        <w:t>p</w:t>
      </w:r>
      <w:r w:rsidRPr="00225AB0">
        <w:rPr>
          <w:rFonts w:ascii="Arial" w:hAnsi="Arial" w:cs="Arial"/>
          <w:color w:val="0D0D0D"/>
        </w:rPr>
        <w:t xml:space="preserve"> = 0.02</w:t>
      </w:r>
      <w:r w:rsidR="00EE6394">
        <w:rPr>
          <w:rFonts w:ascii="Arial" w:hAnsi="Arial" w:cs="Arial"/>
          <w:color w:val="0D0D0D"/>
        </w:rPr>
        <w:t>5</w:t>
      </w:r>
      <w:r w:rsidRPr="00225AB0">
        <w:rPr>
          <w:rFonts w:ascii="Arial" w:hAnsi="Arial" w:cs="Arial"/>
          <w:color w:val="0D0D0D"/>
        </w:rPr>
        <w:t>). However, connectivity to and from V1 (V1-V3A/B, V1-hV4, V1-LO-1, V1-LO-2, V1-IPS0), and V3A/B (V3A/B-V1, V3A/B -hV4, V3A/B -LO-1, V3A/B -LO-2, V3A/B -IPS0), did not appear to change as a function of task (</w:t>
      </w:r>
      <w:r w:rsidRPr="00225AB0">
        <w:rPr>
          <w:rFonts w:ascii="Arial" w:hAnsi="Arial" w:cs="Arial"/>
          <w:i/>
          <w:iCs/>
          <w:color w:val="0D0D0D"/>
        </w:rPr>
        <w:t>p</w:t>
      </w:r>
      <w:r w:rsidRPr="00225AB0">
        <w:rPr>
          <w:rFonts w:ascii="Arial" w:hAnsi="Arial" w:cs="Arial"/>
          <w:color w:val="0D0D0D"/>
        </w:rPr>
        <w:t xml:space="preserve"> &gt; 0.05) </w:t>
      </w:r>
      <w:r w:rsidRPr="00D4075A">
        <w:rPr>
          <w:rFonts w:ascii="Arial" w:hAnsi="Arial" w:cs="Arial"/>
          <w:iCs/>
          <w:color w:val="0D0D0D"/>
        </w:rPr>
        <w:t>(see Figure</w:t>
      </w:r>
      <w:r w:rsidR="00D4075A" w:rsidRPr="00D4075A">
        <w:rPr>
          <w:rFonts w:ascii="Arial" w:hAnsi="Arial" w:cs="Arial"/>
          <w:iCs/>
          <w:color w:val="0D0D0D"/>
        </w:rPr>
        <w:t xml:space="preserve"> 4.</w:t>
      </w:r>
      <w:r w:rsidRPr="00D4075A">
        <w:rPr>
          <w:rFonts w:ascii="Arial" w:hAnsi="Arial" w:cs="Arial"/>
          <w:iCs/>
          <w:color w:val="0D0D0D"/>
        </w:rPr>
        <w:t>5B).</w:t>
      </w:r>
    </w:p>
    <w:p w14:paraId="321D09C8" w14:textId="77777777" w:rsidR="00FA62F7" w:rsidRPr="00225AB0" w:rsidRDefault="00FA62F7" w:rsidP="00FA62F7">
      <w:pPr>
        <w:spacing w:line="480" w:lineRule="auto"/>
        <w:rPr>
          <w:rFonts w:ascii="Arial" w:hAnsi="Arial" w:cs="Arial"/>
        </w:rPr>
      </w:pPr>
      <w:r w:rsidRPr="00225AB0">
        <w:rPr>
          <w:rFonts w:ascii="Arial" w:hAnsi="Arial" w:cs="Arial"/>
          <w:color w:val="0D0D0D"/>
        </w:rPr>
        <w:t xml:space="preserve"> </w:t>
      </w:r>
    </w:p>
    <w:p w14:paraId="1F0D16AC" w14:textId="77777777" w:rsidR="00FA62F7" w:rsidRPr="00225AB0" w:rsidRDefault="00FA62F7" w:rsidP="00FA62F7">
      <w:pPr>
        <w:rPr>
          <w:rFonts w:ascii="Arial" w:hAnsi="Arial" w:cs="Arial"/>
          <w:color w:val="0D0D0D" w:themeColor="text1" w:themeTint="F2"/>
        </w:rPr>
      </w:pPr>
    </w:p>
    <w:p w14:paraId="542B963B" w14:textId="77777777" w:rsidR="00D8518F" w:rsidRDefault="00D8518F" w:rsidP="00FA62F7">
      <w:pPr>
        <w:rPr>
          <w:rFonts w:ascii="Arial" w:hAnsi="Arial" w:cs="Arial"/>
        </w:rPr>
      </w:pPr>
    </w:p>
    <w:p w14:paraId="272F35CB" w14:textId="77777777" w:rsidR="00D8518F" w:rsidRDefault="00D8518F" w:rsidP="00FA62F7">
      <w:pPr>
        <w:rPr>
          <w:rFonts w:ascii="Arial" w:hAnsi="Arial" w:cs="Arial"/>
        </w:rPr>
      </w:pPr>
    </w:p>
    <w:p w14:paraId="592F76D9" w14:textId="77777777" w:rsidR="00D8518F" w:rsidRDefault="00D8518F" w:rsidP="00FA62F7">
      <w:pPr>
        <w:rPr>
          <w:rFonts w:ascii="Arial" w:hAnsi="Arial" w:cs="Arial"/>
        </w:rPr>
      </w:pPr>
    </w:p>
    <w:p w14:paraId="0CEF5553" w14:textId="4401B527" w:rsidR="00D8518F" w:rsidRDefault="00B22E1F" w:rsidP="00FA62F7">
      <w:pPr>
        <w:rPr>
          <w:rFonts w:ascii="Arial" w:hAnsi="Arial" w:cs="Arial"/>
        </w:rPr>
      </w:pPr>
      <w:r w:rsidRPr="00225AB0">
        <w:rPr>
          <w:rFonts w:ascii="Arial" w:hAnsi="Arial" w:cs="Arial"/>
          <w:noProof/>
          <w:color w:val="0D0D0D" w:themeColor="text1" w:themeTint="F2"/>
          <w:lang w:eastAsia="en-GB"/>
        </w:rPr>
        <mc:AlternateContent>
          <mc:Choice Requires="wps">
            <w:drawing>
              <wp:anchor distT="0" distB="0" distL="114300" distR="114300" simplePos="0" relativeHeight="251817984" behindDoc="1" locked="0" layoutInCell="1" allowOverlap="0" wp14:anchorId="2BF065E3" wp14:editId="12DF4260">
                <wp:simplePos x="0" y="0"/>
                <wp:positionH relativeFrom="column">
                  <wp:posOffset>-132080</wp:posOffset>
                </wp:positionH>
                <wp:positionV relativeFrom="paragraph">
                  <wp:posOffset>173355</wp:posOffset>
                </wp:positionV>
                <wp:extent cx="5415915" cy="8024495"/>
                <wp:effectExtent l="0" t="0" r="0" b="0"/>
                <wp:wrapTight wrapText="bothSides">
                  <wp:wrapPolygon edited="0">
                    <wp:start x="253" y="34"/>
                    <wp:lineTo x="253" y="21503"/>
                    <wp:lineTo x="21273" y="21503"/>
                    <wp:lineTo x="21273" y="34"/>
                    <wp:lineTo x="253" y="34"/>
                  </wp:wrapPolygon>
                </wp:wrapTight>
                <wp:docPr id="15" name="Text Box 15"/>
                <wp:cNvGraphicFramePr/>
                <a:graphic xmlns:a="http://schemas.openxmlformats.org/drawingml/2006/main">
                  <a:graphicData uri="http://schemas.microsoft.com/office/word/2010/wordprocessingShape">
                    <wps:wsp>
                      <wps:cNvSpPr txBox="1"/>
                      <wps:spPr>
                        <a:xfrm>
                          <a:off x="0" y="0"/>
                          <a:ext cx="5415915" cy="8024495"/>
                        </a:xfrm>
                        <a:prstGeom prst="rect">
                          <a:avLst/>
                        </a:prstGeom>
                        <a:noFill/>
                        <a:ln w="6350">
                          <a:noFill/>
                        </a:ln>
                      </wps:spPr>
                      <wps:txbx>
                        <w:txbxContent>
                          <w:p w14:paraId="78BC2F21" w14:textId="6BEF9000" w:rsidR="00C93BE0" w:rsidRDefault="00C93BE0" w:rsidP="009F3085">
                            <w:pPr>
                              <w:keepNext/>
                              <w:jc w:val="center"/>
                            </w:pPr>
                            <w:r>
                              <w:rPr>
                                <w:noProof/>
                              </w:rPr>
                              <w:drawing>
                                <wp:inline distT="0" distB="0" distL="0" distR="0" wp14:anchorId="61090212" wp14:editId="0B1F7CD0">
                                  <wp:extent cx="5382700" cy="4780915"/>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igure4.5-connectivity_matrix.png"/>
                                          <pic:cNvPicPr/>
                                        </pic:nvPicPr>
                                        <pic:blipFill rotWithShape="1">
                                          <a:blip r:embed="rId50">
                                            <a:extLst>
                                              <a:ext uri="{28A0092B-C50C-407E-A947-70E740481C1C}">
                                                <a14:useLocalDpi xmlns:a14="http://schemas.microsoft.com/office/drawing/2010/main" val="0"/>
                                              </a:ext>
                                            </a:extLst>
                                          </a:blip>
                                          <a:srcRect l="2195" b="10743"/>
                                          <a:stretch/>
                                        </pic:blipFill>
                                        <pic:spPr bwMode="auto">
                                          <a:xfrm>
                                            <a:off x="0" y="0"/>
                                            <a:ext cx="5387086" cy="4784811"/>
                                          </a:xfrm>
                                          <a:prstGeom prst="rect">
                                            <a:avLst/>
                                          </a:prstGeom>
                                          <a:ln>
                                            <a:noFill/>
                                          </a:ln>
                                          <a:extLst>
                                            <a:ext uri="{53640926-AAD7-44D8-BBD7-CCE9431645EC}">
                                              <a14:shadowObscured xmlns:a14="http://schemas.microsoft.com/office/drawing/2010/main"/>
                                            </a:ext>
                                          </a:extLst>
                                        </pic:spPr>
                                      </pic:pic>
                                    </a:graphicData>
                                  </a:graphic>
                                </wp:inline>
                              </w:drawing>
                            </w:r>
                          </w:p>
                          <w:p w14:paraId="6668F933" w14:textId="21C426E4" w:rsidR="00C93BE0" w:rsidRDefault="00C93BE0" w:rsidP="009F3085">
                            <w:pPr>
                              <w:pStyle w:val="Caption"/>
                              <w:spacing w:line="360" w:lineRule="auto"/>
                              <w:jc w:val="both"/>
                            </w:pPr>
                            <w:bookmarkStart w:id="534" w:name="_Toc12363353"/>
                            <w:bookmarkStart w:id="535" w:name="_Toc16242710"/>
                            <w:r w:rsidRPr="00D4075A">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sidRPr="00D4075A">
                              <w:rPr>
                                <w:rFonts w:ascii="Arial" w:hAnsi="Arial" w:cs="Arial"/>
                                <w:i w:val="0"/>
                                <w:color w:val="000000" w:themeColor="text1"/>
                                <w:sz w:val="24"/>
                                <w:szCs w:val="24"/>
                              </w:rPr>
                              <w:t xml:space="preserve"> Greater overall connectivity during passive viewing compared to directed attention. A) Group feature-specific averaged attentional modulation connectivity values, indicating significantly greater mean connectivity during passive viewing than in the attentional tasks.</w:t>
                            </w:r>
                            <w:r w:rsidRPr="00D4075A">
                              <w:rPr>
                                <w:rFonts w:ascii="Arial" w:hAnsi="Arial" w:cs="Arial"/>
                                <w:i w:val="0"/>
                                <w:iCs w:val="0"/>
                                <w:color w:val="000000" w:themeColor="text1"/>
                                <w:sz w:val="24"/>
                                <w:szCs w:val="24"/>
                                <w:lang w:val="en-US"/>
                              </w:rPr>
                              <w:t xml:space="preserve"> B) Bootstrapped measures of distance between pairwise combinations of attentional focus conditions, for V1, V3A/B, hV4, LO-1, LO-2 and IPS0 ROIs</w:t>
                            </w:r>
                            <w:bookmarkEnd w:id="534"/>
                            <w:r>
                              <w:rPr>
                                <w:rFonts w:ascii="Arial" w:hAnsi="Arial" w:cs="Arial"/>
                                <w:i w:val="0"/>
                                <w:color w:val="000000" w:themeColor="text1"/>
                                <w:sz w:val="24"/>
                                <w:szCs w:val="24"/>
                              </w:rPr>
                              <w:t xml:space="preserve">. The matrices demonstrates the percentage overlap between the distribution of RMSE scores across 10,000 iterations of randomly-selected samples of the observed data and scrambled correlation ‘noise’ data, for each ROI across multiple pairwise comparisons. </w:t>
                            </w:r>
                            <w:r w:rsidRPr="009D2FD7">
                              <w:rPr>
                                <w:rFonts w:ascii="Arial" w:hAnsi="Arial" w:cs="Arial"/>
                                <w:i w:val="0"/>
                                <w:color w:val="000000" w:themeColor="text1"/>
                                <w:sz w:val="24"/>
                                <w:szCs w:val="24"/>
                              </w:rPr>
                              <w:t>Significant</w:t>
                            </w:r>
                            <w:r>
                              <w:rPr>
                                <w:rFonts w:ascii="Arial" w:hAnsi="Arial" w:cs="Arial"/>
                                <w:i w:val="0"/>
                                <w:color w:val="000000" w:themeColor="text1"/>
                                <w:sz w:val="24"/>
                                <w:szCs w:val="24"/>
                              </w:rPr>
                              <w:t xml:space="preserve"> overlap (less than 5%) </w:t>
                            </w:r>
                            <w:r w:rsidRPr="009D2FD7">
                              <w:rPr>
                                <w:rFonts w:ascii="Arial" w:hAnsi="Arial" w:cs="Arial"/>
                                <w:i w:val="0"/>
                                <w:color w:val="000000" w:themeColor="text1"/>
                                <w:sz w:val="24"/>
                                <w:szCs w:val="24"/>
                              </w:rPr>
                              <w:t>between pairwise combinations of condition are indicated with asterisks.</w:t>
                            </w:r>
                            <w:bookmarkEnd w:id="535"/>
                          </w:p>
                          <w:p w14:paraId="642D0F3D" w14:textId="77777777" w:rsidR="00C93BE0" w:rsidRDefault="00C93BE0" w:rsidP="009F3085">
                            <w:pPr>
                              <w:pStyle w:val="Caption"/>
                              <w:spacing w:line="360" w:lineRule="auto"/>
                              <w:jc w:val="both"/>
                            </w:pPr>
                          </w:p>
                          <w:p w14:paraId="2FAE7EB6" w14:textId="77777777" w:rsidR="00C93BE0" w:rsidRDefault="00C93BE0" w:rsidP="009F3085">
                            <w:pPr>
                              <w:pStyle w:val="Caption"/>
                            </w:pPr>
                          </w:p>
                          <w:p w14:paraId="543FE701" w14:textId="77777777" w:rsidR="00C93BE0" w:rsidRDefault="00C93BE0" w:rsidP="009F30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065E3" id="Text Box 15" o:spid="_x0000_s1051" type="#_x0000_t202" style="position:absolute;margin-left:-10.4pt;margin-top:13.65pt;width:426.45pt;height:631.8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" o:allowoverlap="f" filled="f" stroked="f" strokeweight=".5pt">
                <v:textbox>
                  <w:txbxContent>
                    <w:p w14:paraId="78BC2F21" w14:textId="6BEF9000" w:rsidR="00C93BE0" w:rsidRDefault="00C93BE0" w:rsidP="009F3085">
                      <w:pPr>
                        <w:keepNext/>
                        <w:jc w:val="center"/>
                      </w:pPr>
                      <w:r>
                        <w:rPr>
                          <w:noProof/>
                        </w:rPr>
                        <w:drawing>
                          <wp:inline distT="0" distB="0" distL="0" distR="0" wp14:anchorId="61090212" wp14:editId="0B1F7CD0">
                            <wp:extent cx="5382700" cy="4780915"/>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igure4.5-connectivity_matrix.png"/>
                                    <pic:cNvPicPr/>
                                  </pic:nvPicPr>
                                  <pic:blipFill rotWithShape="1">
                                    <a:blip r:embed="rId51">
                                      <a:extLst>
                                        <a:ext uri="{28A0092B-C50C-407E-A947-70E740481C1C}">
                                          <a14:useLocalDpi xmlns:a14="http://schemas.microsoft.com/office/drawing/2010/main" val="0"/>
                                        </a:ext>
                                      </a:extLst>
                                    </a:blip>
                                    <a:srcRect l="2195" b="10743"/>
                                    <a:stretch/>
                                  </pic:blipFill>
                                  <pic:spPr bwMode="auto">
                                    <a:xfrm>
                                      <a:off x="0" y="0"/>
                                      <a:ext cx="5387086" cy="4784811"/>
                                    </a:xfrm>
                                    <a:prstGeom prst="rect">
                                      <a:avLst/>
                                    </a:prstGeom>
                                    <a:ln>
                                      <a:noFill/>
                                    </a:ln>
                                    <a:extLst>
                                      <a:ext uri="{53640926-AAD7-44D8-BBD7-CCE9431645EC}">
                                        <a14:shadowObscured xmlns:a14="http://schemas.microsoft.com/office/drawing/2010/main"/>
                                      </a:ext>
                                    </a:extLst>
                                  </pic:spPr>
                                </pic:pic>
                              </a:graphicData>
                            </a:graphic>
                          </wp:inline>
                        </w:drawing>
                      </w:r>
                    </w:p>
                    <w:p w14:paraId="6668F933" w14:textId="21C426E4" w:rsidR="00C93BE0" w:rsidRDefault="00C93BE0" w:rsidP="009F3085">
                      <w:pPr>
                        <w:pStyle w:val="Caption"/>
                        <w:spacing w:line="360" w:lineRule="auto"/>
                        <w:jc w:val="both"/>
                      </w:pPr>
                      <w:bookmarkStart w:id="577" w:name="_Toc12363353"/>
                      <w:bookmarkStart w:id="578" w:name="_Toc16242710"/>
                      <w:r w:rsidRPr="00D4075A">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sidRPr="00D4075A">
                        <w:rPr>
                          <w:rFonts w:ascii="Arial" w:hAnsi="Arial" w:cs="Arial"/>
                          <w:i w:val="0"/>
                          <w:color w:val="000000" w:themeColor="text1"/>
                          <w:sz w:val="24"/>
                          <w:szCs w:val="24"/>
                        </w:rPr>
                        <w:t xml:space="preserve"> Greater overall connectivity during passive viewing compared to directed attention. A) Group feature-specific averaged attentional modulation connectivity values, indicating significantly greater mean connectivity during passive viewing than in the attentional tasks.</w:t>
                      </w:r>
                      <w:r w:rsidRPr="00D4075A">
                        <w:rPr>
                          <w:rFonts w:ascii="Arial" w:hAnsi="Arial" w:cs="Arial"/>
                          <w:i w:val="0"/>
                          <w:iCs w:val="0"/>
                          <w:color w:val="000000" w:themeColor="text1"/>
                          <w:sz w:val="24"/>
                          <w:szCs w:val="24"/>
                          <w:lang w:val="en-US"/>
                        </w:rPr>
                        <w:t xml:space="preserve"> B) Bootstrapped measures of distance between pairwise combinations of attentional focus conditions, for V1, V3A/B, hV4, LO-1, LO-2 and IPS0 ROIs</w:t>
                      </w:r>
                      <w:bookmarkEnd w:id="577"/>
                      <w:r>
                        <w:rPr>
                          <w:rFonts w:ascii="Arial" w:hAnsi="Arial" w:cs="Arial"/>
                          <w:i w:val="0"/>
                          <w:color w:val="000000" w:themeColor="text1"/>
                          <w:sz w:val="24"/>
                          <w:szCs w:val="24"/>
                        </w:rPr>
                        <w:t xml:space="preserve">. The matrices demonstrates the percentage overlap between the distribution of RMSE scores across 10,000 iterations of randomly-selected samples of the observed data and scrambled correlation ‘noise’ data, for each ROI across multiple pairwise comparisons. </w:t>
                      </w:r>
                      <w:r w:rsidRPr="009D2FD7">
                        <w:rPr>
                          <w:rFonts w:ascii="Arial" w:hAnsi="Arial" w:cs="Arial"/>
                          <w:i w:val="0"/>
                          <w:color w:val="000000" w:themeColor="text1"/>
                          <w:sz w:val="24"/>
                          <w:szCs w:val="24"/>
                        </w:rPr>
                        <w:t>Significant</w:t>
                      </w:r>
                      <w:r>
                        <w:rPr>
                          <w:rFonts w:ascii="Arial" w:hAnsi="Arial" w:cs="Arial"/>
                          <w:i w:val="0"/>
                          <w:color w:val="000000" w:themeColor="text1"/>
                          <w:sz w:val="24"/>
                          <w:szCs w:val="24"/>
                        </w:rPr>
                        <w:t xml:space="preserve"> overlap (less than 5%) </w:t>
                      </w:r>
                      <w:r w:rsidRPr="009D2FD7">
                        <w:rPr>
                          <w:rFonts w:ascii="Arial" w:hAnsi="Arial" w:cs="Arial"/>
                          <w:i w:val="0"/>
                          <w:color w:val="000000" w:themeColor="text1"/>
                          <w:sz w:val="24"/>
                          <w:szCs w:val="24"/>
                        </w:rPr>
                        <w:t>between pairwise combinations of condition are indicated with asterisks.</w:t>
                      </w:r>
                      <w:bookmarkEnd w:id="578"/>
                    </w:p>
                    <w:p w14:paraId="642D0F3D" w14:textId="77777777" w:rsidR="00C93BE0" w:rsidRDefault="00C93BE0" w:rsidP="009F3085">
                      <w:pPr>
                        <w:pStyle w:val="Caption"/>
                        <w:spacing w:line="360" w:lineRule="auto"/>
                        <w:jc w:val="both"/>
                      </w:pPr>
                    </w:p>
                    <w:p w14:paraId="2FAE7EB6" w14:textId="77777777" w:rsidR="00C93BE0" w:rsidRDefault="00C93BE0" w:rsidP="009F3085">
                      <w:pPr>
                        <w:pStyle w:val="Caption"/>
                      </w:pPr>
                    </w:p>
                    <w:p w14:paraId="543FE701" w14:textId="77777777" w:rsidR="00C93BE0" w:rsidRDefault="00C93BE0" w:rsidP="009F3085"/>
                  </w:txbxContent>
                </v:textbox>
                <w10:wrap type="tight"/>
              </v:shape>
            </w:pict>
          </mc:Fallback>
        </mc:AlternateContent>
      </w:r>
    </w:p>
    <w:p w14:paraId="54A9199B" w14:textId="77777777" w:rsidR="00D8518F" w:rsidRDefault="00D8518F" w:rsidP="00FA62F7">
      <w:pPr>
        <w:rPr>
          <w:rFonts w:ascii="Arial" w:hAnsi="Arial" w:cs="Arial"/>
        </w:rPr>
      </w:pPr>
    </w:p>
    <w:p w14:paraId="01C911C1" w14:textId="3018D720" w:rsidR="00F72546" w:rsidRDefault="00F72546" w:rsidP="00F72546">
      <w:pPr>
        <w:rPr>
          <w:rFonts w:ascii="Arial" w:hAnsi="Arial" w:cs="Arial"/>
        </w:rPr>
      </w:pPr>
      <w:bookmarkStart w:id="536" w:name="_Toc11148005"/>
      <w:bookmarkStart w:id="537" w:name="_Toc11153953"/>
    </w:p>
    <w:p w14:paraId="19BAD309" w14:textId="77777777" w:rsidR="00FA62F7" w:rsidRDefault="00FA62F7" w:rsidP="001811CC">
      <w:pPr>
        <w:pStyle w:val="Heading2"/>
        <w:numPr>
          <w:ilvl w:val="1"/>
          <w:numId w:val="5"/>
        </w:numPr>
        <w:rPr>
          <w:rFonts w:ascii="Arial" w:hAnsi="Arial" w:cs="Arial"/>
          <w:b/>
          <w:color w:val="000000" w:themeColor="text1"/>
          <w:sz w:val="28"/>
          <w:szCs w:val="28"/>
        </w:rPr>
      </w:pPr>
      <w:bookmarkStart w:id="538" w:name="_Toc11753656"/>
      <w:bookmarkStart w:id="539" w:name="_Toc11926842"/>
      <w:bookmarkStart w:id="540" w:name="_Toc11930087"/>
      <w:bookmarkStart w:id="541" w:name="_Toc16075403"/>
      <w:bookmarkStart w:id="542" w:name="_Toc16237014"/>
      <w:r w:rsidRPr="00D8518F">
        <w:rPr>
          <w:rFonts w:ascii="Arial" w:hAnsi="Arial" w:cs="Arial"/>
          <w:b/>
          <w:color w:val="000000" w:themeColor="text1"/>
          <w:sz w:val="28"/>
          <w:szCs w:val="28"/>
        </w:rPr>
        <w:lastRenderedPageBreak/>
        <w:t>Discussion</w:t>
      </w:r>
      <w:bookmarkEnd w:id="536"/>
      <w:bookmarkEnd w:id="537"/>
      <w:bookmarkEnd w:id="538"/>
      <w:bookmarkEnd w:id="539"/>
      <w:bookmarkEnd w:id="540"/>
      <w:bookmarkEnd w:id="541"/>
      <w:bookmarkEnd w:id="542"/>
    </w:p>
    <w:p w14:paraId="2F3EC369" w14:textId="77777777" w:rsidR="00D8518F" w:rsidRPr="00D8518F" w:rsidRDefault="00D8518F" w:rsidP="00D8518F"/>
    <w:p w14:paraId="15DB5409" w14:textId="1A2FB452"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Here, we show that both </w:t>
      </w:r>
      <w:r w:rsidRPr="00225AB0">
        <w:rPr>
          <w:rFonts w:ascii="Arial" w:hAnsi="Arial" w:cs="Arial"/>
          <w:i/>
          <w:color w:val="0D0D0D" w:themeColor="text1" w:themeTint="F2"/>
        </w:rPr>
        <w:t>within</w:t>
      </w:r>
      <w:r w:rsidRPr="00225AB0">
        <w:rPr>
          <w:rFonts w:ascii="Arial" w:hAnsi="Arial" w:cs="Arial"/>
          <w:color w:val="0D0D0D" w:themeColor="text1" w:themeTint="F2"/>
        </w:rPr>
        <w:t xml:space="preserve">-area neuronal activity and </w:t>
      </w:r>
      <w:r w:rsidRPr="00225AB0">
        <w:rPr>
          <w:rFonts w:ascii="Arial" w:hAnsi="Arial" w:cs="Arial"/>
          <w:i/>
          <w:color w:val="0D0D0D" w:themeColor="text1" w:themeTint="F2"/>
        </w:rPr>
        <w:t>between-</w:t>
      </w:r>
      <w:r w:rsidRPr="00225AB0">
        <w:rPr>
          <w:rFonts w:ascii="Arial" w:hAnsi="Arial" w:cs="Arial"/>
          <w:color w:val="0D0D0D" w:themeColor="text1" w:themeTint="F2"/>
        </w:rPr>
        <w:t xml:space="preserve">area connectivity change as subjects switch between visual tasks. Perhaps surprisingly, at the univariate level we identify no differences in bottom-up BOLD signal modulation in response to differences in the visual features themselves: brief changes in orientation, contrast and shape all elicited essentially the same pattern of activation at the level of individual areas. Additionally, we identify very few areas that exhibit attentionally-driven changes in averaged BOLD signal, supporting the findings of previous attentional modulation literature </w:t>
      </w:r>
      <w:r w:rsidRPr="00225AB0">
        <w:rPr>
          <w:rFonts w:ascii="Arial" w:hAnsi="Arial" w:cs="Arial"/>
          <w:color w:val="0D0D0D" w:themeColor="text1" w:themeTint="F2"/>
        </w:rPr>
        <w:fldChar w:fldCharType="begin"/>
      </w:r>
      <w:r w:rsidR="00995B3D">
        <w:rPr>
          <w:rFonts w:ascii="Arial" w:hAnsi="Arial" w:cs="Arial"/>
          <w:color w:val="0D0D0D" w:themeColor="text1" w:themeTint="F2"/>
        </w:rPr>
        <w:instrText xml:space="preserve"> ADDIN ZOTERO_ITEM CSL_CITATION {"citationID":"1evYnXeM","properties":{"formattedCitation":"(Brouwer &amp; Heeger, 2009; Kamitani &amp; Tong, 2006; K. Seymour et al., 2009, 2010; Song et al., 2011; Xing et al., 2013)","plainCitation":"(Brouwer &amp; Heeger, 2009; Kamitani &amp; Tong, 2006; K. Seymour et al., 2009, 2010; Song et al., 2011; Xing et al., 2013)","dontUpdate":true,"noteIndex":0},"citationItems":[{"id":230,"uris":["http://zotero.org/groups/318634/items/JVCLYXC6"],"uri":["http://zotero.org/groups/318634/items/JVCLYXC6"],"itemData":{"id":230,"type":"article-journal","title":"Coding and binding of color and form in visual cortex","container-title":"Cerebral Cortex (New York, N.Y.: 1991)","page":"1946-1954","volume":"20","issue":"8","source":"PubMed","abstract":"The processing of color and form is largely segregated within the visual brain. But there is also evidence to suggest that these features are coded in combination early in visual processing. Here, we combined high-resolution functional magnetic resonance imaging (fMRI) together with multivariate pattern classification to examine where in the visual cortex specific color form \"conjunctions\" are represented. Human subjects viewed visual displays containing colored spiral patterns. The spiral patterns could be red or green, and oriented either clockwise or counterclockwise, leading to 4 possible stimulus configurations. Two additional displays combined 2 of the above single color-form pairings, leading to double conjunctions. We applied linear classifiers to voxel activation patterns obtained while subjects viewed such displays. Our findings not only show that color and form information is coded across retinotopically defined visual areas, but also that the 2 double-conjunction stimuli can be distinguished. The voxels most informative about conjunctions were distinct from those most informative about color or form alone. Our results indicate that conjunctions of form and color may be coded by separate functional units as early as primary visual cortex. The results of this study have implications for theories concerning the segregation and binding of color and form information.","DOI":"10.1093/cercor/bhp265","ISSN":"1460-2199","note":"PMID: 20019147","journalAbbreviation":"Cereb. Cortex","language":"eng","author":[{"family":"Seymour","given":"Kiley"},{"family":"Clifford","given":"Colin W. G."},{"family":"Logothetis","given":"Nikos K."},{"family":"Bartels","given":"Andreas"}],"issued":{"date-parts":[["2010",8]]}}},{"id":216,"uris":["http://zotero.org/groups/318634/items/ET7SY4ZM"],"uri":["http://zotero.org/groups/318634/items/ET7SY4ZM"],"itemData":{"id":216,"type":"article-journal","title":"Attentional Modulation of fMRI Responses in Human V1 Is Consistent with Distinct Spatial Maps for Chromatically Defined Orientation and Contrast","container-title":"Journal of Neuroscience","page":"12900-12905","volume":"31","issue":"36","source":"www.jneurosci.org","abstract":"Attending to different stimulus features such as contrast or orientation can change the pattern of neural responses in human V1 measured with fMRI. We show that these pattern changes are much more distinct for colored stimuli than for achromatic stimuli. This is evidence for a classic model of V1 functional architecture in which chromatic contrast and orientation are coded in spatially distinct neural domains, while achromatic contrast and orientation are not.","DOI":"10.1523/JNEUROSCI.0580-11.2011","ISSN":"0270-6474, 1529-2401","note":"PMID: 21900568","journalAbbreviation":"J. Neurosci.","language":"en","author":[{"family":"Song","given":"Joo-Hyun"},{"family":"Rowland","given":"Jess"},{"family":"McPeek","given":"Robert M."},{"family":"Wade","given":"Alex R."}],"issued":{"date-parts":[["2011",9,7]]}}},{"id":542,"uris":["http://zotero.org/groups/318634/items/VZ6TJRYJ"],"uri":["http://zotero.org/groups/318634/items/VZ6TJRYJ"],"itemData":{"id":542,"type":"article-journal","title":"Decoding working memory of stimulus contrast in early visual cortex","container-title":"The Journal of Neuroscience: The Official Journal of the Society for Neuroscience","page":"10301-10311","volume":"33","issue":"25","source":"PubMed","abstract":"Most studies of the early stages of visual analysis (V1-V3) have focused on the properties of neurons that support processing of elemental features of a visual stimulus or scene, such as local contrast, orientation, or direction of motion. Recent evidence from electrophysiology and neuroimaging studies, however, suggests that early visual cortex may also play a role in retaining stimulus representations in memory for short periods. For example, fMRI responses obtained during the delay period between two presentations of an oriented visual stimulus can be used to decode the remembered stimulus orientation with multivariate pattern analysis. Here, we investigated whether orientation is a special case or if this phenomenon generalizes to working memory traces of other visual features. We found that multivariate classification of fMRI signals from human visual cortex could be used to decode the contrast of a perceived stimulus even when the mean response changes were accounted for, suggesting some consistent spatial signal for contrast in these areas. Strikingly, we found that fMRI responses also supported decoding of contrast when the stimulus had to be remembered. Furthermore, classification generalized from perceived to remembered stimuli and vice versa, implying that the corresponding pattern of responses in early visual cortex were highly consistent. In additional analyses, we show that stimulus decoding here is driven by biases depending on stimulus eccentricity. This places important constraints on the interpretation for decoding stimulus properties for which cortical processing is known to vary with eccentricity, such as contrast, color, spatial frequency, and temporal frequency.","DOI":"10.1523/JNEUROSCI.3754-12.2013","ISSN":"1529-2401","note":"PMID: 23785144\nPMCID: PMC3722490","journalAbbreviation":"J. Neurosci.","language":"eng","author":[{"family":"Xing","given":"Yue"},{"family":"Ledgeway","given":"Tim"},{"family":"McGraw","given":"Paul V."},{"family":"Schluppeck","given":"Denis"}],"issued":{"date-parts":[["2013",6,19]]}}},{"id":252,"uris":["http://zotero.org/groups/318634/items/9NXTJXD4"],"uri":["http://zotero.org/groups/318634/items/9NXTJXD4"],"itemData":{"id":252,"type":"article-journal","title":"Decoding seen and attended motion directions from activity in the human visual cortex","container-title":"Current biology: CB","page":"1096-1102","volume":"16","issue":"11","source":"PubMed","abstract":"Functional neuroimaging has successfully identified brain areas that show greater responses to visual motion and adapted responses to repeated motion directions. However, such methods have been thought to lack the sensitivity and spatial resolution to isolate direction-selective responses to individual motion stimuli. Here, we used functional magnetic resonance imaging (fMRI) and pattern classification methods to show that ensemble activity patterns in human visual cortex contain robust direction-selective information, from which it is possible to decode seen and attended motion directions. Ensemble activity in areas V1-V4 and MT+/V5 allowed us to decode which of eight possible motion directions the subject was viewing on individual stimulus blocks. Moreover, ensemble activity evoked by single motion directions could effectively predict which of two overlapping motion directions was the focus of the subject's attention and presumably dominant in perception. Our results indicate that feature-based attention can bias direction-selective population activity in multiple visual areas, including MT+/V5 and early visual areas (V1-V4), consistent with gain-modulation models of feature-based attention and theories of early attentional selection. Our approach for measuring ensemble direction selectivity may provide new opportunities to investigate relationships between attentional selection, conscious perception, and direction-selective responses in the human brain.","DOI":"10.1016/j.cub.2006.04.003","ISSN":"0960-9822","note":"PMID: 16753563\nPMCID: PMC1635016","journalAbbreviation":"Curr. Biol.","language":"eng","author":[{"family":"Kamitani","given":"Yukiyasu"},{"family":"Tong","given":"Frank"}],"issued":{"date-parts":[["2006",6,6]]}}},{"id":275,"uris":["http://zotero.org/groups/318634/items/QTDSBB45"],"uri":["http://zotero.org/groups/318634/items/QTDSBB45"],"itemData":{"id":275,"type":"article-journal","title":"Decoding and reconstructing color from responses in human visual cortex","container-title":"The Journal of Neuroscience: The Official Journal of the Society for Neuroscience","page":"13992-14003","volume":"29","issue":"44","source":"PubMed","abstract":"How is color represented by spatially distributed patterns of activity in visual cortex? Functional magnetic resonance imaging responses to several stimulus colors were analyzed with multivariate techniques: conventional pattern classification, a forward model of idealized color tuning, and principal component analysis (PCA). Stimulus color was accurately decoded from activity in V1, V2, V3, V4, and VO1 but not LO1, LO2, V3A/B, or MT+. The conventional classifier and forward model yielded similar accuracies, but the forward model (unlike the classifier) also reliably reconstructed novel stimulus colors not used to train (specify parameters of) the model. The mean responses, averaged across voxels in each visual area, were not reliably distinguishable for the different stimulus colors. Hence, each stimulus color was associated with a unique spatially distributed pattern of activity, presumably reflecting the color selectivity of cortical neurons. Using PCA, a color space was derived from the covariation, across voxels, in the responses to different colors. In V4 and VO1, the first two principal component scores (main source of variation) of the responses revealed a progression through perceptual color space, with perceptually similar colors evoking the most similar responses. This was not the case for any of the other visual cortical areas, including V1, although decoding was most accurate in V1. This dissociation implies a transformation from the color representation in V1 to reflect perceptual color space in V4 and VO1.","DOI":"10.1523/JNEUROSCI.3577-09.2009","ISSN":"1529-2401","note":"PMID: 19890009\nPMCID: PMC2799419","journalAbbreviation":"J. Neurosci.","language":"eng","author":[{"family":"Brouwer","given":"Gijs Joost"},{"family":"Heeger","given":"David J."}],"issued":{"date-parts":[["2009",11,4]]}}},{"id":48,"uris":["http://zotero.org/groups/318634/items/J687G4R4"],"uri":["http://zotero.org/groups/318634/items/J687G4R4"],"itemData":{"id":48,"type":"article-journal","title":"The coding of color, motion, and their conjunction in the human visual cortex","container-title":"Current biology: CB","page":"177-183","volume":"19","issue":"3","source":"PubMed","abstract":"BACKGROUND: Color and motion serve as the prime examples of segregated processing in the visual brain, giving rise to the question how color-motion conjunctions are represented. This problem is also known as the \"binding problem.\"\nRESULTS: Human volunteers viewed visual displays containing colored dots rotating around the center. The dots could be red or green and rotate clockwise or counterclockwise, leading to four possible stimulus displays. Superimposed pairs of such stimuli provided two additional displays, each containing both colors and both directions of motion but differing in their feature conjunctions. We applied multivariate classifiers to voxel-activation patterns obtained while subjects viewed such displays. Our analyses confirm the presence of directional-motion information across visual cortex and provide evidence of hue coding in all early visual areas except V5/MT(+). Within each cortical area, information on color and motion appeared to be coded in distinct sets of voxels. Furthermore, our results demonstrate the explicit representation of feature conjunctions in the primary visual cortex and beyond.\nCONCLUSIONS: The results show that conjunctions can be decoded from spatial activation patterns already in V1, indicating an explicit coding of conjunctions at early stages of visual processing. Our findings raise the possibility that the solution of what has been taken as the prime example of the binding problem engages neural mechanisms as early as V1.","DOI":"10.1016/j.cub.2008.12.050","ISSN":"1879-0445","note":"PMID: 19185496","journalAbbreviation":"Curr. Biol.","language":"eng","author":[{"family":"Seymour","given":"Kiley"},{"family":"Clifford","given":"Colin W. G."},{"family":"Logothetis","given":"Nikos K."},{"family":"Bartels","given":"Andreas"}],"issued":{"date-parts":[["2009",2,10]]}}}],"schema":"https://github.com/citation-style-language/schema/raw/master/csl-citation.json"} </w:instrText>
      </w:r>
      <w:r w:rsidRPr="00225AB0">
        <w:rPr>
          <w:rFonts w:ascii="Arial" w:hAnsi="Arial" w:cs="Arial"/>
          <w:color w:val="0D0D0D" w:themeColor="text1" w:themeTint="F2"/>
        </w:rPr>
        <w:fldChar w:fldCharType="separate"/>
      </w:r>
      <w:r w:rsidR="00917170">
        <w:rPr>
          <w:rFonts w:ascii="Arial" w:hAnsi="Arial" w:cs="Arial"/>
          <w:noProof/>
          <w:color w:val="0D0D0D" w:themeColor="text1" w:themeTint="F2"/>
        </w:rPr>
        <w:t>(Brouwer &amp; Heeger, 2009; Kamitani &amp; Tong, 2006; Seymour et al., 2009, 2010; Song et al., 2011; Xing et al., 2013)</w:t>
      </w:r>
      <w:r w:rsidRPr="00225AB0">
        <w:rPr>
          <w:rFonts w:ascii="Arial" w:hAnsi="Arial" w:cs="Arial"/>
          <w:color w:val="0D0D0D" w:themeColor="text1" w:themeTint="F2"/>
        </w:rPr>
        <w:fldChar w:fldCharType="end"/>
      </w:r>
      <w:r w:rsidRPr="00225AB0">
        <w:rPr>
          <w:rFonts w:ascii="Arial" w:hAnsi="Arial" w:cs="Arial"/>
          <w:color w:val="0D0D0D" w:themeColor="text1" w:themeTint="F2"/>
        </w:rPr>
        <w:t>. This null finding is not due to neuronal response saturation: We see both robust bottom-up and top-down modulations in all visual regions in our data: areas are modulated by both subtle stimulus changes and differing attentional focus. However, these modulations are not</w:t>
      </w:r>
      <w:r w:rsidRPr="00225AB0">
        <w:rPr>
          <w:rFonts w:ascii="Arial" w:hAnsi="Arial" w:cs="Arial"/>
          <w:i/>
          <w:color w:val="0D0D0D" w:themeColor="text1" w:themeTint="F2"/>
        </w:rPr>
        <w:t xml:space="preserve"> </w:t>
      </w:r>
      <w:r w:rsidRPr="00225AB0">
        <w:rPr>
          <w:rFonts w:ascii="Arial" w:hAnsi="Arial" w:cs="Arial"/>
          <w:color w:val="0D0D0D" w:themeColor="text1" w:themeTint="F2"/>
        </w:rPr>
        <w:t xml:space="preserve">dependent on the nature of the </w:t>
      </w:r>
      <w:r w:rsidRPr="00C60648">
        <w:rPr>
          <w:rFonts w:ascii="Arial" w:hAnsi="Arial" w:cs="Arial"/>
          <w:color w:val="0D0D0D" w:themeColor="text1" w:themeTint="F2"/>
        </w:rPr>
        <w:t xml:space="preserve">change. </w:t>
      </w:r>
      <w:r w:rsidR="00C60648" w:rsidRPr="00C60648">
        <w:rPr>
          <w:rFonts w:ascii="Arial" w:hAnsi="Arial" w:cs="Arial"/>
          <w:color w:val="0D0D0D" w:themeColor="text1" w:themeTint="F2"/>
        </w:rPr>
        <w:t>Reassuringly, we also identify no significant differences in univariate modulation between attention to orientation, contrast and shape in our control auditory cortex ROI (A1), suggesting any univariate differences we do identify are restricted to visually-responsive regions of cortex.</w:t>
      </w:r>
      <w:r w:rsidR="00C60648">
        <w:rPr>
          <w:rFonts w:ascii="Arial" w:hAnsi="Arial" w:cs="Arial"/>
          <w:color w:val="0D0D0D" w:themeColor="text1" w:themeTint="F2"/>
        </w:rPr>
        <w:t xml:space="preserve"> </w:t>
      </w:r>
      <w:r w:rsidRPr="00225AB0">
        <w:rPr>
          <w:rFonts w:ascii="Arial" w:hAnsi="Arial" w:cs="Arial"/>
          <w:color w:val="0D0D0D" w:themeColor="text1" w:themeTint="F2"/>
        </w:rPr>
        <w:t xml:space="preserve">Univariate changes in individual visual areas are therefore relatively uninformative about either bottom-up stimulus parameters or attentional state. </w:t>
      </w:r>
    </w:p>
    <w:p w14:paraId="1A339C49" w14:textId="77777777" w:rsidR="00FA62F7" w:rsidRPr="00225AB0" w:rsidRDefault="00FA62F7" w:rsidP="00FA62F7">
      <w:pPr>
        <w:rPr>
          <w:rFonts w:ascii="Arial" w:hAnsi="Arial" w:cs="Arial"/>
          <w:color w:val="0D0D0D" w:themeColor="text1" w:themeTint="F2"/>
        </w:rPr>
      </w:pPr>
    </w:p>
    <w:p w14:paraId="48FF6D24" w14:textId="3464351D"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As an example, area LO-1 responds robustly to changes in all three stimulus parameters. This result is intriguing because visual areas are often characterised by their response to bottom-up changes in specific stimulus features and this area has been identified previously as having a causal role </w:t>
      </w:r>
      <w:r w:rsidRPr="00225AB0">
        <w:rPr>
          <w:rFonts w:ascii="Arial" w:hAnsi="Arial" w:cs="Arial"/>
          <w:color w:val="0D0D0D" w:themeColor="text1" w:themeTint="F2"/>
        </w:rPr>
        <w:lastRenderedPageBreak/>
        <w:t xml:space="preserve">in orientation processing </w:t>
      </w:r>
      <w:r w:rsidRPr="00225AB0">
        <w:rPr>
          <w:rFonts w:ascii="Arial" w:hAnsi="Arial" w:cs="Arial"/>
          <w:color w:val="0D0D0D" w:themeColor="text1" w:themeTint="F2"/>
        </w:rPr>
        <w:fldChar w:fldCharType="begin"/>
      </w:r>
      <w:r w:rsidR="00995B3D">
        <w:rPr>
          <w:rFonts w:ascii="Arial" w:hAnsi="Arial" w:cs="Arial"/>
          <w:color w:val="0D0D0D" w:themeColor="text1" w:themeTint="F2"/>
        </w:rPr>
        <w:instrText xml:space="preserve"> ADDIN ZOTERO_ITEM CSL_CITATION {"citationID":"z2M3QS8j","properties":{"formattedCitation":"(Larsson &amp; Heeger, 2006; Silson et al., 2013a)","plainCitation":"(Larsson &amp; Heeger, 2006; Silson et al., 2013a)","dontUpdate":true,"noteIndex":0},"citationItems":[{"id":239,"uris":["http://zotero.org/groups/318634/items/7JCMQW5A"],"uri":["http://zotero.org/groups/318634/items/7JCMQW5A"],"itemData":{"id":239,"type":"article-journal","title":"Two retinotopic visual areas in human lateral occipital cortex","container-title":"Journal of Neuroscience","page":"13128–13142","volume":"26","issue":"51","source":"Google Scholar","author":[{"family":"Larsson","given":"Jonas"},{"family":"Heeger","given":"David J."}],"issued":{"date-parts":[["2006"]]}}},{"id":229,"uris":["http://zotero.org/groups/318634/items/W2MJSXD2"],"uri":["http://zotero.org/groups/318634/items/W2MJSXD2"],"itemData":{"id":229,"type":"article-journal","title":"Specialized and independent processing of orientation and shape in visual field maps LO1 and LO2","container-title":"Nature Neuroscience","page":"267","volume":"16","issue":"3","source":"Google Scholar","author":[{"family":"Silson","given":"Edward H."},{"family":"McKeefry","given":"Declan J."},{"family":"Rodgers","given":"Jessica"},{"family":"Gouws","given":"Andre D."},{"family":"Hymers","given":"Mark"},{"family":"Morland","given":"Antony B."}],"issued":{"date-parts":[["2013"]]}}}],"schema":"https://github.com/citation-style-language/schema/raw/master/csl-citation.json"}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(Larsson &amp; Heeger, 2006; Silson et al., 2013)</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Our data suggest that measuring univariate BOLD activity in visual cortex as a function of either stimulus type or task may not provide a complete picture of the computations that are being performed in each area. This finding is consistent with a model of visual cortex where areas typically contain multiple, overlapping feature maps in which activity depends both on the stimulus and, to an equal degree, on the attentional state. However, from univariate analysis alone, it is unclear whether there are simply no feature-specific attentional modulation effects, or whether by reducing ROI activity to a single number, potential fine-grain differences in feature-specific patterns of attentional modulation are lost. </w:t>
      </w:r>
    </w:p>
    <w:p w14:paraId="0A0AE901" w14:textId="77777777" w:rsidR="00FA62F7" w:rsidRPr="00225AB0" w:rsidRDefault="00FA62F7" w:rsidP="00FA62F7">
      <w:pPr>
        <w:spacing w:line="480" w:lineRule="auto"/>
        <w:rPr>
          <w:rFonts w:ascii="Arial" w:hAnsi="Arial" w:cs="Arial"/>
          <w:b/>
          <w:i/>
          <w:color w:val="0D0D0D" w:themeColor="text1" w:themeTint="F2"/>
        </w:rPr>
      </w:pPr>
    </w:p>
    <w:p w14:paraId="5F99868E" w14:textId="0AC07DE2" w:rsidR="00FA62F7" w:rsidRPr="00225AB0" w:rsidRDefault="00FA62F7" w:rsidP="00FA62F7">
      <w:pPr>
        <w:spacing w:line="480" w:lineRule="auto"/>
        <w:rPr>
          <w:rFonts w:ascii="Arial" w:hAnsi="Arial" w:cs="Arial"/>
          <w:color w:val="0D0D0D" w:themeColor="text1" w:themeTint="F2"/>
        </w:rPr>
      </w:pPr>
      <w:r w:rsidRPr="00225AB0">
        <w:rPr>
          <w:rFonts w:ascii="Arial" w:hAnsi="Arial" w:cs="Arial"/>
        </w:rPr>
        <w:t xml:space="preserve">To answer this question, we then analysed </w:t>
      </w:r>
      <w:r w:rsidRPr="00225AB0">
        <w:rPr>
          <w:rFonts w:ascii="Arial" w:hAnsi="Arial" w:cs="Arial"/>
          <w:color w:val="0D0D0D" w:themeColor="text1" w:themeTint="F2"/>
        </w:rPr>
        <w:t xml:space="preserve">pattern changes at the voxel level. We showed that response </w:t>
      </w:r>
      <w:r w:rsidRPr="00225AB0">
        <w:rPr>
          <w:rFonts w:ascii="Arial" w:hAnsi="Arial" w:cs="Arial"/>
          <w:i/>
          <w:color w:val="0D0D0D" w:themeColor="text1" w:themeTint="F2"/>
        </w:rPr>
        <w:t>patterns</w:t>
      </w:r>
      <w:r w:rsidRPr="00225AB0">
        <w:rPr>
          <w:rFonts w:ascii="Arial" w:hAnsi="Arial" w:cs="Arial"/>
          <w:color w:val="0D0D0D" w:themeColor="text1" w:themeTint="F2"/>
        </w:rPr>
        <w:t xml:space="preserve"> </w:t>
      </w:r>
      <w:r w:rsidR="00D44AC6">
        <w:rPr>
          <w:rFonts w:ascii="Arial" w:hAnsi="Arial" w:cs="Arial"/>
          <w:color w:val="0D0D0D" w:themeColor="text1" w:themeTint="F2"/>
        </w:rPr>
        <w:t>in</w:t>
      </w:r>
      <w:r w:rsidRPr="00225AB0">
        <w:rPr>
          <w:rFonts w:ascii="Arial" w:hAnsi="Arial" w:cs="Arial"/>
          <w:color w:val="0D0D0D" w:themeColor="text1" w:themeTint="F2"/>
        </w:rPr>
        <w:t xml:space="preserve"> individual visual areas are highly selective for the visual task and can, therefore, be used to decode attentional state. This supports the findings of previous decoding analyses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{"citationID":"ScXGwW29","properties":{"formattedCitation":"(Brouwer &amp; Heeger, 2009; Freeman et al., 2011; Kamitani &amp; Tong, 2005, 2006; Song et al., 2011)","plainCitation":"(Brouwer &amp; Heeger, 2009; Freeman et al., 2011; Kamitani &amp; Tong, 2005, 2006; Song et al., 2011)","noteIndex":0},"citationItems":[{"id":242,"uris":["http://zotero.org/groups/318634/items/TYYPVP7C"],"uri":["http://zotero.org/groups/318634/items/TYYPVP7C"],"itemData":{"id":242,"type":"article-journal","title":"Decoding the visual and subjective contents of the human brain","container-title":"Nature Neuroscience","page":"679-685","volume":"8","issue":"5","source":"PubMed","abstract":"The potential for human neuroimaging to read out the detailed contents of a person's mental state has yet to be fully explored. We investigated whether the perception of edge orientation, a fundamental visual feature, can be decoded from human brain activity measured with functional magnetic resonance imaging (fMRI). Using statistical algorithms to classify brain states, we found that ensemble fMRI signals in early visual areas could reliably predict on individual trials which of eight stimulus orientations the subject was seeing. Moreover, when subjects had to attend to one of two overlapping orthogonal gratings, feature-based attention strongly biased ensemble activity toward the attended orientation. These results demonstrate that fMRI activity patterns in early visual areas, including primary visual cortex (V1), contain detailed orientation information that can reliably predict subjective perception. Our approach provides a framework for the readout of fine-tuned representations in the human brain and their subjective contents.","DOI":"10.1038/nn1444","ISSN":"1097-6256","note":"PMID: 15852014\nPMCID: PMC1808230","journalAbbreviation":"Nat. Neurosci.","language":"eng","author":[{"family":"Kamitani","given":"Yukiyasu"},{"family":"Tong","given":"Frank"}],"issued":{"date-parts":[["2005",5]]}}},{"id":252,"uris":["http://zotero.org/groups/318634/items/9NXTJXD4"],"uri":["http://zotero.org/groups/318634/items/9NXTJXD4"],"itemData":{"id":252,"type":"article-journal","title":"Decoding seen and attended motion directions from activity in the human visual cortex","container-title":"Current biology: CB","page":"1096-1102","volume":"16","issue":"11","source":"PubMed","abstract":"Functional neuroimaging has successfully identified brain areas that show greater responses to visual motion and adapted responses to repeated motion directions. However, such methods have been thought to lack the sensitivity and spatial resolution to isolate direction-selective responses to individual motion stimuli. Here, we used functional magnetic resonance imaging (fMRI) and pattern classification methods to show that ensemble activity patterns in human visual cortex contain robust direction-selective information, from which it is possible to decode seen and attended motion directions. Ensemble activity in areas V1-V4 and MT+/V5 allowed us to decode which of eight possible motion directions the subject was viewing on individual stimulus blocks. Moreover, ensemble activity evoked by single motion directions could effectively predict which of two overlapping motion directions was the focus of the subject's attention and presumably dominant in perception. Our results indicate that feature-based attention can bias direction-selective population activity in multiple visual areas, including MT+/V5 and early visual areas (V1-V4), consistent with gain-modulation models of feature-based attention and theories of early attentional selection. Our approach for measuring ensemble direction selectivity may provide new opportunities to investigate relationships between attentional selection, conscious perception, and direction-selective responses in the human brain.","DOI":"10.1016/j.cub.2006.04.003","ISSN":"0960-9822","note":"PMID: 16753563\nPMCID: PMC1635016","journalAbbreviation":"Curr. Biol.","language":"eng","author":[{"family":"Kamitani","given":"Yukiyasu"},{"family":"Tong","given":"Frank"}],"issued":{"date-parts":[["2006",6,6]]}}},{"id":275,"uris":["http://zotero.org/groups/318634/items/QTDSBB45"],"uri":["http://zotero.org/groups/318634/items/QTDSBB45"],"itemData":{"id":275,"type":"article-journal","title":"Decoding and reconstructing color from responses in human visual cortex","container-title":"The Journal of Neuroscience: The Official Journal of the Society for Neuroscience","page":"13992-14003","volume":"29","issue":"44","source":"PubMed","abstract":"How is color represented by spatially distributed patterns of activity in visual cortex? Functional magnetic resonance imaging responses to several stimulus colors were analyzed with multivariate techniques: conventional pattern classification, a forward model of idealized color tuning, and principal component analysis (PCA). Stimulus color was accurately decoded from activity in V1, V2, V3, V4, and VO1 but not LO1, LO2, V3A/B, or MT+. The conventional classifier and forward model yielded similar accuracies, but the forward model (unlike the classifier) also reliably reconstructed novel stimulus colors not used to train (specify parameters of) the model. The mean responses, averaged across voxels in each visual area, were not reliably distinguishable for the different stimulus colors. Hence, each stimulus color was associated with a unique spatially distributed pattern of activity, presumably reflecting the color selectivity of cortical neurons. Using PCA, a color space was derived from the covariation, across voxels, in the responses to different colors. In V4 and VO1, the first two principal component scores (main source of variation) of the responses revealed a progression through perceptual color space, with perceptually similar colors evoking the most similar responses. This was not the case for any of the other visual cortical areas, including V1, although decoding was most accurate in V1. This dissociation implies a transformation from the color representation in V1 to reflect perceptual color space in V4 and VO1.","DOI":"10.1523/JNEUROSCI.3577-09.2009","ISSN":"1529-2401","note":"PMID: 19890009\nPMCID: PMC2799419","journalAbbreviation":"J. Neurosci.","language":"eng","author":[{"family":"Brouwer","given":"Gijs Joost"},{"family":"Heeger","given":"David J."}],"issued":{"date-parts":[["2009",11,4]]}}},{"id":247,"uris":["http://zotero.org/groups/318634/items/87VKZCHG"],"uri":["http://zotero.org/groups/318634/items/87VKZCHG"],"itemData":{"id":247,"type":"article-journal","title":"Orientation decoding depends on maps, not columns","container-title":"Journal of Neuroscience","page":"4792–4804","volume":"31","issue":"13","source":"Google Scholar","author":[{"family":"Freeman","given":"Jeremy"},{"family":"Brouwer","given":"Gijs Joost"},{"family":"Heeger","given":"David J."},{"family":"Merriam","given":"Elisha P."}],"issued":{"date-parts":[["2011"]]}}},{"id":216,"uris":["http://zotero.org/groups/318634/items/ET7SY4ZM"],"uri":["http://zotero.org/groups/318634/items/ET7SY4ZM"],"itemData":{"id":216,"type":"article-journal","title":"Attentional Modulation of fMRI Responses in Human V1 Is Consistent with Distinct Spatial Maps for Chromatically Defined Orientation and Contrast","container-title":"Journal of Neuroscience","page":"12900-12905","volume":"31","issue":"36","source":"www.jneurosci.org","abstract":"Attending to different stimulus features such as contrast or orientation can change the pattern of neural responses in human V1 measured with fMRI. We show that these pattern changes are much more distinct for colored stimuli than for achromatic stimuli. This is evidence for a classic model of V1 functional architecture in which chromatic contrast and orientation are coded in spatially distinct neural domains, while achromatic contrast and orientation are not.","DOI":"10.1523/JNEUROSCI.0580-11.2011","ISSN":"0270-6474, 1529-2401","note":"PMID: 21900568","journalAbbreviation":"J. Neurosci.","language":"en","author":[{"family":"Song","given":"Joo-Hyun"},{"family":"Rowland","given":"Jess"},{"family":"McPeek","given":"Robert M."},{"family":"Wade","given":"Alex R."}],"issued":{"date-parts":[["2011",9,7]]}}}],"schema":"https://github.com/citation-style-language/schema/raw/master/csl-citation.json"}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(Brouwer &amp; Heeger, 2009; Freeman et al., 2011; Kamitani &amp; Tong, 2005, 2006; Song et al., 2011)</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p>
    <w:p w14:paraId="1FCBE276" w14:textId="77777777" w:rsidR="00FA62F7" w:rsidRPr="00225AB0" w:rsidRDefault="00FA62F7" w:rsidP="00FA62F7">
      <w:pPr>
        <w:spacing w:line="480" w:lineRule="auto"/>
        <w:rPr>
          <w:rFonts w:ascii="Arial" w:hAnsi="Arial" w:cs="Arial"/>
          <w:color w:val="0D0D0D" w:themeColor="text1" w:themeTint="F2"/>
        </w:rPr>
      </w:pPr>
    </w:p>
    <w:p w14:paraId="6BBB796B" w14:textId="3518B046"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Classification performance depends both on area and conditions: For example, in V1 successful classification was evident for all pairwise combinations of attentional modulation, supporting literature demonstrating the influence of attention at the earliest stage of the cortical hierarchy </w:t>
      </w:r>
      <w:r w:rsidRPr="00225AB0">
        <w:rPr>
          <w:rFonts w:ascii="Arial" w:hAnsi="Arial" w:cs="Arial"/>
          <w:color w:val="0D0D0D" w:themeColor="text1" w:themeTint="F2"/>
        </w:rPr>
        <w:fldChar w:fldCharType="begin"/>
      </w:r>
      <w:r w:rsidR="00321AB9">
        <w:rPr>
          <w:rFonts w:ascii="Arial" w:hAnsi="Arial" w:cs="Arial"/>
          <w:color w:val="0D0D0D" w:themeColor="text1" w:themeTint="F2"/>
        </w:rPr>
        <w:instrText xml:space="preserve"> ADDIN ZOTERO_ITEM CSL_CITATION {"citationID":"eevsYRYA","properties":{"formattedCitation":"(T Z Lauritzen et al., 2010; Serences &amp; Boynton, 2007; K. Seymour et al., 2009, 2010; R. B. Tootell et al., 1998; Verghese et al., 2012)","plainCitation":"(T Z Lauritzen et al., 2010; Serences &amp; Boynton, 2007; K. Seymour et al., 2009, 2010; R. B. Tootell et al., 1998; Verghese et al., 2012)","dontUpdate":true,"noteIndex":0},"citationItems":[{"id":"9GXKD9A2/d6xEhJos","uris":["http://zotero.org/groups/318634/items/5HKL6X3M"],"uri":["http://zotero.org/groups/318634/items/5HKL6X3M"],"itemData":{"id":"Hfn7wotm/C5dO5Zea","type":"article-journal","title":"The retinotopy of visual spatial attention","container-title":"Neuron","page":"1409-1422","volume":"21","issue":"6","source":"PubMed","abstract":"We used high-field (3T) functional magnetic resonance imaging (fMRI) to label cortical activity due to visual spatial attention, relative to flattened cortical maps of the retinotopy and visual areas from the same human subjects. In the main task, the visual stimulus remained constant, but covert visual spatial attention was varied in both location and load. In each of the extrastriate retinotopic areas, we found MR increases at the representations of the attended target. Similar but smaller increases were found in V1. Decreased MR levels were found in the same cortical locations when attention was directed at retinotopically different locations. In and surrounding area MT+, MR increases were lateralized but not otherwise retinotopic. At the representation of eccentricities central to that of the attended targets, prominent MR decreases occurred during spatial attention.","ISSN":"0896-6273","note":"PMID: 9883733","journalAbbreviation":"Neuron","language":"eng","author":[{"family":"Tootell","given":"R. B."},{"family":"Hadjikhani","given":"N."},{"family":"Hall","given":"E. K."},{"family":"Marrett","given":"S."},{"family":"Vanduffel","given":"W."},{"family":"Vaughan","given":"J. T."},{"family":"Dale","given":"A. M."}],"issued":{"date-parts":[["1998",12]]}}},{"id":218,"uris":["http://zotero.org/groups/318634/items/46KPA7FT"],"uri":["http://zotero.org/groups/318634/items/46KPA7FT"],"itemData":{"id":218,"type":"article-journal","title":"Feature-based attentional modulations in the absence of direct visual stimulation","container-title":"Neuron","page":"301-312","volume":"55","issue":"2","source":"PubMed","abstract":"When faced with a crowded visual scene, observers must selectively attend to behaviorally relevant objects to avoid sensory overload. Often this selection process is guided by prior knowledge of a target-defining feature (e.g., the color red when looking for an apple), which enhances the firing rate of visual neurons that are selective for the attended feature. Here, we used functional magnetic resonance imaging and a pattern classification algorithm to predict the attentional state of human observers as they monitored a visual feature (one of two directions of motion). We find that feature-specific attention effects spread across the visual field-even to regions of the scene that do not contain a stimulus. This spread of feature-based attention to empty regions of space may facilitate the perception of behaviorally relevant stimuli by increasing sensitivity to attended features at all locations in the visual field.","DOI":"10.1016/j.neuron.2007.06.015","ISSN":"0896-6273","note":"PMID: 17640530","journalAbbreviation":"Neuron","language":"eng","author":[{"family":"Serences","given":"John T."},{"family":"Boynton","given":"Geoffrey M."}],"issued":{"date-parts":[["2007",7,19]]}}},{"id":48,"uris":["http://zotero.org/groups/318634/items/J687G4R4"],"uri":["http://zotero.org/groups/318634/items/J687G4R4"],"itemData":{"id":48,"type":"article-journal","title":"The coding of color, motion, and their conjunction in the human visual cortex","container-title":"Current biology: CB","page":"177-183","volume":"19","issue":"3","source":"PubMed","abstract":"BACKGROUND: Color and motion serve as the prime examples of segregated processing in the visual brain, giving rise to the question how color-motion conjunctions are represented. This problem is also known as the \"binding problem.\"\nRESULTS: Human volunteers viewed visual displays containing colored dots rotating around the center. The dots could be red or green and rotate clockwise or counterclockwise, leading to four possible stimulus displays. Superimposed pairs of such stimuli provided two additional displays, each containing both colors and both directions of motion but differing in their feature conjunctions. We applied multivariate classifiers to voxel-activation patterns obtained while subjects viewed such displays. Our analyses confirm the presence of directional-motion information across visual cortex and provide evidence of hue coding in all early visual areas except V5/MT(+). Within each cortical area, information on color and motion appeared to be coded in distinct sets of voxels. Furthermore, our results demonstrate the explicit representation of feature conjunctions in the primary visual cortex and beyond.\nCONCLUSIONS: The results show that conjunctions can be decoded from spatial activation patterns already in V1, indicating an explicit coding of conjunctions at early stages of visual processing. Our findings raise the possibility that the solution of what has been taken as the prime example of the binding problem engages neural mechanisms as early as V1.","DOI":"10.1016/j.cub.2008.12.050","ISSN":"1879-0445","note":"PMID: 19185496","journalAbbreviation":"Curr. Biol.","language":"eng","author":[{"family":"Seymour","given":"Kiley"},{"family":"Clifford","given":"Colin W. G."},{"family":"Logothetis","given":"Nikos K."},{"family":"Bartels","given":"Andreas"}],"issued":{"date-parts":[["2009",2,10]]}}},{"id":230,"uris":["http://zotero.org/groups/318634/items/JVCLYXC6"],"uri":["http://zotero.org/groups/318634/items/JVCLYXC6"],"itemData":{"id":230,"type":"article-journal","title":"Coding and binding of color and form in visual cortex","container-title":"Cerebral Cortex (New York, N.Y.: 1991)","page":"1946-1954","volume":"20","issue":"8","source":"PubMed","abstract":"The processing of color and form is largely segregated within the visual brain. But there is also evidence to suggest that these features are coded in combination early in visual processing. Here, we combined high-resolution functional magnetic resonance imaging (fMRI) together with multivariate pattern classification to examine where in the visual cortex specific color form \"conjunctions\" are represented. Human subjects viewed visual displays containing colored spiral patterns. The spiral patterns could be red or green, and oriented either clockwise or counterclockwise, leading to 4 possible stimulus configurations. Two additional displays combined 2 of the above single color-form pairings, leading to double conjunctions. We applied linear classifiers to voxel activation patterns obtained while subjects viewed such displays. Our findings not only show that color and form information is coded across retinotopically defined visual areas, but also that the 2 double-conjunction stimuli can be distinguished. The voxels most informative about conjunctions were distinct from those most informative about color or form alone. Our results indicate that conjunctions of form and color may be coded by separate functional units as early as primary visual cortex. The results of this study have implications for theories concerning the segregation and binding of color and form information.","DOI":"10.1093/cercor/bhp265","ISSN":"1460-2199","note":"PMID: 20019147","journalAbbreviation":"Cereb. Cortex","language":"eng","author":[{"family":"Seymour","given":"Kiley"},{"family":"Clifford","given":"Colin W. G."},{"family":"Logothetis","given":"Nikos K."},{"family":"Bartels","given":"Andreas"}],"issued":{"date-parts":[["2010",8]]}}},{"id":126,"uris":["http://zotero.org/groups/318634/items/Z3DC3RRC"],"uri":["http://zotero.org/groups/318634/items/Z3DC3RRC"],"itemData":{"id":126,"type":"article-journal","title":"The effects of visuospatial attention measured across visual cortex using source-imaged, steady-state EEG","container-title":"Journal of Vision","page":"1-17","volume":"10","issue":"14","abstract":"How does attention alter neural responses? Decades of electrophysiological measurements in non-human primates as well as human EEG and fMRI studies have shown that spatial attention modulates firing rates across the visual cortex, but the computations that drive this process are still unclear. Further, while it is well known that attention affects perception, we have only a limited understanding of the link between attentionally driven changes in neural firing rates and subject performance. Here we used a novel human neuroimaging method to measure the effect of spatial attention on neural responses in V1, hMT+, hV4, and the intraparietal sulcus (IPS). Attention altered signals in different ways across the visual cortex: areas V1, hMT+, and IPS exhibited primarily response gain changes while hV4 showed contrast gain modulation. Signals in V1, hMT+, and IPS correlated with contrast detection performance suggesting that behavior can be predicted by population-level signals as early as striate cortex.","DOI":"10.1167/10.14.39","ISSN":"1534-7362 (Electronic) 1534-7362 (Linking)","language":"eng","author":[{"family":"Lauritzen","given":"T Z"},{"family":"Ales","given":"J M"},{"family":"Wade","given":"A R"}],"issued":{"date-parts":[["2010"]]}}},{"id":123,"uris":["http://zotero.org/groups/318634/items/9BJZM9LR"],"uri":["http://zotero.org/groups/318634/items/9BJZM9LR"],"itemData":{"id":123,"type":"article-journal","title":"Attention selects informative neural populations in human V1","container-title":"Journal of Neuroscience","page":"16379–16390","volume":"32","issue":"46","source":"Google Scholar","author":[{"family":"Verghese","given":"Preeti"},{"family":"Kim","given":"Yee-Joon"},{"family":"Wade","given":"Alex R."}],"issued":{"date-parts":[["2012"]]}}}],"schema":"https://github.com/citation-style-language/schema/raw/master/csl-citation.json"}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(Lauritzen et al., 2010; Serences &amp; Boynton, 2007; Seymour et al., 2009, 2010; Tootell et al., 1998; Verghese et al., 2012)</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r w:rsidR="005347E1" w:rsidRPr="005347E1">
        <w:rPr>
          <w:rFonts w:ascii="Arial" w:hAnsi="Arial" w:cs="Arial"/>
          <w:color w:val="0D0D0D" w:themeColor="text1" w:themeTint="F2"/>
        </w:rPr>
        <w:t xml:space="preserve">We believe these successful classifications reflect allocation of top-down attentional focus as </w:t>
      </w:r>
      <w:r w:rsidR="005347E1" w:rsidRPr="005347E1">
        <w:rPr>
          <w:rFonts w:ascii="Arial" w:hAnsi="Arial" w:cs="Arial"/>
          <w:color w:val="0D0D0D" w:themeColor="text1" w:themeTint="F2"/>
        </w:rPr>
        <w:lastRenderedPageBreak/>
        <w:t xml:space="preserve">oppose to bottom-up stimulus driven effects of selection history as suggested by </w:t>
      </w:r>
      <w:r w:rsidR="005347E1" w:rsidRPr="005347E1">
        <w:rPr>
          <w:rFonts w:ascii="Arial" w:hAnsi="Arial" w:cs="Arial"/>
          <w:color w:val="0D0D0D" w:themeColor="text1" w:themeTint="F2"/>
        </w:rPr>
        <w:fldChar w:fldCharType="begin"/>
      </w:r>
      <w:r w:rsidR="005347E1" w:rsidRPr="005347E1">
        <w:rPr>
          <w:rFonts w:ascii="Arial" w:hAnsi="Arial" w:cs="Arial"/>
          <w:color w:val="0D0D0D" w:themeColor="text1" w:themeTint="F2"/>
        </w:rPr>
        <w:instrText xml:space="preserve"> ADDIN ZOTERO_ITEM CSL_CITATION {"citationID":"50QE969B","properties":{"formattedCitation":"(Awh et al., 2012; Theeuwes, 2013)","plainCitation":"(Awh et al., 2012; Theeuwes, 2013)","noteIndex":0},"citationItems":[{"id":555,"uris":["http://zotero.org/groups/318634/items/6SM7BTIX"],"uri":["http://zotero.org/groups/318634/items/6SM7BTIX"],"itemData":{"id":555,"type":"article-journal","title":"Top-down versus bottom-up attentional control: a failed theoretical dichotomy","container-title":"Trends in Cognitive Sciences","page":"437-443","volume":"16","issue":"8","source":"PubMed","abstract":"Prominent models of attentional control assert a dichotomy between top-down and bottom-up control, with the former determined by current selection goals and the latter determined by physical salience. This theoretical dichotomy, however, fails to explain a growing number of cases in which neither current goals nor physical salience can account for strong selection biases. For example, equally salient stimuli associated with reward can capture attention, even when this contradicts current selection goals. Thus, although 'top-down' sources of bias are sometimes defined as those that are not due to physical salience, this conception conflates distinct--and sometimes contradictory--sources of selection bias. We describe an alternative framework, in which past selection history is integrated with current goals and physical salience to shape an integrated priority map.","DOI":"10.1016/j.tics.2012.06.010","ISSN":"1879-307X","note":"PMID: 22795563\nPMCID: PMC3426354","title-short":"Top-down versus bottom-up attentional control","journalAbbreviation":"Trends Cogn. Sci. (Regul. Ed.)","language":"eng","author":[{"family":"Awh","given":"Edward"},{"family":"Belopolsky","given":"Artem V."},{"family":"Theeuwes","given":"Jan"}],"issued":{"date-parts":[["2012",8]]}}},{"id":557,"uris":["http://zotero.org/groups/318634/items/HL3YZC3I"],"uri":["http://zotero.org/groups/318634/items/HL3YZC3I"],"itemData":{"id":557,"type":"article-journal","title":"Feature-based attention: it is all bottom-up priming","container-title":"Philosophical Transactions of the Royal Society of London. Series B, Biological Sciences","page":"20130055","volume":"368","issue":"1628","source":"PubMed","abstract":"Feature-based attention (FBA) enhances the representation of image characteristics throughout the visual field, a mechanism that is particularly useful when searching for a specific stimulus feature. Even though most theories of visual search implicitly or explicitly assume that FBA is under top-down control, we argue that the role of top-down processing in FBA may be limited. Our review of the literature indicates that all behavioural and neuro-imaging studies investigating FBA suffer from the shortcoming that they cannot rule out an effect of priming. The mere attending to a feature enhances the mandatory processing of that feature across the visual field, an effect that is likely to occur in an automatic, bottom-up way. Studies that have investigated the feasibility of FBA by means of cueing paradigms suggest that the role of top-down processing in FBA is limited (e.g. prepare for red). Instead, the actual processing of the stimulus is needed to cause the mandatory tuning of responses throughout the visual field. We conclude that it is likely that all FBA effects reported previously are the result of bottom-up priming.","DOI":"10.1098/rstb.2013.0055","ISSN":"1471-2970","note":"PMID: 24018717\nPMCID: PMC3758198","title-short":"Feature-based attention","journalAbbreviation":"Philos. Trans. R. Soc. Lond., B, Biol. Sci.","language":"eng","author":[{"family":"Theeuwes","given":"Jan"}],"issued":{"date-parts":[["2013",10,19]]}}}],"schema":"https://github.com/citation-style-language/schema/raw/master/csl-citation.json"} </w:instrText>
      </w:r>
      <w:r w:rsidR="005347E1" w:rsidRPr="005347E1">
        <w:rPr>
          <w:rFonts w:ascii="Arial" w:hAnsi="Arial" w:cs="Arial"/>
          <w:color w:val="0D0D0D" w:themeColor="text1" w:themeTint="F2"/>
        </w:rPr>
        <w:fldChar w:fldCharType="separate"/>
      </w:r>
      <w:r w:rsidR="005347E1" w:rsidRPr="005347E1">
        <w:rPr>
          <w:rFonts w:ascii="Arial" w:hAnsi="Arial" w:cs="Arial"/>
          <w:color w:val="0D0D0D" w:themeColor="text1" w:themeTint="F2"/>
        </w:rPr>
        <w:t>Awh et al., (2012) and Theeuwes, (2013)</w:t>
      </w:r>
      <w:r w:rsidR="005347E1" w:rsidRPr="005347E1">
        <w:rPr>
          <w:rFonts w:ascii="Arial" w:hAnsi="Arial" w:cs="Arial"/>
          <w:color w:val="0D0D0D" w:themeColor="text1" w:themeTint="F2"/>
        </w:rPr>
        <w:fldChar w:fldCharType="end"/>
      </w:r>
      <w:r w:rsidR="005347E1" w:rsidRPr="005347E1">
        <w:rPr>
          <w:rFonts w:ascii="Arial" w:hAnsi="Arial" w:cs="Arial"/>
          <w:color w:val="0D0D0D" w:themeColor="text1" w:themeTint="F2"/>
        </w:rPr>
        <w:t xml:space="preserve">. </w:t>
      </w:r>
      <w:r w:rsidR="00D44AC6">
        <w:rPr>
          <w:rFonts w:ascii="Arial" w:hAnsi="Arial" w:cs="Arial"/>
          <w:color w:val="0D0D0D" w:themeColor="text1" w:themeTint="F2"/>
        </w:rPr>
        <w:t>In</w:t>
      </w:r>
      <w:r w:rsidR="005347E1" w:rsidRPr="005347E1">
        <w:rPr>
          <w:rFonts w:ascii="Arial" w:hAnsi="Arial" w:cs="Arial"/>
          <w:color w:val="0D0D0D" w:themeColor="text1" w:themeTint="F2"/>
        </w:rPr>
        <w:t xml:space="preserve"> our experiment, each attentional block was repeated the same amount of times, with the presentation order randomised across runs and participants. Additionally, changes in stimulus feature were randomised (</w:t>
      </w:r>
      <w:r w:rsidR="00D44AC6">
        <w:rPr>
          <w:rFonts w:ascii="Arial" w:hAnsi="Arial" w:cs="Arial"/>
          <w:color w:val="0D0D0D" w:themeColor="text1" w:themeTint="F2"/>
        </w:rPr>
        <w:t>in</w:t>
      </w:r>
      <w:r w:rsidR="005347E1" w:rsidRPr="005347E1">
        <w:rPr>
          <w:rFonts w:ascii="Arial" w:hAnsi="Arial" w:cs="Arial"/>
          <w:color w:val="0D0D0D" w:themeColor="text1" w:themeTint="F2"/>
        </w:rPr>
        <w:t xml:space="preserve"> their 20% probability of change occurrence) hence stimulus information and task difficulty remained constant across blocks. Therefore, we believe our findings reflect voluntary allocation of top-down attentional focus, rather than any by-product of differential priming, arousal or selection history across conditions.</w:t>
      </w:r>
    </w:p>
    <w:p w14:paraId="122DF2B0" w14:textId="77777777" w:rsidR="00FA62F7" w:rsidRPr="00225AB0" w:rsidRDefault="00FA62F7" w:rsidP="00FA62F7">
      <w:pPr>
        <w:spacing w:line="480" w:lineRule="auto"/>
        <w:rPr>
          <w:rFonts w:ascii="Arial" w:hAnsi="Arial" w:cs="Arial"/>
          <w:color w:val="0D0D0D" w:themeColor="text1" w:themeTint="F2"/>
        </w:rPr>
      </w:pPr>
    </w:p>
    <w:p w14:paraId="07C4044F" w14:textId="57A3822A"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The more selective patterns of decoding performance </w:t>
      </w:r>
      <w:r w:rsidR="00D44AC6">
        <w:rPr>
          <w:rFonts w:ascii="Arial" w:hAnsi="Arial" w:cs="Arial"/>
          <w:color w:val="0D0D0D" w:themeColor="text1" w:themeTint="F2"/>
        </w:rPr>
        <w:t>in</w:t>
      </w:r>
      <w:r w:rsidRPr="00225AB0">
        <w:rPr>
          <w:rFonts w:ascii="Arial" w:hAnsi="Arial" w:cs="Arial"/>
          <w:color w:val="0D0D0D" w:themeColor="text1" w:themeTint="F2"/>
        </w:rPr>
        <w:t xml:space="preserve"> V3A/B and hV4 suggest that attentional exerts feature-specific effects along both the dorsal and ventral pathways of visual cortex. It clearly demonstrates that both streams possess neuronal populations with feature-specific preferences and that these neuronal populations are responsive to attentional demands (or else inherit attentionally-driven modulations from earlier in the visual pathway). </w:t>
      </w:r>
      <w:r w:rsidR="00D44AC6">
        <w:rPr>
          <w:rFonts w:ascii="Arial" w:hAnsi="Arial" w:cs="Arial"/>
          <w:color w:val="0D0D0D" w:themeColor="text1" w:themeTint="F2"/>
        </w:rPr>
        <w:t>In</w:t>
      </w:r>
      <w:r w:rsidRPr="00225AB0">
        <w:rPr>
          <w:rFonts w:ascii="Arial" w:hAnsi="Arial" w:cs="Arial"/>
          <w:color w:val="0D0D0D" w:themeColor="text1" w:themeTint="F2"/>
        </w:rPr>
        <w:t xml:space="preserve"> LO-1, successful classification was evident across all pairwise combinations of visual task, but LO-2 exhibited successful decoding of orientation versus contrast and orientation versus shape only, partial support for the original conclusions of previous literature, with differing patterns of activation across orientation and shape attention </w:t>
      </w:r>
      <w:r w:rsidRPr="00225AB0">
        <w:rPr>
          <w:rFonts w:ascii="Arial" w:hAnsi="Arial" w:cs="Arial"/>
          <w:color w:val="0D0D0D" w:themeColor="text1" w:themeTint="F2"/>
        </w:rPr>
        <w:fldChar w:fldCharType="begin"/>
      </w:r>
      <w:r w:rsidR="00995B3D">
        <w:rPr>
          <w:rFonts w:ascii="Arial" w:hAnsi="Arial" w:cs="Arial"/>
          <w:color w:val="0D0D0D" w:themeColor="text1" w:themeTint="F2"/>
        </w:rPr>
        <w:instrText xml:space="preserve"> ADDIN ZOTERO_ITEM CSL_CITATION {"citationID":"F9q9a15P","properties":{"formattedCitation":"(Larsson &amp; Heeger, 2006; Silson et al., 2013a)","plainCitation":"(Larsson &amp; Heeger, 2006; Silson et al., 2013a)","dontUpdate":true,"noteIndex":0},"citationItems":[{"id":239,"uris":["http://zotero.org/groups/318634/items/7JCMQW5A"],"uri":["http://zotero.org/groups/318634/items/7JCMQW5A"],"itemData":{"id":239,"type":"article-journal","title":"Two retinotopic visual areas in human lateral occipital cortex","container-title":"Journal of Neuroscience","page":"13128–13142","volume":"26","issue":"51","source":"Google Scholar","author":[{"family":"Larsson","given":"Jonas"},{"family":"Heeger","given":"David J."}],"issued":{"date-parts":[["2006"]]}}},{"id":229,"uris":["http://zotero.org/groups/318634/items/W2MJSXD2"],"uri":["http://zotero.org/groups/318634/items/W2MJSXD2"],"itemData":{"id":229,"type":"article-journal","title":"Specialized and independent processing of orientation and shape in visual field maps LO1 and LO2","container-title":"Nature Neuroscience","page":"267","volume":"16","issue":"3","source":"Google Scholar","author":[{"family":"Silson","given":"Edward H."},{"family":"McKeefry","given":"Declan J."},{"family":"Rodgers","given":"Jessica"},{"family":"Gouws","given":"Andre D."},{"family":"Hymers","given":"Mark"},{"family":"Morland","given":"Antony B."}],"issued":{"date-parts":[["2013"]]}}}],"schema":"https://github.com/citation-style-language/schema/raw/master/csl-citation.json"}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(Larsson &amp; Heeger, 2006; Silson et al., 2013)</w:t>
      </w:r>
      <w:r w:rsidRPr="00225AB0">
        <w:rPr>
          <w:rFonts w:ascii="Arial" w:hAnsi="Arial" w:cs="Arial"/>
          <w:color w:val="0D0D0D" w:themeColor="text1" w:themeTint="F2"/>
        </w:rPr>
        <w:fldChar w:fldCharType="end"/>
      </w:r>
      <w:r w:rsidRPr="00225AB0">
        <w:rPr>
          <w:rFonts w:ascii="Arial" w:hAnsi="Arial" w:cs="Arial"/>
          <w:color w:val="0D0D0D" w:themeColor="text1" w:themeTint="F2"/>
        </w:rPr>
        <w:t>.</w:t>
      </w:r>
      <w:r w:rsidR="00C60648">
        <w:rPr>
          <w:rFonts w:ascii="Arial" w:hAnsi="Arial" w:cs="Arial"/>
          <w:color w:val="0D0D0D" w:themeColor="text1" w:themeTint="F2"/>
        </w:rPr>
        <w:t xml:space="preserve"> </w:t>
      </w:r>
      <w:r w:rsidR="00D44AC6">
        <w:rPr>
          <w:rFonts w:ascii="Arial" w:hAnsi="Arial" w:cs="Arial"/>
          <w:color w:val="0D0D0D" w:themeColor="text1" w:themeTint="F2"/>
        </w:rPr>
        <w:t>In</w:t>
      </w:r>
      <w:r w:rsidR="00C60648" w:rsidRPr="00C60648">
        <w:rPr>
          <w:rFonts w:ascii="Arial" w:hAnsi="Arial" w:cs="Arial"/>
          <w:color w:val="0D0D0D" w:themeColor="text1" w:themeTint="F2"/>
        </w:rPr>
        <w:t xml:space="preserve"> A1, we demonstrate no classification accuracies significantly greater than would be expected by chance, adding strength to our findings and demonstrating the specificity of our results </w:t>
      </w:r>
      <w:r w:rsidR="00D44AC6">
        <w:rPr>
          <w:rFonts w:ascii="Arial" w:hAnsi="Arial" w:cs="Arial"/>
          <w:color w:val="0D0D0D" w:themeColor="text1" w:themeTint="F2"/>
        </w:rPr>
        <w:t>in</w:t>
      </w:r>
      <w:r w:rsidR="00C60648" w:rsidRPr="00C60648">
        <w:rPr>
          <w:rFonts w:ascii="Arial" w:hAnsi="Arial" w:cs="Arial"/>
          <w:color w:val="0D0D0D" w:themeColor="text1" w:themeTint="F2"/>
        </w:rPr>
        <w:t xml:space="preserve"> the visual cortex. </w:t>
      </w:r>
      <w:r w:rsidRPr="00225AB0">
        <w:rPr>
          <w:rFonts w:ascii="Arial" w:hAnsi="Arial" w:cs="Arial"/>
          <w:color w:val="0D0D0D" w:themeColor="text1" w:themeTint="F2"/>
        </w:rPr>
        <w:t xml:space="preserve">Overall, these findings extend those from more traditional univariate analyses, and indicates the brain is able to up- and down- weight activity of </w:t>
      </w:r>
      <w:r w:rsidRPr="00225AB0">
        <w:rPr>
          <w:rFonts w:ascii="Arial" w:hAnsi="Arial" w:cs="Arial"/>
          <w:color w:val="0D0D0D" w:themeColor="text1" w:themeTint="F2"/>
        </w:rPr>
        <w:lastRenderedPageBreak/>
        <w:t xml:space="preserve">specific neurons </w:t>
      </w:r>
      <w:r w:rsidR="00D44AC6">
        <w:rPr>
          <w:rFonts w:ascii="Arial" w:hAnsi="Arial" w:cs="Arial"/>
          <w:color w:val="0D0D0D" w:themeColor="text1" w:themeTint="F2"/>
        </w:rPr>
        <w:t>in</w:t>
      </w:r>
      <w:r w:rsidRPr="00225AB0">
        <w:rPr>
          <w:rFonts w:ascii="Arial" w:hAnsi="Arial" w:cs="Arial"/>
          <w:color w:val="0D0D0D" w:themeColor="text1" w:themeTint="F2"/>
        </w:rPr>
        <w:t xml:space="preserve"> particular visual regions in a task-dependent manner, in agreement with many previous reports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{"citationID":"muXyoTHA","properties":{"formattedCitation":"(Treue and Mart\\uc0\\u237{}nez Trujillo, 1999; Martinez-Trujillo and Treue, 2004; Serences and Boynton, 2007; Serences et al., 2009; Verghese et al., 2012)","plainCitation":"(Treue and Martínez Trujillo, 1999; Martinez-Trujillo and Treue, 2004; Serences and Boynton, 2007; Serences et al., 2009; Verghese et al., 2012)","dontUpdate":true,"noteIndex":0},"citationItems":[{"id":202,"uris":["http://zotero.org/groups/318634/items/SMQ59N9K"],"uri":["http://zotero.org/groups/318634/items/SMQ59N9K"],"itemData":{"id":202,"type":"article-journal","title":"Feature-based attention influences motion processing gain in macaque visual cortex","container-title":"Nature","page":"575-579","volume":"399","issue":"6736","source":"PubMed","abstract":"Changes in neural responses based on spatial attention have been demonstrated in many areas of visual cortex, indicating that the neural correlate of attention is an enhanced response to stimuli at an attended location and reduced responses to stimuli elsewhere. Here we demonstrate non-spatial, feature-based attentional modulation of visual motion processing, and show that attention increases the gain of direction-selective neurons in visual cortical area MT without narrowing the direction-tuning curves. These findings place important constraints on the neural mechanisms of attention and we propose to unify the effects of spatial location, direction of motion and other features of the attended stimuli in a 'feature similarity gain model' of attention.","DOI":"10.1038/21176","ISSN":"0028-0836","note":"PMID: 10376597","journalAbbreviation":"Nature","language":"eng","author":[{"family":"Treue","given":"S."},{"family":"Martínez Trujillo","given":"J. C."}],"issued":{"date-parts":[["1999",6,10]]}}},{"id":101,"uris":["http://zotero.org/groups/318634/items/E8YBNNSR"],"uri":["http://zotero.org/groups/318634/items/E8YBNNSR"],"itemData":{"id":101,"type":"article-journal","title":"Feature-based attention increases the selectivity of population responses in primate visual cortex","container-title":"Current biology: CB","page":"744-751","volume":"14","issue":"9","source":"PubMed","abstract":"BACKGROUND: Attending to the spatial location or to nonspatial features of visual stimuli can modulate neuronal responses in primate visual cortex. The modulation by spatial attention changes the gain of sensory neurons and strengthens the representation of attended locations without changing neuronal selectivities such as directionality, i.e., the ratio of responses to preferred and anti-preferred directions of motion. Whether feature-based attention acts in a similar manner is unknown.\nRESULTS: To clarify this issue, we recorded the responses of 135 direction-selective neurons in the middle temporal area (MT) of two macaques to an unattended moving random dot pattern (the distractor) positioned inside a neuron's receptive field while the animals attended to a second moving pattern positioned in the opposite hemifield. Responses to different directions of the distractor were modulated by the same factor (approximately 12%) as long as the attended direction remained unchanged. On the other hand, systematically changing the attended direction from a neuron's preferred to its anti-preferred direction caused a systematic change of the attentional modulation from an enhancement to a suppression, increasing directionality by about 20%.\nCONCLUSIONS: The results show that (1) feature-based attention exerts a multiplicative modulation upon neuronal responses and that the strength of this modulation depends on the similarity between the attended feature and the cell's preferred feature, in line with the feature-similarity gain model, and (2) at the level of the neuronal population, feature-based attention increases the selectivity for attended features by increasing the responses of neurons preferring this feature value while decreasing responses of neurons tuned to the opposite feature value.","DOI":"10.1016/j.cub.2004.04.028","ISSN":"0960-9822","note":"PMID: 15120065","journalAbbreviation":"Curr. Biol.","language":"eng","author":[{"family":"Martinez-Trujillo","given":"Julio C."},{"family":"Treue","given":"Stefan"}],"issued":{"date-parts":[["2004",5,4]]}}},{"id":218,"uris":["http://zotero.org/groups/318634/items/46KPA7FT"],"uri":["http://zotero.org/groups/318634/items/46KPA7FT"],"itemData":{"id":218,"type":"article-journal","title":"Feature-based attentional modulations in the absence of direct visual stimulation","container-title":"Neuron","page":"301-312","volume":"55","issue":"2","source":"PubMed","abstract":"When faced with a crowded visual scene, observers must selectively attend to behaviorally relevant objects to avoid sensory overload. Often this selection process is guided by prior knowledge of a target-defining feature (e.g., the color red when looking for an apple), which enhances the firing rate of visual neurons that are selective for the attended feature. Here, we used functional magnetic resonance imaging and a pattern classification algorithm to predict the attentional state of human observers as they monitored a visual feature (one of two directions of motion). We find that feature-specific attention effects spread across the visual field-even to regions of the scene that do not contain a stimulus. This spread of feature-based attention to empty regions of space may facilitate the perception of behaviorally relevant stimuli by increasing sensitivity to attended features at all locations in the visual field.","DOI":"10.1016/j.neuron.2007.06.015","ISSN":"0896-6273","note":"PMID: 17640530","journalAbbreviation":"Neuron","language":"eng","author":[{"family":"Serences","given":"John T."},{"family":"Boynton","given":"Geoffrey M."}],"issued":{"date-parts":[["2007",7,19]]}}},{"id":100,"uris":["http://zotero.org/groups/318634/items/WFK5FCIL"],"uri":["http://zotero.org/groups/318634/items/WFK5FCIL"],"itemData":{"id":100,"type":"article-journal","title":"Estimating the influence of attention on population codes in human visual cortex using voxel-based tuning functions","container-title":"NeuroImage","page":"223-231","volume":"44","issue":"1","source":"PubMed","abstract":"In order to form stable perceptual representations, populations of sensory neurons must pool their output to overcome physiological noise; selective attention is then required to ensure that behaviorally relevant stimuli dominate these 'population codes' to gain access to awareness. However, the role that attention plays in shaping population response profiles has received little direct investigation, in part because most traditional neurophysiological methods cannot simultaneously assess changes in activity across large populations of sensory neurons. Based on single-unit recording studies, current theories hold that attending to a relevant feature sharpens the population response profile and improves the signal-to-noise ratio of the resulting perceptual representation. Here, we test this hypothesis using fMRI and an analysis approach that is able to estimate the influence of feature-based attentional modulations on population response profiles. We first derive orientation tuning functions for single voxels in human primary visual cortex, and then use these tuning functions to sort voxels according to their orientation preference. We then show that selective attention systematically biases population response profiles so that behaviorally relevant stimuli are represented in the visual system at the expense of behaviorally irrelevant stimuli. Collectively, the present results (1) provide a new approach for precisely characterizing feature-selective responses in human sensory cortices and (2) reveal how behavioral goals can shape population response profiles to support the formation of coherent perceptual representations.","DOI":"10.1016/j.neuroimage.2008.07.043","ISSN":"1095-9572","note":"PMID: 18721888","journalAbbreviation":"Neuroimage","language":"eng","author":[{"family":"Serences","given":"John T."},{"family":"Saproo","given":"Sameer"},{"family":"Scolari","given":"Miranda"},{"family":"Ho","given":"Tiffany"},{"family":"Muftuler","given":"L. Tugan"}],"issued":{"date-parts":[["2009",1,1]]}}},{"id":123,"uris":["http://zotero.org/groups/318634/items/9BJZM9LR"],"uri":["http://zotero.org/groups/318634/items/9BJZM9LR"],"itemData":{"id":123,"type":"article-journal","title":"Attention selects informative neural populations in human V1","container-title":"Journal of Neuroscience","page":"16379–16390","volume":"32","issue":"46","source":"Google Scholar","author":[{"family":"Verghese","given":"Preeti"},{"family":"Kim","given":"Yee-Joon"},{"family":"Wade","given":"Alex R."}],"issued":{"date-parts":[["2012"]]}}}],"schema":"https://github.com/citation-style-language/schema/raw/master/csl-citation.json"}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color w:val="000000"/>
          <w:lang w:val="en-US"/>
        </w:rPr>
        <w:t>Treue and Martínez Trujillo, 1999; Martinez-Trujillo and Treue, 2004; Serences and Boynton, 2007; Serences et al., 2009; Verghese et al., 2012)</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p>
    <w:p w14:paraId="05E61149" w14:textId="77777777" w:rsidR="00FA62F7" w:rsidRPr="00225AB0" w:rsidRDefault="00FA62F7" w:rsidP="00FA62F7">
      <w:pPr>
        <w:spacing w:line="480" w:lineRule="auto"/>
        <w:rPr>
          <w:rFonts w:ascii="Arial" w:hAnsi="Arial" w:cs="Arial"/>
          <w:color w:val="0D0D0D" w:themeColor="text1" w:themeTint="F2"/>
        </w:rPr>
      </w:pPr>
    </w:p>
    <w:p w14:paraId="5516AD02" w14:textId="138485F8" w:rsidR="00B03E8D" w:rsidRPr="00B03E8D" w:rsidRDefault="00B03E8D" w:rsidP="00B03E8D">
      <w:pPr>
        <w:spacing w:line="480" w:lineRule="auto"/>
        <w:rPr>
          <w:rFonts w:ascii="Arial" w:hAnsi="Arial" w:cs="Arial"/>
          <w:color w:val="0D0D0D" w:themeColor="text1" w:themeTint="F2"/>
        </w:rPr>
      </w:pPr>
      <w:r w:rsidRPr="00B03E8D">
        <w:rPr>
          <w:rFonts w:ascii="Arial" w:hAnsi="Arial" w:cs="Arial"/>
          <w:color w:val="0D0D0D" w:themeColor="text1" w:themeTint="F2"/>
        </w:rPr>
        <w:t xml:space="preserve">There is some debate in the literature about the origin of the information that drives fMRI multivariate analyses. Although the ability to decode at above chance rates from a visual area demonstrates that voxel activation patterns in that area depend on the experimental condition, the spatial scale of this change is important for interpreting the results. It has been shown that certain types of information are decoded from changes in voxel activity at a far coarser scale: In particular, researchers have demonstrated that grating orientation is encoded largely by retinotopically-driven, low spatial frequency patterns of response that switch from the vertical to the horizontal midline for vertical and horizontal gratings respectively </w:t>
      </w:r>
      <w:r w:rsidRPr="00B03E8D">
        <w:rPr>
          <w:rFonts w:ascii="Arial" w:hAnsi="Arial" w:cs="Arial"/>
          <w:color w:val="0D0D0D" w:themeColor="text1" w:themeTint="F2"/>
        </w:rPr>
        <w:fldChar w:fldCharType="begin"/>
      </w:r>
      <w:r w:rsidRPr="00B03E8D">
        <w:rPr>
          <w:rFonts w:ascii="Arial" w:hAnsi="Arial" w:cs="Arial"/>
          <w:color w:val="0D0D0D" w:themeColor="text1" w:themeTint="F2"/>
        </w:rPr>
        <w:instrText xml:space="preserve"> ADDIN ZOTERO_ITEM CSL_CITATION {"citationID":"4spEk51x","properties":{"formattedCitation":"(Freeman et al., 2011)","plainCitation":"(Freeman et al., 2011)","noteIndex":0},"citationItems":[{"id":247,"uris":["http://zotero.org/groups/318634/items/87VKZCHG"],"uri":["http://zotero.org/groups/318634/items/87VKZCHG"],"itemData":{"id":247,"type":"article-journal","title":"Orientation decoding depends on maps, not columns","container-title":"Journal of Neuroscience","page":"4792–4804","volume":"31","issue":"13","source":"Google Scholar","author":[{"family":"Freeman","given":"Jeremy"},{"family":"Brouwer","given":"Gijs Joost"},{"family":"Heeger","given":"David J."},{"family":"Merriam","given":"Elisha P."}],"issued":{"date-parts":[["2011"]]}}}],"schema":"https://github.com/citation-style-language/schema/raw/master/csl-citation.json"} </w:instrText>
      </w:r>
      <w:r w:rsidRPr="00B03E8D">
        <w:rPr>
          <w:rFonts w:ascii="Arial" w:hAnsi="Arial" w:cs="Arial"/>
          <w:color w:val="0D0D0D" w:themeColor="text1" w:themeTint="F2"/>
        </w:rPr>
        <w:fldChar w:fldCharType="separate"/>
      </w:r>
      <w:r w:rsidRPr="00B03E8D">
        <w:rPr>
          <w:rFonts w:ascii="Arial" w:hAnsi="Arial" w:cs="Arial"/>
          <w:color w:val="0D0D0D" w:themeColor="text1" w:themeTint="F2"/>
        </w:rPr>
        <w:t>(Freeman et al., 2011)</w:t>
      </w:r>
      <w:r w:rsidRPr="00B03E8D">
        <w:rPr>
          <w:rFonts w:ascii="Arial" w:hAnsi="Arial" w:cs="Arial"/>
          <w:color w:val="0D0D0D" w:themeColor="text1" w:themeTint="F2"/>
        </w:rPr>
        <w:fldChar w:fldCharType="end"/>
      </w:r>
      <w:r w:rsidRPr="00B03E8D">
        <w:rPr>
          <w:rFonts w:ascii="Arial" w:hAnsi="Arial" w:cs="Arial"/>
          <w:color w:val="0D0D0D" w:themeColor="text1" w:themeTint="F2"/>
        </w:rPr>
        <w:t xml:space="preserve">. Yet, if changes occur at the level of individual voxels, they may be driven by neuronal modulations at the level of columnar-scale tuning maps: for example, it has been hypothesised that the ability to decode local radial biases from primary visual cortex is driven by selective activation of orientation-selective neurons </w:t>
      </w:r>
      <w:r w:rsidR="00D44AC6">
        <w:rPr>
          <w:rFonts w:ascii="Arial" w:hAnsi="Arial" w:cs="Arial"/>
          <w:color w:val="0D0D0D" w:themeColor="text1" w:themeTint="F2"/>
        </w:rPr>
        <w:t>in</w:t>
      </w:r>
      <w:r w:rsidRPr="00B03E8D">
        <w:rPr>
          <w:rFonts w:ascii="Arial" w:hAnsi="Arial" w:cs="Arial"/>
          <w:color w:val="0D0D0D" w:themeColor="text1" w:themeTint="F2"/>
        </w:rPr>
        <w:t xml:space="preserve"> the orientation pinwheels </w:t>
      </w:r>
      <w:r w:rsidRPr="00B03E8D">
        <w:rPr>
          <w:rFonts w:ascii="Arial" w:hAnsi="Arial" w:cs="Arial"/>
          <w:color w:val="0D0D0D" w:themeColor="text1" w:themeTint="F2"/>
        </w:rPr>
        <w:fldChar w:fldCharType="begin"/>
      </w:r>
      <w:r w:rsidRPr="00B03E8D">
        <w:rPr>
          <w:rFonts w:ascii="Arial" w:hAnsi="Arial" w:cs="Arial"/>
          <w:color w:val="0D0D0D" w:themeColor="text1" w:themeTint="F2"/>
        </w:rPr>
        <w:instrText xml:space="preserve"> ADDIN ZOTERO_ITEM CSL_CITATION {"citationID":"g8wb3rx4","properties":{"formattedCitation":"(Mannion et al., 2009)","plainCitation":"(Mannion et al., 2009)","noteIndex":0},"citationItems":[{"id":99,"uris":["http://zotero.org/groups/318634/items/KGIFYJHF"],"uri":["http://zotero.org/groups/318634/items/KGIFYJHF"],"itemData":{"id":99,"type":"article-journal","title":"Discrimination of the local orientation structure of spiral Glass patterns early in human visual cortex","container-title":"NeuroImage","page":"511-515","volume":"46","issue":"2","source":"PubMed","abstract":"The local orientation structure of a visual image is fundamental to the perception of spatial form. Reports of reliable orientation-selective modulations in the pattern of fMRI activity have demonstrated the potential for investigating the representation of orientation in the human visual cortex. Orientation-selective voxel responses could arise from anisotropies in the preferred orientations of pooled neurons due to the random sampling of the cortical surface. However, it is unclear whether orientation-selective voxel responses reflect biases in the underlying distribution of neuronal orientation preference, such as the demonstrated over-representation of radial orientations (those collinear with fixation). Here, we investigated whether stimuli balanced in their radial components could evoke orientation-selective biases in voxel activity. We attempted to discriminate the sense of spiral Glass patterns (opening anti-clockwise or clockwise), in which the local orientation structure was defined by the placement of paired dots at an orientation offset from the radial. We found that information within the spatial pattern of fMRI responses in each of V1, V2, V3, and V3A/B allowed discrimination of the spiral sense with accuracies significantly above chance. This result demonstrates that orientation-selective voxel responses can arise without the influence of a radial bias. Furthermore, the finding indicates the importance of the early visual areas in representing the local orientation structure for the perception of complex spatial form.","ISSN":"1095-9572","note":"PMID: 19385017","journalAbbreviation":"Neuroimage","language":"eng","author":[{"family":"Mannion","given":"D. J."},{"family":"McDonald","given":"J. S."},{"family":"Clifford","given":"C. W. G."}],"issued":{"date-parts":[["2009",6]]}}}],"schema":"https://github.com/citation-style-language/schema/raw/master/csl-citation.json"} </w:instrText>
      </w:r>
      <w:r w:rsidRPr="00B03E8D">
        <w:rPr>
          <w:rFonts w:ascii="Arial" w:hAnsi="Arial" w:cs="Arial"/>
          <w:color w:val="0D0D0D" w:themeColor="text1" w:themeTint="F2"/>
        </w:rPr>
        <w:fldChar w:fldCharType="separate"/>
      </w:r>
      <w:r w:rsidRPr="00B03E8D">
        <w:rPr>
          <w:rFonts w:ascii="Arial" w:hAnsi="Arial" w:cs="Arial"/>
          <w:color w:val="0D0D0D" w:themeColor="text1" w:themeTint="F2"/>
        </w:rPr>
        <w:t>(Mannion et al., 2009)</w:t>
      </w:r>
      <w:r w:rsidRPr="00B03E8D">
        <w:rPr>
          <w:rFonts w:ascii="Arial" w:hAnsi="Arial" w:cs="Arial"/>
          <w:color w:val="0D0D0D" w:themeColor="text1" w:themeTint="F2"/>
        </w:rPr>
        <w:fldChar w:fldCharType="end"/>
      </w:r>
      <w:r w:rsidRPr="00B03E8D">
        <w:rPr>
          <w:rFonts w:ascii="Arial" w:hAnsi="Arial" w:cs="Arial"/>
          <w:color w:val="0D0D0D" w:themeColor="text1" w:themeTint="F2"/>
        </w:rPr>
        <w:t xml:space="preserve">. Additionally, recent work has provided evidence for the complexity of voxel tuning profiles </w:t>
      </w:r>
      <w:r w:rsidR="00D44AC6">
        <w:rPr>
          <w:rFonts w:ascii="Arial" w:hAnsi="Arial" w:cs="Arial"/>
          <w:color w:val="0D0D0D" w:themeColor="text1" w:themeTint="F2"/>
        </w:rPr>
        <w:t>in</w:t>
      </w:r>
      <w:r w:rsidRPr="00B03E8D">
        <w:rPr>
          <w:rFonts w:ascii="Arial" w:hAnsi="Arial" w:cs="Arial"/>
          <w:color w:val="0D0D0D" w:themeColor="text1" w:themeTint="F2"/>
        </w:rPr>
        <w:t xml:space="preserve"> the early visual cortex and demonstrated that experimental task design can influence the conclusion that radial bias is the only source of orientation information </w:t>
      </w:r>
      <w:r w:rsidR="00D44AC6">
        <w:rPr>
          <w:rFonts w:ascii="Arial" w:hAnsi="Arial" w:cs="Arial"/>
          <w:color w:val="0D0D0D" w:themeColor="text1" w:themeTint="F2"/>
        </w:rPr>
        <w:t>in</w:t>
      </w:r>
      <w:r w:rsidRPr="00B03E8D">
        <w:rPr>
          <w:rFonts w:ascii="Arial" w:hAnsi="Arial" w:cs="Arial"/>
          <w:color w:val="0D0D0D" w:themeColor="text1" w:themeTint="F2"/>
        </w:rPr>
        <w:t xml:space="preserve"> fMRI signals, for example </w:t>
      </w:r>
      <w:r w:rsidRPr="00B03E8D">
        <w:rPr>
          <w:rFonts w:ascii="Arial" w:hAnsi="Arial" w:cs="Arial"/>
          <w:color w:val="0D0D0D" w:themeColor="text1" w:themeTint="F2"/>
        </w:rPr>
        <w:fldChar w:fldCharType="begin"/>
      </w:r>
      <w:r w:rsidRPr="00B03E8D">
        <w:rPr>
          <w:rFonts w:ascii="Arial" w:hAnsi="Arial" w:cs="Arial"/>
          <w:color w:val="0D0D0D" w:themeColor="text1" w:themeTint="F2"/>
        </w:rPr>
        <w:instrText xml:space="preserve"> ADDIN ZOTERO_ITEM CSL_CITATION {"citationID":"0lFNemFQ","properties":{"formattedCitation":"(Pratte et al., 2016)","plainCitation":"(Pratte et al., 2016)","noteIndex":0},"citationItems":[{"id":550,"uris":["http://zotero.org/groups/318634/items/WMLX2GBP"],"uri":["http://zotero.org/groups/318634/items/WMLX2GBP"],"itemData":{"id":550,"type":"article-journal","title":"Radial bias is not necessary for orientation decoding","container-title":"NeuroImage","page":"23-33","volume":"127","source":"PubMed","abstract":"Multivariate pattern analysis can be used to decode the orientation of a viewed grating from fMRI signals in early visual areas. Although some studies have reported identifying multiple sources of the orientation information that make decoding possible, a recent study argued that orientation decoding is only possible because of a single source: a coarse-scale retinotopically organized preference for radial orientations. Here we aim to resolve these discrepant findings. We show that there were subtle, but critical, experimental design choices that led to the erroneous conclusion that a radial bias is the only source of orientation information in fMRI signals. In particular, we show that the reliance on a fast temporal-encoding paradigm for spatial mapping can be problematic, as effects of space and time become conflated and lead to distorted estimates of a voxel's orientation or retinotopic preference. When we implement minor changes to the temporal paradigm or to the visual stimulus itself, by slowing the periodic rotation of the stimulus or by smoothing its contrast-energy profile, we find significant evidence of orientation information that does not originate from radial bias. In an additional block-paradigm experiment where space and time were not conflated, we apply a formal model comparison approach and find that many voxels exhibit more complex tuning properties than predicted by radial bias alone or in combination with other known coarse-scale biases. Our findings support the conclusion that radial bias is not necessary for orientation decoding. In addition, our study highlights potential limitations of using temporal phase-encoded fMRI designs for characterizing voxel tuning properties.","DOI":"10.1016/j.neuroimage.2015.11.066","ISSN":"1095-9572","note":"PMID: 26666900\nPMCID: PMC4755790","journalAbbreviation":"Neuroimage","language":"eng","author":[{"family":"Pratte","given":"Michael S."},{"family":"Sy","given":"Jocelyn L."},{"family":"Swisher","given":"Jascha D."},{"family":"Tong","given":"Frank"}],"issued":{"date-parts":[["2016",2,15]]}}}],"schema":"https://github.com/citation-style-language/schema/raw/master/csl-citation.json"} </w:instrText>
      </w:r>
      <w:r w:rsidRPr="00B03E8D">
        <w:rPr>
          <w:rFonts w:ascii="Arial" w:hAnsi="Arial" w:cs="Arial"/>
          <w:color w:val="0D0D0D" w:themeColor="text1" w:themeTint="F2"/>
        </w:rPr>
        <w:fldChar w:fldCharType="separate"/>
      </w:r>
      <w:r w:rsidRPr="00B03E8D">
        <w:rPr>
          <w:rFonts w:ascii="Arial" w:hAnsi="Arial" w:cs="Arial"/>
          <w:color w:val="0D0D0D" w:themeColor="text1" w:themeTint="F2"/>
        </w:rPr>
        <w:t>(Pratte et al., 2016)</w:t>
      </w:r>
      <w:r w:rsidRPr="00B03E8D">
        <w:rPr>
          <w:rFonts w:ascii="Arial" w:hAnsi="Arial" w:cs="Arial"/>
          <w:color w:val="0D0D0D" w:themeColor="text1" w:themeTint="F2"/>
        </w:rPr>
        <w:fldChar w:fldCharType="end"/>
      </w:r>
      <w:r w:rsidRPr="00B03E8D">
        <w:rPr>
          <w:rFonts w:ascii="Arial" w:hAnsi="Arial" w:cs="Arial"/>
          <w:color w:val="0D0D0D" w:themeColor="text1" w:themeTint="F2"/>
        </w:rPr>
        <w:t xml:space="preserve">. Hence, global areal maps are unlikely to fully account for the </w:t>
      </w:r>
      <w:r w:rsidRPr="00B03E8D">
        <w:rPr>
          <w:rFonts w:ascii="Arial" w:hAnsi="Arial" w:cs="Arial"/>
          <w:color w:val="0D0D0D" w:themeColor="text1" w:themeTint="F2"/>
        </w:rPr>
        <w:lastRenderedPageBreak/>
        <w:t xml:space="preserve">ability to decode orientation signals </w:t>
      </w:r>
      <w:r w:rsidR="00D44AC6">
        <w:rPr>
          <w:rFonts w:ascii="Arial" w:hAnsi="Arial" w:cs="Arial"/>
          <w:color w:val="0D0D0D" w:themeColor="text1" w:themeTint="F2"/>
        </w:rPr>
        <w:t>in</w:t>
      </w:r>
      <w:r w:rsidRPr="00B03E8D">
        <w:rPr>
          <w:rFonts w:ascii="Arial" w:hAnsi="Arial" w:cs="Arial"/>
          <w:color w:val="0D0D0D" w:themeColor="text1" w:themeTint="F2"/>
        </w:rPr>
        <w:t xml:space="preserve"> early visual cortex (e.g. </w:t>
      </w:r>
      <w:r w:rsidRPr="00B03E8D">
        <w:rPr>
          <w:rFonts w:ascii="Arial" w:hAnsi="Arial" w:cs="Arial"/>
          <w:color w:val="0D0D0D" w:themeColor="text1" w:themeTint="F2"/>
        </w:rPr>
        <w:fldChar w:fldCharType="begin"/>
      </w:r>
      <w:r w:rsidR="00B05635">
        <w:rPr>
          <w:rFonts w:ascii="Arial" w:hAnsi="Arial" w:cs="Arial"/>
          <w:color w:val="0D0D0D" w:themeColor="text1" w:themeTint="F2"/>
        </w:rPr>
        <w:instrText xml:space="preserve"> ADDIN ZOTERO_ITEM CSL_CITATION {"citationID":"U1RysyEX","properties":{"formattedCitation":"(Alink et al., 2017)","plainCitation":"(Alink et al., 2017)","dontUpdate":true,"noteIndex":0},"citationItems":[{"id":552,"uris":["http://zotero.org/groups/318634/items/8UGK7FS9"],"uri":["http://zotero.org/groups/318634/items/8UGK7FS9"],"itemData":{"id":552,"type":"article-journal","title":"Local opposite orientation preferences in V1: fMRI sensitivity to fine-grained pattern information","container-title":"Scientific Reports","page":"7128","volume":"7","issue":"1","source":"PubMed","abstract":"The orientation of a visual grating can be decoded from human primary visual cortex (V1) using functional magnetic resonance imaging (fMRI) at conventional resolutions (2-3 mm voxel width, 3T scanner). It is unclear to what extent this information originates from different spatial scales of neuronal selectivity, ranging from orientation columns to global areal maps. According to the global-areal-map account, fMRI orientation decoding relies exclusively on fMRI voxels in V1 exhibiting a radial or vertical preference. Here we show, by contrast, that 2-mm isotropic voxels in a small patch of V1 within a quarterfield representation exhibit reliable opposite selectivities. Sets of voxels with opposite selectivities are locally intermingled and each set can support orientation decoding. This indicates that global areal maps cannot fully account for orientation information in fMRI and demonstrates that fMRI also reflects fine-grained patterns of neuronal selectivity.","DOI":"10.1038/s41598-017-07036-8","ISSN":"2045-2322","note":"PMID: 28769042\nPMCID: PMC5540976","title-short":"Local opposite orientation preferences in V1","journalAbbreviation":"Sci Rep","language":"eng","author":[{"family":"Alink","given":"Arjen"},{"family":"Walther","given":"Alexander"},{"family":"Krugliak","given":"Alexandra"},{"family":"Kriegeskorte","given":"Nikolaus"}],"issued":{"date-parts":[["2017"]],"season":"02"}}}],"schema":"https://github.com/citation-style-language/schema/raw/master/csl-citation.json"} </w:instrText>
      </w:r>
      <w:r w:rsidRPr="00B03E8D">
        <w:rPr>
          <w:rFonts w:ascii="Arial" w:hAnsi="Arial" w:cs="Arial"/>
          <w:color w:val="0D0D0D" w:themeColor="text1" w:themeTint="F2"/>
        </w:rPr>
        <w:fldChar w:fldCharType="separate"/>
      </w:r>
      <w:r w:rsidRPr="00B03E8D">
        <w:rPr>
          <w:rFonts w:ascii="Arial" w:hAnsi="Arial" w:cs="Arial"/>
          <w:color w:val="0D0D0D" w:themeColor="text1" w:themeTint="F2"/>
        </w:rPr>
        <w:t>Alink et al., 2017)</w:t>
      </w:r>
      <w:r w:rsidRPr="00B03E8D">
        <w:rPr>
          <w:rFonts w:ascii="Arial" w:hAnsi="Arial" w:cs="Arial"/>
          <w:color w:val="0D0D0D" w:themeColor="text1" w:themeTint="F2"/>
        </w:rPr>
        <w:fldChar w:fldCharType="end"/>
      </w:r>
      <w:r w:rsidRPr="00B03E8D">
        <w:rPr>
          <w:rFonts w:ascii="Arial" w:hAnsi="Arial" w:cs="Arial"/>
          <w:color w:val="0D0D0D" w:themeColor="text1" w:themeTint="F2"/>
        </w:rPr>
        <w:t xml:space="preserve">. </w:t>
      </w:r>
    </w:p>
    <w:p w14:paraId="20C6D154" w14:textId="77777777" w:rsidR="00FA62F7" w:rsidRPr="00225AB0" w:rsidRDefault="00FA62F7" w:rsidP="00FA62F7">
      <w:pPr>
        <w:spacing w:line="480" w:lineRule="auto"/>
        <w:rPr>
          <w:rFonts w:ascii="Arial" w:hAnsi="Arial" w:cs="Arial"/>
          <w:color w:val="0D0D0D" w:themeColor="text1" w:themeTint="F2"/>
        </w:rPr>
      </w:pPr>
    </w:p>
    <w:p w14:paraId="06593E30" w14:textId="45EF985C"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Although the stimuli used here varied only slightly in their physical characteristics, it is possible that MVPA performance was still driven by gross changes in attentional focus. Subjects might have adopted a spatially-driven strategy to solve different featural tasks – focusing on the very top of the radial frequency pattern, for example, to detect orientation changes. In Figure.4 we demonstrate that decoding does </w:t>
      </w:r>
      <w:r w:rsidRPr="00225AB0">
        <w:rPr>
          <w:rFonts w:ascii="Arial" w:hAnsi="Arial" w:cs="Arial"/>
          <w:i/>
          <w:color w:val="0D0D0D" w:themeColor="text1" w:themeTint="F2"/>
        </w:rPr>
        <w:t>not</w:t>
      </w:r>
      <w:r w:rsidRPr="00225AB0">
        <w:rPr>
          <w:rFonts w:ascii="Arial" w:hAnsi="Arial" w:cs="Arial"/>
          <w:color w:val="0D0D0D" w:themeColor="text1" w:themeTint="F2"/>
        </w:rPr>
        <w:t xml:space="preserve"> depend solely on large-scale biases in sensitivity </w:t>
      </w:r>
      <w:r w:rsidR="00D44AC6">
        <w:rPr>
          <w:rFonts w:ascii="Arial" w:hAnsi="Arial" w:cs="Arial"/>
          <w:color w:val="0D0D0D" w:themeColor="text1" w:themeTint="F2"/>
        </w:rPr>
        <w:t>in</w:t>
      </w:r>
      <w:r w:rsidRPr="00225AB0">
        <w:rPr>
          <w:rFonts w:ascii="Arial" w:hAnsi="Arial" w:cs="Arial"/>
          <w:color w:val="0D0D0D" w:themeColor="text1" w:themeTint="F2"/>
        </w:rPr>
        <w:t xml:space="preserve"> visual areas. We find no evidence of a consistent spatial bias in the voxels used for different types of decoding. Although in principle, it is possible that such biases exist on a subject-by-subject (or even trial to trial) basis, our data are consistent with the hypothesis that attention selects sub-populations of relatively fine-scaled maps </w:t>
      </w:r>
      <w:r w:rsidR="00D44AC6">
        <w:rPr>
          <w:rFonts w:ascii="Arial" w:hAnsi="Arial" w:cs="Arial"/>
          <w:color w:val="0D0D0D" w:themeColor="text1" w:themeTint="F2"/>
        </w:rPr>
        <w:t>in</w:t>
      </w:r>
      <w:r w:rsidRPr="00225AB0">
        <w:rPr>
          <w:rFonts w:ascii="Arial" w:hAnsi="Arial" w:cs="Arial"/>
          <w:color w:val="0D0D0D" w:themeColor="text1" w:themeTint="F2"/>
        </w:rPr>
        <w:t xml:space="preserve"> individual visual areas. We suggest multivariate pattern classification shown here is derived from changes in activation at a relatively fine scale although we do not rule out coarser-scale topographically-determined responses that may vary across subjects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{"citationID":"7tOM5McB","properties":{"formattedCitation":"(Kamitani and Sawahata, 2010; Op de Beeck, 2010; Freeman et al., 2011)","plainCitation":"(Kamitani and Sawahata, 2010; Op de Beeck, 2010; Freeman et al., 2011)","dontUpdate":true,"noteIndex":0},"citationItems":[{"id":46,"uris":["http://zotero.org/groups/318634/items/4BZ895WQ"],"uri":["http://zotero.org/groups/318634/items/4BZ895WQ"],"itemData":{"id":46,"type":"article-journal","title":"Spatial smoothing hurts localization but not information: pitfalls for brain mappers","container-title":"NeuroImage","page":"1949-1952","volume":"49","issue":"3","source":"PubMed","abstract":"Op de Beeck (Op de Beeck, H., 2009. Against hyperacuity in brain reading: Spatial smoothing does not hurt multivariate fMRI analyses? Neuroimage) challenges the possibility of extracting information from subvoxel representations via random biases associated with voxel sampling, the hypothesis proposed by Kamitani and Tong (Kamitani, Y., Tong, F., 2005. Decoding the visual and subjective contents of the human brain. Nat. Neurosci. 8, 679-685). Here, we show that his results provide no evidence against the possibility, being consistent with both of the subvoxel and supravoxel representation models. Classification of spatially smoothed fMRI data is not an effective means to probe into information sources for multivoxel decoding, since smoothing does not hurt the information contents of multivoxel patterns. We point out the danger of interpreting multivoxel decoding results based on intuitions guided by the conventional brain mapping paradigm.","DOI":"10.1016/j.neuroimage.2009.06.040","ISSN":"1095-9572","note":"PMID: 19559797","title-short":"Spatial smoothing hurts localization but not information","journalAbbreviation":"Neuroimage","language":"eng","author":[{"family":"Kamitani","given":"Yukiyasu"},{"family":"Sawahata","given":"Yasuhito"}],"issued":{"date-parts":[["2010",2,1]]}}},{"id":47,"uris":["http://zotero.org/groups/318634/items/496HM7IG"],"uri":["http://zotero.org/groups/318634/items/496HM7IG"],"itemData":{"id":47,"type":"article-journal","title":"Against hyperacuity in brain reading: spatial smoothing does not hurt multivariate fMRI analyses?","container-title":"NeuroImage","page":"1943-1948","volume":"49","issue":"3","source":"PubMed","abstract":"Recently it has been suggested that multivariate analyses of functional magnetic resonance imaging (fMRI) data can detect high spatial frequency components of cortical signals, like sub-millimeter columns. This 'hyperacuity' seems to be at odds with the common assumption that the fMRI signal has a low spatial resolution due to the spatial spread of the underlying hemodynamic events. To resolve this apparent contradiction, I checked a very straightforward prediction of the hyperacuity hypothesis: if multivariate analyses are picking up a small-scale functional organization, then it can be expected that smoothing will be detrimental to the ability to decode these fine-scale spatial signals. I tested this prediction using data obtained with two paradigms to which multivariate techniques have been applied previously, including the decoding of grating orientation from the pattern of activity in primary visual cortex. It was found that smoothing does not decrease the sensitivity of multivariate analyses. Further simulations in which the scale of cortical organization was known indicate that this effect of smoothing contradicts the idea that the patterns detected with multivariate techniques reflect a fine-scale spatial organization.","DOI":"10.1016/j.neuroimage.2009.02.047","ISSN":"1095-9572","note":"PMID: 19285144","title-short":"Against hyperacuity in brain reading","journalAbbreviation":"Neuroimage","language":"eng","author":[{"family":"Op de Beeck","given":"Hans P."}],"issued":{"date-parts":[["2010",2,1]]}}},{"id":247,"uris":["http://zotero.org/groups/318634/items/87VKZCHG"],"uri":["http://zotero.org/groups/318634/items/87VKZCHG"],"itemData":{"id":247,"type":"article-journal","title":"Orientation decoding depends on maps, not columns","container-title":"Journal of Neuroscience","page":"4792–4804","volume":"31","issue":"13","source":"Google Scholar","author":[{"family":"Freeman","given":"Jeremy"},{"family":"Brouwer","given":"Gijs Joost"},{"family":"Heeger","given":"David J."},{"family":"Merriam","given":"Elisha P."}],"issued":{"date-parts":[["2011"]]}}}],"schema":"https://github.com/citation-style-language/schema/raw/master/csl-citation.json"}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noProof/>
          <w:color w:val="0D0D0D" w:themeColor="text1" w:themeTint="F2"/>
        </w:rPr>
        <w:t>Kamitani and Sawahata, 2010; Op de Beeck, 2010; Freeman et al., 2011)</w:t>
      </w:r>
      <w:r w:rsidRPr="00225AB0">
        <w:rPr>
          <w:rFonts w:ascii="Arial" w:hAnsi="Arial" w:cs="Arial"/>
          <w:color w:val="0D0D0D" w:themeColor="text1" w:themeTint="F2"/>
        </w:rPr>
        <w:fldChar w:fldCharType="end"/>
      </w:r>
      <w:r w:rsidRPr="00225AB0">
        <w:rPr>
          <w:rFonts w:ascii="Arial" w:hAnsi="Arial" w:cs="Arial"/>
          <w:color w:val="0D0D0D" w:themeColor="text1" w:themeTint="F2"/>
        </w:rPr>
        <w:t>.</w:t>
      </w:r>
    </w:p>
    <w:p w14:paraId="28B37388" w14:textId="77777777" w:rsidR="00FA62F7" w:rsidRPr="00225AB0" w:rsidRDefault="00FA62F7" w:rsidP="00FA62F7">
      <w:pPr>
        <w:spacing w:line="480" w:lineRule="auto"/>
        <w:rPr>
          <w:rFonts w:ascii="Arial" w:hAnsi="Arial" w:cs="Arial"/>
          <w:color w:val="0D0D0D" w:themeColor="text1" w:themeTint="F2"/>
        </w:rPr>
      </w:pPr>
    </w:p>
    <w:p w14:paraId="0763F5D0" w14:textId="17C5E494" w:rsidR="00FA62F7" w:rsidRPr="00225AB0"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Our connectivity results show that visual processing is a dynamic, interactive process that is dependent on the task. While attentional effects have been noted in fMRI research since the late 1990s </w:t>
      </w:r>
      <w:r w:rsidRPr="00225AB0">
        <w:rPr>
          <w:rFonts w:ascii="Arial" w:hAnsi="Arial" w:cs="Arial"/>
          <w:color w:val="0D0D0D" w:themeColor="text1" w:themeTint="F2"/>
        </w:rPr>
        <w:fldChar w:fldCharType="begin"/>
      </w:r>
      <w:r w:rsidR="00321AB9">
        <w:rPr>
          <w:rFonts w:ascii="Arial" w:hAnsi="Arial" w:cs="Arial"/>
          <w:color w:val="0D0D0D" w:themeColor="text1" w:themeTint="F2"/>
        </w:rPr>
        <w:instrText xml:space="preserve"> ADDIN ZOTERO_ITEM CSL_CITATION {"citationID":"RRfGNttW","properties":{"formattedCitation":"(Kastner, De Weerd, Desimone, &amp; Ungerleider, 1998; R. B. Tootell et al., 1998)","plainCitation":"(Kastner, De Weerd, Desimone, &amp; Ungerleider, 1998; R. B. Tootell et al., 1998)","dontUpdate":true,"noteIndex":0},"citationItems":[{"id":204,"uris":["http://zotero.org/groups/318634/items/PTXMVPBM"],"uri":["http://zotero.org/groups/318634/items/PTXMVPBM"],"itemData":{"id":204,"type":"article-journal","title":"Mechanisms of directed attention in the human extrastriate cortex as revealed by functional MRI","container-title":"Science (New York, N.Y.)","page":"108-111","volume":"282","issue":"5386","source":"PubMed","abstract":"A typical scene contains many different objects, but the capacity of the visual system to process multiple stimuli at a given time is limited. Thus, attentional mechanisms are required to select relevant objects from among the many objects competing for visual processing. Evidence from functional magnetic resonance imaging (MRI) in humans showed that when multiple stimuli are present simultaneously in the visual field, their cortical representations within the object recognition pathway interact in a competitive, suppressive fashion. Directing attention to one of the stimuli counteracts the suppressive influence of nearby stimuli. This mechanism may serve to filter out irrelevant information in cluttered visual scenes.","ISSN":"0036-8075","note":"PMID: 9756472","journalAbbreviation":"Science","language":"eng","author":[{"family":"Kastner","given":"S."},{"family":"De Weerd","given":"P."},{"family":"Desimone","given":"R."},{"family":"Ungerleider","given":"L. G."}],"issued":{"date-parts":[["1998",10,2]]}}},{"id":"9GXKD9A2/d6xEhJos","uris":["http://zotero.org/groups/318634/items/5HKL6X3M"],"uri":["http://zotero.org/groups/318634/items/5HKL6X3M"],"itemData":{"id":609,"type":"article-journal","title":"The retinotopy of visual spatial attention","container-title":"Neuron","page":"1409-1422","volume":"21","issue":"6","source":"PubMed","abstract":"We used high-field (3T) functional magnetic resonance imaging (fMRI) to label cortical activity due to visual spatial attention, relative to flattened cortical maps of the retinotopy and visual areas from the same human subjects. In the main task, the visual stimulus remained constant, but covert visual spatial attention was varied in both location and load. In each of the extrastriate retinotopic areas, we found MR increases at the representations of the attended target. Similar but smaller increases were found in V1. Decreased MR levels were found in the same cortical locations when attention was directed at retinotopically different locations. In and surrounding area MT+, MR increases were lateralized but not otherwise retinotopic. At the representation of eccentricities central to that of the attended targets, prominent MR decreases occurred during spatial attention.","ISSN":"0896-6273","note":"PMID: 9883733","journalAbbreviation":"Neuron","language":"eng","author":[{"family":"Tootell","given":"R. B."},{"family":"Hadjikhani","given":"N."},{"family":"Hall","given":"E. K."},{"family":"Marrett","given":"S."},{"family":"Vanduffel","given":"W."},{"family":"Vaughan","given":"J. T."},{"family":"Dale","given":"A. M."}],"issued":{"date-parts":[["1998",12]]}}}],"schema":"https://github.com/citation-style-language/schema/raw/master/csl-citation.json"} </w:instrText>
      </w:r>
      <w:r w:rsidRPr="00225AB0">
        <w:rPr>
          <w:rFonts w:ascii="Arial" w:hAnsi="Arial" w:cs="Arial"/>
          <w:color w:val="0D0D0D" w:themeColor="text1" w:themeTint="F2"/>
        </w:rPr>
        <w:fldChar w:fldCharType="separate"/>
      </w:r>
      <w:r w:rsidR="00967B1F" w:rsidRPr="00225AB0">
        <w:rPr>
          <w:rFonts w:ascii="Arial" w:hAnsi="Arial" w:cs="Arial"/>
        </w:rPr>
        <w:t>(Kastner, De Weerd, Desimone, &amp; Ungerleider, 1998; Tootell et al., 1998)</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investigating connectivity between regions of visual cortex as a function of task is a relatively novel approach.  </w:t>
      </w:r>
    </w:p>
    <w:p w14:paraId="20D9D207" w14:textId="77777777" w:rsidR="00FA62F7" w:rsidRPr="00225AB0" w:rsidRDefault="00FA62F7" w:rsidP="00FA62F7">
      <w:pPr>
        <w:spacing w:line="480" w:lineRule="auto"/>
        <w:rPr>
          <w:rFonts w:ascii="Arial" w:hAnsi="Arial" w:cs="Arial"/>
          <w:color w:val="0D0D0D" w:themeColor="text1" w:themeTint="F2"/>
        </w:rPr>
      </w:pPr>
    </w:p>
    <w:p w14:paraId="5F5B297D" w14:textId="2174D4B3" w:rsidR="00FA62F7"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lastRenderedPageBreak/>
        <w:t xml:space="preserve">Connectivity changes dramatically as a function of attentional state: Overall, we identify significantly greater average connectivity between ROIs during passive viewing than directed attentional focus. This enhanced overall connectivity during passive viewing is similar to the pattern of connectivity observed in the ‘default mode’ network (DMN) (e.g.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{"citationID":"3DkMjnYW","properties":{"formattedCitation":"(Gusnard and Raichle, 2001; Raichle et al., 2001; Christoff et al., 2009)","plainCitation":"(Gusnard and Raichle, 2001; Raichle et al., 2001; Christoff et al., 2009)","dontUpdate":true,"noteIndex":0},"citationItems":[{"id":244,"uris":["http://zotero.org/groups/318634/items/GNVG8JPI"],"uri":["http://zotero.org/groups/318634/items/GNVG8JPI"],"itemData":{"id":244,"type":"article-journal","title":"Searching for a baseline: functional imaging and the resting human brain","container-title":"Nature Reviews Neuroscience","page":"685","volume":"2","issue":"10","source":"Google Scholar","title-short":"Searching for a baseline","author":[{"family":"Gusnard","given":"Debra A."},{"family":"Raichle","given":"Marcus E."}],"issued":{"date-parts":[["2001"]]}}},{"id":125,"uris":["http://zotero.org/groups/318634/items/VPBPRIWQ"],"uri":["http://zotero.org/groups/318634/items/VPBPRIWQ"],"itemData":{"id":125,"type":"article-journal","title":"A default mode of brain function","container-title":"Proceedings of the National Academy of Sciences","page":"676–682","volume":"98","issue":"2","source":"Google Scholar","author":[{"family":"Raichle","given":"Marcus E."},{"family":"MacLeod","given":"Ann Mary"},{"family":"Snyder","given":"Abraham Z."},{"family":"Powers","given":"William J."},{"family":"Gusnard","given":"Debra A."},{"family":"Shulman","given":"Gordon L."}],"issued":{"date-parts":[["2001"]]}}},{"id":262,"uris":["http://zotero.org/groups/318634/items/ZCS4RGNI"],"uri":["http://zotero.org/groups/318634/items/ZCS4RGNI"],"itemData":{"id":262,"type":"article-journal","title":"Experience sampling during fMRI reveals default network and executive system contributions to mind wandering","container-title":"Proceedings of the National Academy of Sciences","page":"8719–8724","volume":"106","issue":"21","source":"Google Scholar","author":[{"family":"Christoff","given":"Kalina"},{"family":"Gordon","given":"Alan M."},{"family":"Smallwood","given":"Jonathan"},{"family":"Smith","given":"Rachelle"},{"family":"Schooler","given":"Jonathan W."}],"issued":{"date-parts":[["2009"]]}}}],"schema":"https://github.com/citation-style-language/schema/raw/master/csl-citation.json"}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noProof/>
          <w:color w:val="0D0D0D" w:themeColor="text1" w:themeTint="F2"/>
        </w:rPr>
        <w:t>Gusnard and Raichle, 2001; Raichle et al., 2001; Christoff et al., 2009)</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which is abolished by attentional task – and indeed the DMN includes parts of visual cortex. Once a visual task is provided, the brain switches to a more specific connectivity pattern and this pattern is task dependent. We identify different patterns of connectivity when subjects change attentional state for orientation, contrast and shape. </w:t>
      </w:r>
    </w:p>
    <w:p w14:paraId="1A10AE3F" w14:textId="0CF96ADA" w:rsidR="00910E83" w:rsidRDefault="00910E83" w:rsidP="00FA62F7">
      <w:pPr>
        <w:spacing w:line="480" w:lineRule="auto"/>
        <w:rPr>
          <w:rFonts w:ascii="Arial" w:hAnsi="Arial" w:cs="Arial"/>
          <w:color w:val="0D0D0D" w:themeColor="text1" w:themeTint="F2"/>
        </w:rPr>
      </w:pPr>
    </w:p>
    <w:p w14:paraId="5784D701" w14:textId="13B4DABD" w:rsidR="00910E83" w:rsidRPr="00225AB0" w:rsidRDefault="00910E83" w:rsidP="00FA62F7">
      <w:pPr>
        <w:spacing w:line="480" w:lineRule="auto"/>
        <w:rPr>
          <w:rFonts w:ascii="Arial" w:hAnsi="Arial" w:cs="Arial"/>
          <w:color w:val="0D0D0D" w:themeColor="text1" w:themeTint="F2"/>
        </w:rPr>
      </w:pPr>
      <w:r w:rsidRPr="00910E83">
        <w:rPr>
          <w:rFonts w:ascii="Arial" w:hAnsi="Arial" w:cs="Arial"/>
          <w:color w:val="0D0D0D" w:themeColor="text1" w:themeTint="F2"/>
        </w:rPr>
        <w:t>A previous fMRI experiment demonstrated that attention to a particular object category (faces or scenes) lead to strengthened coupling between category-selective visual areas (FFA and PPA respectively) and early visual cortex</w:t>
      </w:r>
      <w:r>
        <w:rPr>
          <w:rFonts w:ascii="Arial" w:hAnsi="Arial" w:cs="Arial"/>
          <w:color w:val="0D0D0D" w:themeColor="text1" w:themeTint="F2"/>
        </w:rPr>
        <w:t xml:space="preserve"> </w:t>
      </w:r>
      <w:r>
        <w:rPr>
          <w:rFonts w:ascii="Arial" w:hAnsi="Arial" w:cs="Arial"/>
          <w:color w:val="0D0D0D" w:themeColor="text1" w:themeTint="F2"/>
        </w:rPr>
        <w:fldChar w:fldCharType="begin"/>
      </w:r>
      <w:r>
        <w:rPr>
          <w:rFonts w:ascii="Arial" w:hAnsi="Arial" w:cs="Arial"/>
          <w:color w:val="0D0D0D" w:themeColor="text1" w:themeTint="F2"/>
        </w:rPr>
        <w:instrText xml:space="preserve"> ADDIN ZOTERO_ITEM CSL_CITATION {"citationID":"1yoLcIV5","properties":{"formattedCitation":"(Al-Aidroos, Said, &amp; Turk-Browne, 2012)","plainCitation":"(Al-Aidroos, Said, &amp; Turk-Browne, 2012)","noteIndex":0},"citationItems":[{"id":559,"uris":["http://zotero.org/groups/318634/items/RVS4Q2QA"],"uri":["http://zotero.org/groups/318634/items/RVS4Q2QA"],"itemData":{"id":559,"type":"article-journal","title":"Top-down attention switches coupling between low-level and high-level areas of human visual cortex","container-title":"Proceedings of the National Academy of Sciences of the United States of America","page":"14675-14680","volume":"109","issue":"36","source":"PubMed","abstract":"Top-down attention is an essential cognitive ability, allowing our finite brains to process complex natural environments by prioritizing information relevant to our goals. Previous evidence suggests that top-down attention operates by modulating stimulus-evoked neural activity within visual areas specialized for processing goal-relevant information. We show that top-down attention also has a separate influence on the background coupling between visual areas: adopting different attentional goals resulted in specific patterns of noise correlations in the visual system, whereby intrinsic activity in the same set of low-level areas was shared with only those high-level areas relevant to the current goal. These changes occurred independently of evoked activity, persisted without visual stimulation, and predicted behavioral success in deploying attention better than the modulation of evoked activity. This attentional switching of background connectivity suggests that attention may help synchronize different levels of the visual processing hierarchy, forming state-dependent functional pathways in human visual cortex to prioritize goal-relevant information.","DOI":"10.1073/pnas.1202095109","ISSN":"1091-6490","note":"PMID: 22908274\nPMCID: PMC3437858","journalAbbreviation":"Proc. Natl. Acad. Sci. U.S.A.","language":"eng","author":[{"family":"Al-Aidroos","given":"Naseem"},{"family":"Said","given":"Christopher P."},{"family":"Turk-Browne","given":"Nicholas B."}],"issued":{"date-parts":[["2012",9,4]]}}}],"schema":"https://github.com/citation-style-language/schema/raw/master/csl-citation.json"} </w:instrText>
      </w:r>
      <w:r>
        <w:rPr>
          <w:rFonts w:ascii="Arial" w:hAnsi="Arial" w:cs="Arial"/>
          <w:color w:val="0D0D0D" w:themeColor="text1" w:themeTint="F2"/>
        </w:rPr>
        <w:fldChar w:fldCharType="separate"/>
      </w:r>
      <w:r>
        <w:rPr>
          <w:rFonts w:ascii="Arial" w:hAnsi="Arial" w:cs="Arial"/>
          <w:noProof/>
          <w:color w:val="0D0D0D" w:themeColor="text1" w:themeTint="F2"/>
        </w:rPr>
        <w:t>(e.g. Al-Aidroos, Said, &amp; Turk-Browne, 2012)</w:t>
      </w:r>
      <w:r>
        <w:rPr>
          <w:rFonts w:ascii="Arial" w:hAnsi="Arial" w:cs="Arial"/>
          <w:color w:val="0D0D0D" w:themeColor="text1" w:themeTint="F2"/>
        </w:rPr>
        <w:fldChar w:fldCharType="end"/>
      </w:r>
      <w:r>
        <w:rPr>
          <w:rFonts w:ascii="Arial" w:hAnsi="Arial" w:cs="Arial"/>
          <w:color w:val="0D0D0D" w:themeColor="text1" w:themeTint="F2"/>
        </w:rPr>
        <w:t xml:space="preserve">. </w:t>
      </w:r>
      <w:r w:rsidRPr="00910E83">
        <w:rPr>
          <w:rFonts w:ascii="Arial" w:hAnsi="Arial" w:cs="Arial"/>
          <w:color w:val="0D0D0D" w:themeColor="text1" w:themeTint="F2"/>
        </w:rPr>
        <w:t xml:space="preserve">For example, they demonstrated attention to faces increased the proportion of intrinsic variance shared between regions of the occipital cortex and the FFA. In unpublished research, examining patterns of connectivity across the visual cortex during attention directed towards face stimuli, we also identify increased connectivity between visual areas in comparison </w:t>
      </w:r>
      <w:r w:rsidR="001A3A8E">
        <w:rPr>
          <w:rFonts w:ascii="Arial" w:hAnsi="Arial" w:cs="Arial"/>
          <w:color w:val="0D0D0D" w:themeColor="text1" w:themeTint="F2"/>
        </w:rPr>
        <w:t>with attention directed to low-level visual features</w:t>
      </w:r>
      <w:r w:rsidRPr="00910E83">
        <w:rPr>
          <w:rFonts w:ascii="Arial" w:hAnsi="Arial" w:cs="Arial"/>
          <w:color w:val="0D0D0D" w:themeColor="text1" w:themeTint="F2"/>
        </w:rPr>
        <w:t>. However, here, we identify</w:t>
      </w:r>
      <w:r w:rsidRPr="0031168D">
        <w:rPr>
          <w:rFonts w:ascii="Arial" w:hAnsi="Arial" w:cs="Arial"/>
          <w:i/>
          <w:iCs/>
          <w:color w:val="0D0D0D" w:themeColor="text1" w:themeTint="F2"/>
        </w:rPr>
        <w:t xml:space="preserve"> reduced</w:t>
      </w:r>
      <w:r w:rsidRPr="00910E83">
        <w:rPr>
          <w:rFonts w:ascii="Arial" w:hAnsi="Arial" w:cs="Arial"/>
          <w:color w:val="0D0D0D" w:themeColor="text1" w:themeTint="F2"/>
        </w:rPr>
        <w:t xml:space="preserve"> connectivity between visual areas during attention to low-level visual stimulus attributes in comparison to passive viewing. We believe this reflects the nature of our experimental design. </w:t>
      </w:r>
      <w:r w:rsidR="00E574E6">
        <w:rPr>
          <w:rFonts w:ascii="Arial" w:hAnsi="Arial" w:cs="Arial"/>
          <w:color w:val="0D0D0D" w:themeColor="text1" w:themeTint="F2"/>
        </w:rPr>
        <w:t>In this experiment, p</w:t>
      </w:r>
      <w:r w:rsidRPr="00910E83">
        <w:rPr>
          <w:rFonts w:ascii="Arial" w:hAnsi="Arial" w:cs="Arial"/>
          <w:color w:val="0D0D0D" w:themeColor="text1" w:themeTint="F2"/>
        </w:rPr>
        <w:t xml:space="preserve">articipants directed attention towards highly controlled low-level stimulus attributes in a challenging task, </w:t>
      </w:r>
      <w:r w:rsidRPr="00910E83">
        <w:rPr>
          <w:rFonts w:ascii="Arial" w:hAnsi="Arial" w:cs="Arial"/>
          <w:color w:val="0D0D0D" w:themeColor="text1" w:themeTint="F2"/>
        </w:rPr>
        <w:lastRenderedPageBreak/>
        <w:t>in comparison to attention directed towards relatively higher level, complex features (faces and scenes)</w:t>
      </w:r>
      <w:r w:rsidR="0031168D">
        <w:rPr>
          <w:rFonts w:ascii="Arial" w:hAnsi="Arial" w:cs="Arial"/>
          <w:color w:val="0D0D0D" w:themeColor="text1" w:themeTint="F2"/>
        </w:rPr>
        <w:t xml:space="preserve"> that are relatively independent of low-level cues</w:t>
      </w:r>
      <w:r w:rsidRPr="00910E83">
        <w:rPr>
          <w:rFonts w:ascii="Arial" w:hAnsi="Arial" w:cs="Arial"/>
          <w:color w:val="0D0D0D" w:themeColor="text1" w:themeTint="F2"/>
        </w:rPr>
        <w:t xml:space="preserve">. Here, we also have an explicit passive viewing condition for comparison. Therefore, it is likely we see differing effects of attention on functional connectivity </w:t>
      </w:r>
      <w:r w:rsidR="00D44AC6">
        <w:rPr>
          <w:rFonts w:ascii="Arial" w:hAnsi="Arial" w:cs="Arial"/>
          <w:color w:val="0D0D0D" w:themeColor="text1" w:themeTint="F2"/>
        </w:rPr>
        <w:t>in</w:t>
      </w:r>
      <w:r w:rsidRPr="00910E83">
        <w:rPr>
          <w:rFonts w:ascii="Arial" w:hAnsi="Arial" w:cs="Arial"/>
          <w:color w:val="0D0D0D" w:themeColor="text1" w:themeTint="F2"/>
        </w:rPr>
        <w:t xml:space="preserve"> the visual cortex as a reflection on the type of stimulus attended and the task employed. </w:t>
      </w:r>
    </w:p>
    <w:p w14:paraId="47537D2C" w14:textId="77777777" w:rsidR="00FA62F7" w:rsidRPr="00225AB0" w:rsidRDefault="00FA62F7" w:rsidP="00FA62F7">
      <w:pPr>
        <w:spacing w:line="480" w:lineRule="auto"/>
        <w:rPr>
          <w:rFonts w:ascii="Arial" w:hAnsi="Arial" w:cs="Arial"/>
          <w:color w:val="0D0D0D" w:themeColor="text1" w:themeTint="F2"/>
        </w:rPr>
      </w:pPr>
    </w:p>
    <w:p w14:paraId="68F5D5E0" w14:textId="1C384BEB" w:rsidR="00FA62F7"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We examined these different connectivity patterns across ROIs as a function of task and identify different patterns of connectivity between certain ROIs for different visual tasks. Intriguingly, V1 is </w:t>
      </w:r>
      <w:r w:rsidRPr="00225AB0">
        <w:rPr>
          <w:rFonts w:ascii="Arial" w:hAnsi="Arial" w:cs="Arial"/>
          <w:i/>
          <w:color w:val="0D0D0D" w:themeColor="text1" w:themeTint="F2"/>
        </w:rPr>
        <w:t xml:space="preserve">not </w:t>
      </w:r>
      <w:r w:rsidRPr="00225AB0">
        <w:rPr>
          <w:rFonts w:ascii="Arial" w:hAnsi="Arial" w:cs="Arial"/>
          <w:color w:val="0D0D0D" w:themeColor="text1" w:themeTint="F2"/>
        </w:rPr>
        <w:t xml:space="preserve">one of those areas; correlations between V1 and other areas do not appear to change significantly depending on visual task (although they are reduced overall compared to the passive condition). However, we identify a difference in correlation between attentional tasks in IPS0, supporting a wealth of previous literature indicating the role of IPS in the modulation of top-down attention (e.g.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{"citationID":"7Rlx2HOp","properties":{"formattedCitation":"(Di Russo et al., 2003; Bressler et al., 2008; Lauritzen et al., 2009; Buffalo et al., 2010)","plainCitation":"(Di Russo et al., 2003; Bressler et al., 2008; Lauritzen et al., 2009; Buffalo et al., 2010)","dontUpdate":true,"noteIndex":0},"citationItems":[{"id":271,"uris":["http://zotero.org/groups/318634/items/NK9JUBEV"],"uri":["http://zotero.org/groups/318634/items/NK9JUBEV"],"itemData":{"id":271,"type":"article-journal","title":"Source analysis of event-related cortical activity during visuo-spatial attention","container-title":"Cerebral Cortex (New York, N.Y.: 1991)","page":"486-499","volume":"13","issue":"5","source":"PubMed","abstract":"Recordings of event-related potentials (ERPs) were combined with structural and functional magnetic resonance imaging (fMRI) to study the spatio-temporal patterns of cortical activity that underlie visual-spatial attention. Small checkerboard stimuli were flashed in random order to the four quadrants of the visual field at a rapid rate while subjects attended to stimuli in one quadrant at a time. Attended stimuli elicited enhanced ERP components in the latency range 80-200 ms that were co-localized with fMRI activations in multiple extrastriate cortical regions. The earliest ERP component (C1 at 50-90 ms) was unaffected by attention and was localized by dipole modeling to calcarine cortex. A longer latency deflection in the 150-225 ms range that was accounted for by this same calcarine source, however, did show consistent modulation with attention. This late attention effect, like the C1, inverted in polarity for upper versus lower field stimuli, consistent with a neural generator in primary visual cortex (area V1). These results provide support to current hypotheses that spatial attention in humans is associated with delayed feedback to area V1 from higher extrastriate areas that may have the function of improving the salience of stimuli at attended locations.","ISSN":"1047-3211","note":"PMID: 12679295","journalAbbreviation":"Cereb. Cortex","language":"eng","author":[{"family":"Di Russo","given":"Francesco"},{"family":"Martínez","given":"Antigona"},{"family":"Hillyard","given":"Steven A."}],"issued":{"date-parts":[["2003",5]]}}},{"id":265,"uris":["http://zotero.org/groups/318634/items/9PBQYS5L"],"uri":["http://zotero.org/groups/318634/items/9PBQYS5L"],"itemData":{"id":265,"type":"article-journal","title":"Top-down control of human visual cortex by frontal and parietal cortex in anticipatory visual spatial attention","container-title":"The Journal of Neuroscience: The Official Journal of the Society for Neuroscience","page":"10056-10061","volume":"28","issue":"40","source":"PubMed","abstract":"Advance information about an impending stimulus facilitates its subsequent identification and ensuing behavioral responses. This facilitation is thought to be mediated by top-down control signals from frontal and parietal cortex that modulate sensory cortical activity. Here we show, using Granger causality measures on blood oxygen level-dependent time series, that frontal eye field (FEF) and intraparietal sulcus (IPS) activity predicts visual occipital activity before an expected visual stimulus. Top-down levels of Granger causality from FEF and IPS to visual occipital cortex were significantly greater than both bottom-up and mean cortex-wide levels in all individual subjects and the group. In the group and most individual subjects, Granger causality was significantly greater from FEF to IPS than from IPS to FEF, and significantly greater from both FEF and IPS to intermediate-tier than lower-tier ventral visual areas. Moreover, top-down Granger causality from right IPS to intermediate-tier areas was predictive of correct behavioral performance. These results suggest that FEF and IPS modulate visual occipital cortex, and FEF modulates IPS, in relation to visual attention. The current approach may prove advantageous for the investigation of interregional directed influences in other human brain functions.","DOI":"10.1523/JNEUROSCI.1776-08.2008","ISSN":"1529-2401","note":"PMID: 18829963\nPMCID: PMC2583122","journalAbbreviation":"J. Neurosci.","language":"eng","author":[{"family":"Bressler","given":"Steven L."},{"family":"Tang","given":"Wei"},{"family":"Sylvester","given":"Chad M."},{"family":"Shulman","given":"Gordon L."},{"family":"Corbetta","given":"Maurizio"}],"issued":{"date-parts":[["2008",10,1]]}}},{"id":250,"uris":["http://zotero.org/groups/318634/items/7NW7VQQ4"],"uri":["http://zotero.org/groups/318634/items/7NW7VQQ4"],"itemData":{"id":250,"type":"article-journal","title":"Top-down flow of visual spatial attention signals from parietal to occipital cortex","container-title":"Journal of Vision","page":"18.1-14","volume":"9","issue":"13","source":"PubMed","abstract":"Given the complexity of our visual environment, the ability to selectively attend to certain locations, while ignoring others, is crucial for reducing the amount of visual information to manageable levels and for optimizing behavioral performance. Sustained allocation of spatial attention causes persistent increases in functional magnetic resonance imaging (fMRI) signals in portions of early visual cortex that retinotopically represent the attended location, even in the absence of a visual stimulus. Here we test the hypothesis that topographically organized posterior parietal cortical areas IPS1 and IPS2 transmit top-down spatial attention signals to early visual cortex. We employed fMRI and coherency analysis to measure functional connectivity among cortical areas V1, V2, V3, V3A, V3B, V7, IPS1, and IPS2 during sustained visual spatial attention. Attention increased the magnitude of coherency for many pairs of areas in occipital and parietal cortex. Additionally, attention-related activity in IPS1 and IPS2 led activity in several visual cortical areas by a few hundred milliseconds. These results are consistent with transmission of top-down spatial attention signals from IPS1 and IPS2 to early visual cortex.","DOI":"10.1167/9.13.18","ISSN":"1534-7362","note":"PMID: 20055551\nPMCID: PMC2857595","journalAbbreviation":"J Vis","language":"eng","author":[{"family":"Lauritzen","given":"Thomas Z."},{"family":"D'Esposito","given":"Mark"},{"family":"Heeger","given":"David J."},{"family":"Silver","given":"Michael A."}],"issued":{"date-parts":[["2009",12,16]]}}},{"id":264,"uris":["http://zotero.org/groups/318634/items/NH8B5CQA"],"uri":["http://zotero.org/groups/318634/items/NH8B5CQA"],"itemData":{"id":264,"type":"article-journal","title":"A backward progression of attentional effects in the ventral stream","container-title":"Proceedings of the National Academy of Sciences of the United States of America","page":"361-365","volume":"107","issue":"1","source":"PubMed","abstract":"The visual processing of behaviorally relevant stimuli is enhanced through top-down attentional feedback. One possibility is that feedback targets early visual areas first and the attentional enhancement builds up at progressively later stages of the visual hierarchy. An alternative possibility is that the feedback targets the higher-order areas first and the attentional effects are communicated \"backward\" to early visual areas. Here, we compared the magnitude and latency of attentional enhancement of firing rates in V1, V2, and V4 in the same animals performing the same task. We found a reverse order of attentional effects, such that attentional enhancement was larger and earlier in V4 and smaller and later in V1, with intermediate results in V2. These results suggest that attentional mechanisms operate via feedback from higher-order areas to lower-order ones.","DOI":"10.1073/pnas.0907658106","ISSN":"1091-6490","note":"PMID: 20007766\nPMCID: PMC2806732","journalAbbreviation":"Proc. Natl. Acad. Sci. U.S.A.","language":"eng","author":[{"family":"Buffalo","given":"Elizabeth A."},{"family":"Fries","given":"Pascal"},{"family":"Landman","given":"Rogier"},{"family":"Liang","given":"Hualou"},{"family":"Desimone","given":"Robert"}],"issued":{"date-parts":[["2010",1,5]]}}}],"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noProof/>
          <w:color w:val="0D0D0D" w:themeColor="text1" w:themeTint="F2"/>
        </w:rPr>
        <w:t>Di Russo et al., 2003; Bressler et al., 2008; Lauritzen et al., 2009; Buffalo et al., 2010)</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Areas hV4, LO-1 and LO-2 have different patterns of connectivity across ROIs in directed attention. These findings indicate different fingerprints of attention across ROIs: not all ROIs and their connections are modulated the same way in all attentional tasks. Perhaps these regions selectively disengage or de-correlate with other networks during feature-specific directed attentional focus in order to process these features most effectively as previous cognitive flexibility research suggests (e.g.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{"citationID":"Vs0A7gzU","properties":{"formattedCitation":"(Spadone et al., 2015; Vatansever et al., 2016; Reineberg et al., 2018)","plainCitation":"(Spadone et al., 2015; Vatansever et al., 2016; Reineberg et al., 2018)","dontUpdate":true,"noteIndex":0},"citationItems":[{"id":210,"uris":["http://zotero.org/groups/318634/items/BKT428JT"],"uri":["http://zotero.org/groups/318634/items/BKT428JT"],"itemData":{"id":210,"type":"article-journal","title":"Dynamic reorganization of human resting-state networks during visuospatial attention","container-title":"Proceedings of the National Academy of Sciences of the United States of America","page":"8112-8117","volume":"112","issue":"26","source":"PubMed","abstract":"Fundamental problems in neuroscience today are understanding how patterns of ongoing spontaneous activity are modified by task performance and whether/how these intrinsic patterns influence task-evoked activation and behavior. We examined these questions by comparing instantaneous functional connectivity (IFC) and directed functional connectivity (DFC) changes in two networks that are strongly correlated and segregated at rest: the visual (VIS) network and the dorsal attention network (DAN). We measured how IFC and DFC during a visuospatial attention task, which requires dynamic selective rerouting of visual information across hemispheres, changed with respect to rest. During the attention task, the two networks remained relatively segregated, and their general pattern of within-network correlation was maintained. However, attention induced a decrease of correlation in the VIS network and an increase of the DAN→VIS IFC and DFC, especially in a top-down direction. In contrast, within the DAN, IFC was not modified by attention, whereas DFC was enhanced. Importantly, IFC modulations were behaviorally relevant. We conclude that a stable backbone of within-network functional connectivity topography remains in place when transitioning between resting wakefulness and attention selection. However, relative decrease of correlation of ongoing \"idling\" activity in visual cortex and synchronization between frontoparietal and visual cortex were behaviorally relevant, indicating that modulations of resting activity patterns are important for task performance. Higher order resting connectivity in the DAN was relatively unaffected during attention, potentially indicating a role for simultaneous ongoing activity as a \"prior\" for attention selection.","DOI":"10.1073/pnas.1415439112","ISSN":"1091-6490","note":"PMID: 26080395\nPMCID: PMC4491799","journalAbbreviation":"Proc. Natl. Acad. Sci. U.S.A.","language":"eng","author":[{"family":"Spadone","given":"Sara"},{"family":"Della Penna","given":"Stefania"},{"family":"Sestieri","given":"Carlo"},{"family":"Betti","given":"Viviana"},{"family":"Tosoni","given":"Annalisa"},{"family":"Perrucci","given":"Mauro Gianni"},{"family":"Romani","given":"Gian Luca"},{"family":"Corbetta","given":"Maurizio"}],"issued":{"date-parts":[["2015",6,30]]}}},{"id":215,"uris":["http://zotero.org/groups/318634/items/K48VSQMZ"],"uri":["http://zotero.org/groups/318634/items/K48VSQMZ"],"itemData":{"id":215,"type":"article-journal","title":"Cognitive Flexibility: A Default Network and Basal Ganglia Connectivity Perspective","container-title":"Brain Connectivity","page":"201-207","volume":"6","issue":"3","source":"PubMed","abstract":"The intra/extradimensional set-shifting task (IED) provides a reliable assessment of cognitive flexibility, the shifting of attention to select behaviorally relevant stimuli in a given context. Impairments in this domain were previously reported in patients with altered neurotransmitter systems such as schizophrenia and Parkinson's disease. Consequently, corticostriatal connections were implicated in the mediation of this function. In addition, parts of the default mode network (DMN), namely the medial prefrontal and posterior cingulate/precuneus cortices, are also being progressively described in association with set-shifting paradigms. Nevertheless, a definitive link between cognitive flexibility and DMN connectivity remains to be established. To this end, we related resting state functional magnetic resonance imaging (fMRI)-based functional connectivity of DMN with IED task performance in a healthy population, measured outside the scanner. The results demonstrated that greater posterior cingulate cortex/precuneus (DMN) connectivity with the ventromedial striatopallidum at rest correlated with fewer total adjusted errors on the IED task. This finding points to a relationship between DMN and basal ganglia connectivity for cognitive flexibility, further highlighting this network's potential role in adaptive human cognition.","DOI":"10.1089/brain.2015.0388","ISSN":"2158-0022","note":"PMID: 26652748\nPMCID: PMC5118962","title-short":"Cognitive Flexibility","journalAbbreviation":"Brain Connect","language":"eng","author":[{"family":"Vatansever","given":"Deniz"},{"family":"Manktelow","given":"Anne E."},{"family":"Sahakian","given":"Barbara J."},{"family":"Menon","given":"David K."},{"family":"Stamatakis","given":"Emmanuel A."}],"issued":{"date-parts":[["2016",4]]}}},{"id":221,"uris":["http://zotero.org/groups/318634/items/482K87P4"],"uri":["http://zotero.org/groups/318634/items/482K87P4"],"itemData":{"id":221,"type":"article-journal","title":"The Relationship Between Resting State Network Connectivity and Individual Differences in Executive Functions","container-title":"Frontiers in Psychology","page":"1600","volume":"9","source":"PubMed","abstract":"The brain is organized into a number of large networks based on shared function, for example, high-level cognitive functions (frontoparietal network), attentional capabilities (dorsal and ventral attention networks), and internal mentation (default network). The correlations of these networks during resting-state fMRI scans varies across individuals and is an indicator of individual differences in ability. Prior work shows higher cognitive functioning (as measured by working memory and attention tasks) is associated with stronger negative correlations between frontoparietal/attention and default networks, suggesting that increased ability may depend upon the diverging activation of networks with contrasting function. However, these prior studies lack specificity with regard to the higher-level cognitive functions involved, particularly with regards to separable components of executive function (EF). Here we decompose EF into three factors from the unity/diversity model of EFs: Common EF, Shifting-specific EF, and Updating-specific EF, measuring each via factor scores derived from a battery of behavioral tasks completed by 250 adult participants (age 28) at the time of a resting-state scan. We found the hypothesized segregated pattern only for Shifting-specific EF. Specifically, after accounting for one's general EF ability (Common EF), individuals better able to fluidly switch between task sets have a stronger negative correlation between the ventral attention network and the default network. We also report non-predicted novel findings in that individuals with higher Shifting-specific abilities exhibited more positive connectivity between frontoparietal and visual networks, while those individuals with higher Common EF exhibited increased connectivity between sensory and default networks. Overall, these results reveal a new degree of specificity with regard to connectivity/EF relationships.","DOI":"10.3389/fpsyg.2018.01600","ISSN":"1664-1078","note":"PMID: 30233455\nPMCID: PMC6134071","journalAbbreviation":"Front Psychol","language":"eng","author":[{"family":"Reineberg","given":"Andrew E."},{"family":"Gustavson","given":"Daniel E."},{"family":"Benca","given":"Chelsie"},{"family":"Banich","given":"Marie T."},{"family":"Friedman","given":"Naomi P."}],"issued":{"date-parts":[["2018"]]}}}],"schema":"https://github.com/citation-style-language/schema/raw/master/csl-citation.json"}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noProof/>
          <w:color w:val="0D0D0D" w:themeColor="text1" w:themeTint="F2"/>
        </w:rPr>
        <w:t>Spadone et al., 2015; Vatansever et al., 2016; Reineberg et al., 2018)</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Future research could seek to identify the link between specific patterns of attentional modulation across time </w:t>
      </w:r>
      <w:r w:rsidR="00D44AC6">
        <w:rPr>
          <w:rFonts w:ascii="Arial" w:hAnsi="Arial" w:cs="Arial"/>
          <w:color w:val="0D0D0D" w:themeColor="text1" w:themeTint="F2"/>
        </w:rPr>
        <w:t>in</w:t>
      </w:r>
      <w:r w:rsidRPr="00225AB0">
        <w:rPr>
          <w:rFonts w:ascii="Arial" w:hAnsi="Arial" w:cs="Arial"/>
          <w:color w:val="0D0D0D" w:themeColor="text1" w:themeTint="F2"/>
        </w:rPr>
        <w:t xml:space="preserve"> the </w:t>
      </w:r>
      <w:r w:rsidRPr="00225AB0">
        <w:rPr>
          <w:rFonts w:ascii="Arial" w:hAnsi="Arial" w:cs="Arial"/>
          <w:color w:val="0D0D0D" w:themeColor="text1" w:themeTint="F2"/>
        </w:rPr>
        <w:lastRenderedPageBreak/>
        <w:t xml:space="preserve">visual cortex and indices of participant ability, through a network, as oppose to more traditional region-specific approach. </w:t>
      </w:r>
    </w:p>
    <w:p w14:paraId="30B0B4B7" w14:textId="06118BC1" w:rsidR="00262E50" w:rsidRDefault="00262E50" w:rsidP="00FA62F7">
      <w:pPr>
        <w:spacing w:line="480" w:lineRule="auto"/>
        <w:rPr>
          <w:rFonts w:ascii="Arial" w:hAnsi="Arial" w:cs="Arial"/>
          <w:color w:val="0D0D0D" w:themeColor="text1" w:themeTint="F2"/>
        </w:rPr>
      </w:pPr>
    </w:p>
    <w:p w14:paraId="6A2B1239" w14:textId="36C5463F" w:rsidR="00262E50" w:rsidRPr="00225AB0" w:rsidRDefault="00262E50" w:rsidP="00FA62F7">
      <w:pPr>
        <w:spacing w:line="480" w:lineRule="auto"/>
        <w:rPr>
          <w:rFonts w:ascii="Arial" w:hAnsi="Arial" w:cs="Arial"/>
          <w:color w:val="0D0D0D" w:themeColor="text1" w:themeTint="F2"/>
        </w:rPr>
      </w:pPr>
      <w:r w:rsidRPr="00262E50">
        <w:rPr>
          <w:rFonts w:ascii="Arial" w:hAnsi="Arial" w:cs="Arial"/>
          <w:color w:val="0D0D0D" w:themeColor="text1" w:themeTint="F2"/>
        </w:rPr>
        <w:t xml:space="preserve">We believe our findings here are not a reflection of gross </w:t>
      </w:r>
      <w:r w:rsidR="00794360">
        <w:rPr>
          <w:rFonts w:ascii="Arial" w:hAnsi="Arial" w:cs="Arial"/>
          <w:color w:val="0D0D0D" w:themeColor="text1" w:themeTint="F2"/>
        </w:rPr>
        <w:t xml:space="preserve">physiological </w:t>
      </w:r>
      <w:r w:rsidRPr="00262E50">
        <w:rPr>
          <w:rFonts w:ascii="Arial" w:hAnsi="Arial" w:cs="Arial"/>
          <w:color w:val="0D0D0D" w:themeColor="text1" w:themeTint="F2"/>
        </w:rPr>
        <w:t xml:space="preserve">differences between our four attentional conditions. For example, it is unlikely factors such as extraneous eye movements or changes in heart rate were responsible for differences we see in fine-grain voxel-level activation maps or patterns of functional connectivity. Our experiment recruited experienced observers, who are well-trained in maintaining a constant central fixation </w:t>
      </w:r>
      <w:r w:rsidR="00D44AC6">
        <w:rPr>
          <w:rFonts w:ascii="Arial" w:hAnsi="Arial" w:cs="Arial"/>
          <w:color w:val="0D0D0D" w:themeColor="text1" w:themeTint="F2"/>
        </w:rPr>
        <w:t>in</w:t>
      </w:r>
      <w:r w:rsidRPr="00262E50">
        <w:rPr>
          <w:rFonts w:ascii="Arial" w:hAnsi="Arial" w:cs="Arial"/>
          <w:color w:val="0D0D0D" w:themeColor="text1" w:themeTint="F2"/>
        </w:rPr>
        <w:t xml:space="preserve"> 10-20 minutes of arc </w:t>
      </w:r>
      <w:r>
        <w:rPr>
          <w:rFonts w:ascii="Arial" w:hAnsi="Arial" w:cs="Arial"/>
          <w:color w:val="0D0D0D" w:themeColor="text1" w:themeTint="F2"/>
        </w:rPr>
        <w:fldChar w:fldCharType="begin"/>
      </w:r>
      <w:r>
        <w:rPr>
          <w:rFonts w:ascii="Arial" w:hAnsi="Arial" w:cs="Arial"/>
          <w:color w:val="0D0D0D" w:themeColor="text1" w:themeTint="F2"/>
        </w:rPr>
        <w:instrText xml:space="preserve"> ADDIN ZOTERO_ITEM CSL_CITATION {"citationID":"LpWfj0qI","properties":{"formattedCitation":"(Kowler, 1990)","plainCitation":"(Kowler, 1990)","noteIndex":0},"citationItems":[{"id":563,"uris":["http://zotero.org/groups/318634/items/V265G9EK"],"uri":["http://zotero.org/groups/318634/items/V265G9EK"],"itemData":{"id":563,"type":"article-journal","title":"The role of visual and cognitive processes in the control of eye movement","container-title":"Reviews of Oculomotor Research","page":"1-70","volume":"4","source":"PubMed","ISSN":"0168-8375","note":"PMID: 7492527","journalAbbreviation":"Rev Oculomot Res","language":"eng","author":[{"family":"Kowler","given":"E."}],"issued":{"date-parts":[["1990"]]}}}],"schema":"https://github.com/citation-style-language/schema/raw/master/csl-citation.json"} </w:instrText>
      </w:r>
      <w:r>
        <w:rPr>
          <w:rFonts w:ascii="Arial" w:hAnsi="Arial" w:cs="Arial"/>
          <w:color w:val="0D0D0D" w:themeColor="text1" w:themeTint="F2"/>
        </w:rPr>
        <w:fldChar w:fldCharType="separate"/>
      </w:r>
      <w:r>
        <w:rPr>
          <w:rFonts w:ascii="Arial" w:hAnsi="Arial" w:cs="Arial"/>
          <w:noProof/>
          <w:color w:val="0D0D0D" w:themeColor="text1" w:themeTint="F2"/>
        </w:rPr>
        <w:t>(Kowler, 1990)</w:t>
      </w:r>
      <w:r>
        <w:rPr>
          <w:rFonts w:ascii="Arial" w:hAnsi="Arial" w:cs="Arial"/>
          <w:color w:val="0D0D0D" w:themeColor="text1" w:themeTint="F2"/>
        </w:rPr>
        <w:fldChar w:fldCharType="end"/>
      </w:r>
      <w:r>
        <w:rPr>
          <w:rFonts w:ascii="Arial" w:hAnsi="Arial" w:cs="Arial"/>
          <w:color w:val="0D0D0D" w:themeColor="text1" w:themeTint="F2"/>
        </w:rPr>
        <w:t xml:space="preserve">. </w:t>
      </w:r>
      <w:r w:rsidRPr="00262E50">
        <w:rPr>
          <w:rFonts w:ascii="Arial" w:hAnsi="Arial" w:cs="Arial"/>
          <w:color w:val="0D0D0D" w:themeColor="text1" w:themeTint="F2"/>
        </w:rPr>
        <w:t xml:space="preserve">Additionally, our visual stimuli were present for 200ms, shorter than the time needed to make a visual saccade </w:t>
      </w:r>
      <w:r>
        <w:rPr>
          <w:rFonts w:ascii="Arial" w:hAnsi="Arial" w:cs="Arial"/>
          <w:color w:val="0D0D0D" w:themeColor="text1" w:themeTint="F2"/>
        </w:rPr>
        <w:fldChar w:fldCharType="begin"/>
      </w:r>
      <w:r>
        <w:rPr>
          <w:rFonts w:ascii="Arial" w:hAnsi="Arial" w:cs="Arial"/>
          <w:color w:val="0D0D0D" w:themeColor="text1" w:themeTint="F2"/>
        </w:rPr>
        <w:instrText xml:space="preserve"> ADDIN ZOTERO_ITEM CSL_CITATION {"citationID":"kmnPZ7ZX","properties":{"formattedCitation":"(Carpenter, 1988)","plainCitation":"(Carpenter, 1988)","noteIndex":0},"citationItems":[{"id":561,"uris":["http://zotero.org/groups/318634/items/IVY8W599"],"uri":["http://zotero.org/groups/318634/items/IVY8W599"],"itemData":{"id":561,"type":"book","title":"Movements of the eyes","publisher":"Pion","number-of-pages":"632","source":"Google Books","note":"Google-Books-ID: i9dqAAAAMAAJ","language":"en","author":[{"family":"Carpenter","given":"Roger H. S."}],"issued":{"date-parts":[["1988"]]}}}],"schema":"https://github.com/citation-style-language/schema/raw/master/csl-citation.json"} </w:instrText>
      </w:r>
      <w:r>
        <w:rPr>
          <w:rFonts w:ascii="Arial" w:hAnsi="Arial" w:cs="Arial"/>
          <w:color w:val="0D0D0D" w:themeColor="text1" w:themeTint="F2"/>
        </w:rPr>
        <w:fldChar w:fldCharType="separate"/>
      </w:r>
      <w:r>
        <w:rPr>
          <w:rFonts w:ascii="Arial" w:hAnsi="Arial" w:cs="Arial"/>
          <w:noProof/>
          <w:color w:val="0D0D0D" w:themeColor="text1" w:themeTint="F2"/>
        </w:rPr>
        <w:t>(Carpenter, 1988)</w:t>
      </w:r>
      <w:r>
        <w:rPr>
          <w:rFonts w:ascii="Arial" w:hAnsi="Arial" w:cs="Arial"/>
          <w:color w:val="0D0D0D" w:themeColor="text1" w:themeTint="F2"/>
        </w:rPr>
        <w:fldChar w:fldCharType="end"/>
      </w:r>
      <w:r w:rsidRPr="00262E50">
        <w:rPr>
          <w:rFonts w:ascii="Arial" w:hAnsi="Arial" w:cs="Arial"/>
          <w:color w:val="0D0D0D" w:themeColor="text1" w:themeTint="F2"/>
        </w:rPr>
        <w:t>. Finally, if such gross-scale differences were apparent between attentional conditions, we would expect to see these differences evident at a univariate level. Instead, we identify relatively few significant univariate differences between our featural attention conditions and with passive viewing data, hence, our results likely reflect differences in attentional focus, rather than any consistent differences in gross-scale measures of arousal.</w:t>
      </w:r>
    </w:p>
    <w:p w14:paraId="3A1AEADC" w14:textId="77777777" w:rsidR="00FA62F7" w:rsidRPr="00225AB0" w:rsidRDefault="00FA62F7" w:rsidP="00FA62F7">
      <w:pPr>
        <w:spacing w:line="480" w:lineRule="auto"/>
        <w:rPr>
          <w:rFonts w:ascii="Arial" w:hAnsi="Arial" w:cs="Arial"/>
          <w:color w:val="0D0D0D" w:themeColor="text1" w:themeTint="F2"/>
        </w:rPr>
      </w:pPr>
    </w:p>
    <w:p w14:paraId="7F92B3AD" w14:textId="7C8E51AF" w:rsidR="00FA62F7" w:rsidRDefault="00FA62F7" w:rsidP="00FA62F7">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To conclude, we have used a relatively novel approach for investigating top-down attentional modulation signals in visual cortex. We show clear evidence of attentional modulation from the earliest stage of the visual cortical hierarchy and suggest that directed attention produces local voxel-level changes in activation as oppose to reflecting global topographical organisation of visual regions. Connectivity analyses </w:t>
      </w:r>
      <w:r w:rsidR="00794360">
        <w:rPr>
          <w:rFonts w:ascii="Arial" w:hAnsi="Arial" w:cs="Arial"/>
          <w:color w:val="0D0D0D" w:themeColor="text1" w:themeTint="F2"/>
        </w:rPr>
        <w:t>demonstrate</w:t>
      </w:r>
      <w:r w:rsidRPr="00225AB0">
        <w:rPr>
          <w:rFonts w:ascii="Arial" w:hAnsi="Arial" w:cs="Arial"/>
          <w:color w:val="0D0D0D" w:themeColor="text1" w:themeTint="F2"/>
        </w:rPr>
        <w:t xml:space="preserve"> that attention causes a strong </w:t>
      </w:r>
      <w:r w:rsidRPr="00225AB0">
        <w:rPr>
          <w:rFonts w:ascii="Arial" w:hAnsi="Arial" w:cs="Arial"/>
          <w:i/>
          <w:color w:val="0D0D0D" w:themeColor="text1" w:themeTint="F2"/>
        </w:rPr>
        <w:t>decorrelation</w:t>
      </w:r>
      <w:r w:rsidRPr="00225AB0">
        <w:rPr>
          <w:rFonts w:ascii="Arial" w:hAnsi="Arial" w:cs="Arial"/>
          <w:color w:val="0D0D0D" w:themeColor="text1" w:themeTint="F2"/>
        </w:rPr>
        <w:t xml:space="preserve"> of ROI responses relative to the </w:t>
      </w:r>
      <w:r w:rsidRPr="00225AB0">
        <w:rPr>
          <w:rFonts w:ascii="Arial" w:hAnsi="Arial" w:cs="Arial"/>
          <w:color w:val="0D0D0D" w:themeColor="text1" w:themeTint="F2"/>
        </w:rPr>
        <w:lastRenderedPageBreak/>
        <w:t xml:space="preserve">passive state, which appears to be mediated by top-down signals processed </w:t>
      </w:r>
      <w:r w:rsidR="00D44AC6">
        <w:rPr>
          <w:rFonts w:ascii="Arial" w:hAnsi="Arial" w:cs="Arial"/>
          <w:color w:val="0D0D0D" w:themeColor="text1" w:themeTint="F2"/>
        </w:rPr>
        <w:t>in</w:t>
      </w:r>
      <w:r w:rsidRPr="00225AB0">
        <w:rPr>
          <w:rFonts w:ascii="Arial" w:hAnsi="Arial" w:cs="Arial"/>
          <w:color w:val="0D0D0D" w:themeColor="text1" w:themeTint="F2"/>
        </w:rPr>
        <w:t xml:space="preserve"> specific visual regions. This paradigm is a useful tool to probe the influence of a common confound </w:t>
      </w:r>
      <w:r w:rsidR="00D44AC6">
        <w:rPr>
          <w:rFonts w:ascii="Arial" w:hAnsi="Arial" w:cs="Arial"/>
          <w:color w:val="0D0D0D" w:themeColor="text1" w:themeTint="F2"/>
        </w:rPr>
        <w:t>in</w:t>
      </w:r>
      <w:r w:rsidRPr="00225AB0">
        <w:rPr>
          <w:rFonts w:ascii="Arial" w:hAnsi="Arial" w:cs="Arial"/>
          <w:color w:val="0D0D0D" w:themeColor="text1" w:themeTint="F2"/>
        </w:rPr>
        <w:t xml:space="preserve"> visual neuroscience, examining activation in response to shifting attentional focus rather than stimulus driven changes. </w:t>
      </w:r>
    </w:p>
    <w:p w14:paraId="03F9380B" w14:textId="0AE79FF1" w:rsidR="00085A82" w:rsidRDefault="00085A82" w:rsidP="00FA62F7">
      <w:pPr>
        <w:spacing w:line="480" w:lineRule="auto"/>
        <w:rPr>
          <w:rFonts w:ascii="Arial" w:hAnsi="Arial" w:cs="Arial"/>
          <w:color w:val="0D0D0D" w:themeColor="text1" w:themeTint="F2"/>
        </w:rPr>
      </w:pPr>
    </w:p>
    <w:p w14:paraId="72EF9EE3" w14:textId="363E3FC1" w:rsidR="00085A82" w:rsidRDefault="00085A82" w:rsidP="00FA62F7">
      <w:pPr>
        <w:spacing w:line="480" w:lineRule="auto"/>
        <w:rPr>
          <w:rFonts w:ascii="Arial" w:hAnsi="Arial" w:cs="Arial"/>
          <w:color w:val="0D0D0D" w:themeColor="text1" w:themeTint="F2"/>
        </w:rPr>
      </w:pPr>
    </w:p>
    <w:p w14:paraId="0D20A2F6" w14:textId="45121825" w:rsidR="00085A82" w:rsidRDefault="00085A82" w:rsidP="00FA62F7">
      <w:pPr>
        <w:spacing w:line="480" w:lineRule="auto"/>
        <w:rPr>
          <w:rFonts w:ascii="Arial" w:hAnsi="Arial" w:cs="Arial"/>
          <w:color w:val="0D0D0D" w:themeColor="text1" w:themeTint="F2"/>
        </w:rPr>
      </w:pPr>
    </w:p>
    <w:p w14:paraId="62351C61" w14:textId="1ADB4B93" w:rsidR="00085A82" w:rsidRDefault="00085A82" w:rsidP="00FA62F7">
      <w:pPr>
        <w:spacing w:line="480" w:lineRule="auto"/>
        <w:rPr>
          <w:rFonts w:ascii="Arial" w:hAnsi="Arial" w:cs="Arial"/>
          <w:color w:val="0D0D0D" w:themeColor="text1" w:themeTint="F2"/>
        </w:rPr>
      </w:pPr>
    </w:p>
    <w:p w14:paraId="69EF160D" w14:textId="7398B13B" w:rsidR="00085A82" w:rsidRDefault="00085A82" w:rsidP="00FA62F7">
      <w:pPr>
        <w:spacing w:line="480" w:lineRule="auto"/>
        <w:rPr>
          <w:rFonts w:ascii="Arial" w:hAnsi="Arial" w:cs="Arial"/>
          <w:color w:val="0D0D0D" w:themeColor="text1" w:themeTint="F2"/>
        </w:rPr>
      </w:pPr>
    </w:p>
    <w:p w14:paraId="43D42922" w14:textId="707380D6" w:rsidR="00085A82" w:rsidRDefault="00085A82" w:rsidP="00FA62F7">
      <w:pPr>
        <w:spacing w:line="480" w:lineRule="auto"/>
        <w:rPr>
          <w:rFonts w:ascii="Arial" w:hAnsi="Arial" w:cs="Arial"/>
          <w:color w:val="0D0D0D" w:themeColor="text1" w:themeTint="F2"/>
        </w:rPr>
      </w:pPr>
    </w:p>
    <w:p w14:paraId="1A22971E" w14:textId="60E6C351" w:rsidR="00085A82" w:rsidRDefault="00085A82" w:rsidP="00FA62F7">
      <w:pPr>
        <w:spacing w:line="480" w:lineRule="auto"/>
        <w:rPr>
          <w:rFonts w:ascii="Arial" w:hAnsi="Arial" w:cs="Arial"/>
          <w:color w:val="0D0D0D" w:themeColor="text1" w:themeTint="F2"/>
        </w:rPr>
      </w:pPr>
    </w:p>
    <w:p w14:paraId="0FDFDFBB" w14:textId="20096FF4" w:rsidR="00085A82" w:rsidRDefault="00085A82" w:rsidP="00FA62F7">
      <w:pPr>
        <w:spacing w:line="480" w:lineRule="auto"/>
        <w:rPr>
          <w:rFonts w:ascii="Arial" w:hAnsi="Arial" w:cs="Arial"/>
          <w:color w:val="0D0D0D" w:themeColor="text1" w:themeTint="F2"/>
        </w:rPr>
      </w:pPr>
    </w:p>
    <w:p w14:paraId="2518ADAC" w14:textId="1C2BEC39" w:rsidR="00085A82" w:rsidRDefault="00085A82" w:rsidP="00FA62F7">
      <w:pPr>
        <w:spacing w:line="480" w:lineRule="auto"/>
        <w:rPr>
          <w:rFonts w:ascii="Arial" w:hAnsi="Arial" w:cs="Arial"/>
          <w:color w:val="0D0D0D" w:themeColor="text1" w:themeTint="F2"/>
        </w:rPr>
      </w:pPr>
    </w:p>
    <w:p w14:paraId="5C11FA42" w14:textId="5B44CA47" w:rsidR="00085A82" w:rsidRDefault="00085A82" w:rsidP="00FA62F7">
      <w:pPr>
        <w:spacing w:line="480" w:lineRule="auto"/>
        <w:rPr>
          <w:rFonts w:ascii="Arial" w:hAnsi="Arial" w:cs="Arial"/>
          <w:color w:val="0D0D0D" w:themeColor="text1" w:themeTint="F2"/>
        </w:rPr>
      </w:pPr>
    </w:p>
    <w:p w14:paraId="7910DC42" w14:textId="16DEC159" w:rsidR="00AE6937" w:rsidRDefault="00AE6937" w:rsidP="00FA62F7">
      <w:pPr>
        <w:spacing w:line="480" w:lineRule="auto"/>
        <w:rPr>
          <w:rFonts w:ascii="Arial" w:hAnsi="Arial" w:cs="Arial"/>
          <w:color w:val="0D0D0D" w:themeColor="text1" w:themeTint="F2"/>
        </w:rPr>
      </w:pPr>
    </w:p>
    <w:p w14:paraId="7AAC2010" w14:textId="3856F083" w:rsidR="00AE6937" w:rsidRDefault="00AE6937" w:rsidP="00FA62F7">
      <w:pPr>
        <w:spacing w:line="480" w:lineRule="auto"/>
        <w:rPr>
          <w:rFonts w:ascii="Arial" w:hAnsi="Arial" w:cs="Arial"/>
          <w:color w:val="0D0D0D" w:themeColor="text1" w:themeTint="F2"/>
        </w:rPr>
      </w:pPr>
    </w:p>
    <w:p w14:paraId="7A559E3D" w14:textId="41A48365" w:rsidR="00AE6937" w:rsidRDefault="00AE6937" w:rsidP="00FA62F7">
      <w:pPr>
        <w:spacing w:line="480" w:lineRule="auto"/>
        <w:rPr>
          <w:rFonts w:ascii="Arial" w:hAnsi="Arial" w:cs="Arial"/>
          <w:color w:val="0D0D0D" w:themeColor="text1" w:themeTint="F2"/>
        </w:rPr>
      </w:pPr>
    </w:p>
    <w:p w14:paraId="5F518FA2" w14:textId="77777777" w:rsidR="00AE6937" w:rsidRDefault="00AE6937" w:rsidP="00FA62F7">
      <w:pPr>
        <w:spacing w:line="480" w:lineRule="auto"/>
        <w:rPr>
          <w:rFonts w:ascii="Arial" w:hAnsi="Arial" w:cs="Arial"/>
          <w:color w:val="0D0D0D" w:themeColor="text1" w:themeTint="F2"/>
        </w:rPr>
      </w:pPr>
    </w:p>
    <w:p w14:paraId="52AB4F70" w14:textId="5D2DE12F" w:rsidR="00085A82" w:rsidRDefault="00085A82" w:rsidP="00FA62F7">
      <w:pPr>
        <w:spacing w:line="480" w:lineRule="auto"/>
        <w:rPr>
          <w:rFonts w:ascii="Arial" w:hAnsi="Arial" w:cs="Arial"/>
          <w:color w:val="0D0D0D" w:themeColor="text1" w:themeTint="F2"/>
        </w:rPr>
      </w:pPr>
    </w:p>
    <w:p w14:paraId="4424A9C8" w14:textId="0F8E1A77" w:rsidR="00085A82" w:rsidRDefault="00085A82" w:rsidP="00FA62F7">
      <w:pPr>
        <w:spacing w:line="480" w:lineRule="auto"/>
        <w:rPr>
          <w:rFonts w:ascii="Arial" w:hAnsi="Arial" w:cs="Arial"/>
          <w:color w:val="0D0D0D" w:themeColor="text1" w:themeTint="F2"/>
        </w:rPr>
      </w:pPr>
    </w:p>
    <w:p w14:paraId="5999FA8E" w14:textId="77777777" w:rsidR="00085A82" w:rsidRPr="00225AB0" w:rsidRDefault="00085A82" w:rsidP="00FA62F7">
      <w:pPr>
        <w:spacing w:line="480" w:lineRule="auto"/>
        <w:rPr>
          <w:rFonts w:ascii="Arial" w:hAnsi="Arial" w:cs="Arial"/>
          <w:color w:val="0D0D0D" w:themeColor="text1" w:themeTint="F2"/>
        </w:rPr>
      </w:pPr>
    </w:p>
    <w:p w14:paraId="3A0400F0" w14:textId="77777777" w:rsidR="006832FB" w:rsidRPr="00225AB0" w:rsidRDefault="006832FB" w:rsidP="00C87AA3">
      <w:pPr>
        <w:pStyle w:val="Heading1"/>
        <w:numPr>
          <w:ilvl w:val="0"/>
          <w:numId w:val="10"/>
        </w:numPr>
        <w:rPr>
          <w:rFonts w:ascii="Arial" w:hAnsi="Arial" w:cs="Arial"/>
          <w:b/>
          <w:color w:val="000000" w:themeColor="text1"/>
          <w:sz w:val="44"/>
          <w:szCs w:val="44"/>
        </w:rPr>
      </w:pPr>
      <w:bookmarkStart w:id="543" w:name="_Toc11153954"/>
      <w:bookmarkStart w:id="544" w:name="_Toc11753657"/>
      <w:bookmarkStart w:id="545" w:name="_Toc11926843"/>
      <w:bookmarkStart w:id="546" w:name="_Toc11930088"/>
      <w:bookmarkStart w:id="547" w:name="_Toc16075404"/>
      <w:bookmarkStart w:id="548" w:name="_Toc16237015"/>
      <w:r w:rsidRPr="00225AB0">
        <w:rPr>
          <w:rFonts w:ascii="Arial" w:hAnsi="Arial" w:cs="Arial"/>
          <w:b/>
          <w:color w:val="000000" w:themeColor="text1"/>
          <w:sz w:val="44"/>
          <w:szCs w:val="44"/>
        </w:rPr>
        <w:lastRenderedPageBreak/>
        <w:t xml:space="preserve">Feature and </w:t>
      </w:r>
      <w:r w:rsidR="00050861" w:rsidRPr="00225AB0">
        <w:rPr>
          <w:rFonts w:ascii="Arial" w:hAnsi="Arial" w:cs="Arial"/>
          <w:b/>
          <w:color w:val="000000" w:themeColor="text1"/>
          <w:sz w:val="44"/>
          <w:szCs w:val="44"/>
        </w:rPr>
        <w:t>C</w:t>
      </w:r>
      <w:r w:rsidRPr="00225AB0">
        <w:rPr>
          <w:rFonts w:ascii="Arial" w:hAnsi="Arial" w:cs="Arial"/>
          <w:b/>
          <w:color w:val="000000" w:themeColor="text1"/>
          <w:sz w:val="44"/>
          <w:szCs w:val="44"/>
        </w:rPr>
        <w:t>olour</w:t>
      </w:r>
      <w:r w:rsidR="00050861" w:rsidRPr="00225AB0">
        <w:rPr>
          <w:rFonts w:ascii="Arial" w:hAnsi="Arial" w:cs="Arial"/>
          <w:b/>
          <w:color w:val="000000" w:themeColor="text1"/>
          <w:sz w:val="44"/>
          <w:szCs w:val="44"/>
        </w:rPr>
        <w:t>-S</w:t>
      </w:r>
      <w:r w:rsidRPr="00225AB0">
        <w:rPr>
          <w:rFonts w:ascii="Arial" w:hAnsi="Arial" w:cs="Arial"/>
          <w:b/>
          <w:color w:val="000000" w:themeColor="text1"/>
          <w:sz w:val="44"/>
          <w:szCs w:val="44"/>
        </w:rPr>
        <w:t xml:space="preserve">pecific </w:t>
      </w:r>
      <w:r w:rsidR="00050861" w:rsidRPr="00225AB0">
        <w:rPr>
          <w:rFonts w:ascii="Arial" w:hAnsi="Arial" w:cs="Arial"/>
          <w:b/>
          <w:color w:val="000000" w:themeColor="text1"/>
          <w:sz w:val="44"/>
          <w:szCs w:val="44"/>
        </w:rPr>
        <w:t>P</w:t>
      </w:r>
      <w:r w:rsidRPr="00225AB0">
        <w:rPr>
          <w:rFonts w:ascii="Arial" w:hAnsi="Arial" w:cs="Arial"/>
          <w:b/>
          <w:color w:val="000000" w:themeColor="text1"/>
          <w:sz w:val="44"/>
          <w:szCs w:val="44"/>
        </w:rPr>
        <w:t xml:space="preserve">atterns of </w:t>
      </w:r>
      <w:r w:rsidR="00050861" w:rsidRPr="00225AB0">
        <w:rPr>
          <w:rFonts w:ascii="Arial" w:hAnsi="Arial" w:cs="Arial"/>
          <w:b/>
          <w:color w:val="000000" w:themeColor="text1"/>
          <w:sz w:val="44"/>
          <w:szCs w:val="44"/>
        </w:rPr>
        <w:t>At</w:t>
      </w:r>
      <w:r w:rsidRPr="00225AB0">
        <w:rPr>
          <w:rFonts w:ascii="Arial" w:hAnsi="Arial" w:cs="Arial"/>
          <w:b/>
          <w:color w:val="000000" w:themeColor="text1"/>
          <w:sz w:val="44"/>
          <w:szCs w:val="44"/>
        </w:rPr>
        <w:t xml:space="preserve">tention and </w:t>
      </w:r>
      <w:r w:rsidR="00050861" w:rsidRPr="00225AB0">
        <w:rPr>
          <w:rFonts w:ascii="Arial" w:hAnsi="Arial" w:cs="Arial"/>
          <w:b/>
          <w:color w:val="000000" w:themeColor="text1"/>
          <w:sz w:val="44"/>
          <w:szCs w:val="44"/>
        </w:rPr>
        <w:t>F</w:t>
      </w:r>
      <w:r w:rsidRPr="00225AB0">
        <w:rPr>
          <w:rFonts w:ascii="Arial" w:hAnsi="Arial" w:cs="Arial"/>
          <w:b/>
          <w:color w:val="000000" w:themeColor="text1"/>
          <w:sz w:val="44"/>
          <w:szCs w:val="44"/>
        </w:rPr>
        <w:t xml:space="preserve">unctional </w:t>
      </w:r>
      <w:r w:rsidR="00050861" w:rsidRPr="00225AB0">
        <w:rPr>
          <w:rFonts w:ascii="Arial" w:hAnsi="Arial" w:cs="Arial"/>
          <w:b/>
          <w:color w:val="000000" w:themeColor="text1"/>
          <w:sz w:val="44"/>
          <w:szCs w:val="44"/>
        </w:rPr>
        <w:t>C</w:t>
      </w:r>
      <w:r w:rsidRPr="00225AB0">
        <w:rPr>
          <w:rFonts w:ascii="Arial" w:hAnsi="Arial" w:cs="Arial"/>
          <w:b/>
          <w:color w:val="000000" w:themeColor="text1"/>
          <w:sz w:val="44"/>
          <w:szCs w:val="44"/>
        </w:rPr>
        <w:t xml:space="preserve">onnectivity </w:t>
      </w:r>
      <w:r w:rsidR="00050861" w:rsidRPr="00225AB0">
        <w:rPr>
          <w:rFonts w:ascii="Arial" w:hAnsi="Arial" w:cs="Arial"/>
          <w:b/>
          <w:color w:val="000000" w:themeColor="text1"/>
          <w:sz w:val="44"/>
          <w:szCs w:val="44"/>
        </w:rPr>
        <w:t>i</w:t>
      </w:r>
      <w:r w:rsidRPr="00225AB0">
        <w:rPr>
          <w:rFonts w:ascii="Arial" w:hAnsi="Arial" w:cs="Arial"/>
          <w:b/>
          <w:color w:val="000000" w:themeColor="text1"/>
          <w:sz w:val="44"/>
          <w:szCs w:val="44"/>
        </w:rPr>
        <w:t xml:space="preserve">n </w:t>
      </w:r>
      <w:r w:rsidR="00050861" w:rsidRPr="00225AB0">
        <w:rPr>
          <w:rFonts w:ascii="Arial" w:hAnsi="Arial" w:cs="Arial"/>
          <w:b/>
          <w:color w:val="000000" w:themeColor="text1"/>
          <w:sz w:val="44"/>
          <w:szCs w:val="44"/>
        </w:rPr>
        <w:t>H</w:t>
      </w:r>
      <w:r w:rsidRPr="00225AB0">
        <w:rPr>
          <w:rFonts w:ascii="Arial" w:hAnsi="Arial" w:cs="Arial"/>
          <w:b/>
          <w:color w:val="000000" w:themeColor="text1"/>
          <w:sz w:val="44"/>
          <w:szCs w:val="44"/>
        </w:rPr>
        <w:t xml:space="preserve">uman </w:t>
      </w:r>
      <w:r w:rsidR="00050861" w:rsidRPr="00225AB0">
        <w:rPr>
          <w:rFonts w:ascii="Arial" w:hAnsi="Arial" w:cs="Arial"/>
          <w:b/>
          <w:color w:val="000000" w:themeColor="text1"/>
          <w:sz w:val="44"/>
          <w:szCs w:val="44"/>
        </w:rPr>
        <w:t>V</w:t>
      </w:r>
      <w:r w:rsidRPr="00225AB0">
        <w:rPr>
          <w:rFonts w:ascii="Arial" w:hAnsi="Arial" w:cs="Arial"/>
          <w:b/>
          <w:color w:val="000000" w:themeColor="text1"/>
          <w:sz w:val="44"/>
          <w:szCs w:val="44"/>
        </w:rPr>
        <w:t xml:space="preserve">isual </w:t>
      </w:r>
      <w:r w:rsidR="00050861" w:rsidRPr="00225AB0">
        <w:rPr>
          <w:rFonts w:ascii="Arial" w:hAnsi="Arial" w:cs="Arial"/>
          <w:b/>
          <w:color w:val="000000" w:themeColor="text1"/>
          <w:sz w:val="44"/>
          <w:szCs w:val="44"/>
        </w:rPr>
        <w:t>Co</w:t>
      </w:r>
      <w:r w:rsidRPr="00225AB0">
        <w:rPr>
          <w:rFonts w:ascii="Arial" w:hAnsi="Arial" w:cs="Arial"/>
          <w:b/>
          <w:color w:val="000000" w:themeColor="text1"/>
          <w:sz w:val="44"/>
          <w:szCs w:val="44"/>
        </w:rPr>
        <w:t>rtex</w:t>
      </w:r>
      <w:bookmarkEnd w:id="543"/>
      <w:bookmarkEnd w:id="544"/>
      <w:bookmarkEnd w:id="545"/>
      <w:bookmarkEnd w:id="546"/>
      <w:bookmarkEnd w:id="547"/>
      <w:bookmarkEnd w:id="548"/>
    </w:p>
    <w:p w14:paraId="46A4D23A" w14:textId="77777777" w:rsidR="006832FB" w:rsidRPr="00225AB0" w:rsidRDefault="006832FB" w:rsidP="006832FB">
      <w:pPr>
        <w:spacing w:line="480" w:lineRule="auto"/>
        <w:rPr>
          <w:rFonts w:ascii="Arial" w:hAnsi="Arial" w:cs="Arial"/>
          <w:b/>
          <w:i/>
          <w:color w:val="0D0D0D" w:themeColor="text1" w:themeTint="F2"/>
        </w:rPr>
      </w:pPr>
    </w:p>
    <w:p w14:paraId="3C21C925" w14:textId="77777777" w:rsidR="006832FB" w:rsidRDefault="006832FB" w:rsidP="001811CC">
      <w:pPr>
        <w:pStyle w:val="Heading2"/>
        <w:numPr>
          <w:ilvl w:val="1"/>
          <w:numId w:val="6"/>
        </w:numPr>
        <w:rPr>
          <w:rFonts w:ascii="Arial" w:hAnsi="Arial" w:cs="Arial"/>
          <w:b/>
          <w:color w:val="000000" w:themeColor="text1"/>
          <w:sz w:val="28"/>
          <w:szCs w:val="28"/>
        </w:rPr>
      </w:pPr>
      <w:bookmarkStart w:id="549" w:name="_Toc11148006"/>
      <w:bookmarkStart w:id="550" w:name="_Toc11153955"/>
      <w:bookmarkStart w:id="551" w:name="_Toc11753658"/>
      <w:bookmarkStart w:id="552" w:name="_Toc11926844"/>
      <w:bookmarkStart w:id="553" w:name="_Toc11930089"/>
      <w:bookmarkStart w:id="554" w:name="_Toc16075405"/>
      <w:bookmarkStart w:id="555" w:name="_Toc16237016"/>
      <w:r w:rsidRPr="00D8518F">
        <w:rPr>
          <w:rFonts w:ascii="Arial" w:hAnsi="Arial" w:cs="Arial"/>
          <w:b/>
          <w:color w:val="000000" w:themeColor="text1"/>
          <w:sz w:val="28"/>
          <w:szCs w:val="28"/>
        </w:rPr>
        <w:t>Abstract</w:t>
      </w:r>
      <w:bookmarkEnd w:id="549"/>
      <w:bookmarkEnd w:id="550"/>
      <w:bookmarkEnd w:id="551"/>
      <w:bookmarkEnd w:id="552"/>
      <w:bookmarkEnd w:id="553"/>
      <w:bookmarkEnd w:id="554"/>
      <w:bookmarkEnd w:id="555"/>
    </w:p>
    <w:p w14:paraId="772E749E" w14:textId="77777777" w:rsidR="00D8518F" w:rsidRPr="00D8518F" w:rsidRDefault="00D8518F" w:rsidP="00D8518F"/>
    <w:p w14:paraId="4C3CCBFB" w14:textId="7AE0A0B4" w:rsidR="006832FB" w:rsidRDefault="006832FB" w:rsidP="006832FB">
      <w:pPr>
        <w:spacing w:line="480" w:lineRule="auto"/>
        <w:rPr>
          <w:rFonts w:ascii="Arial" w:hAnsi="Arial" w:cs="Arial"/>
        </w:rPr>
      </w:pPr>
      <w:r w:rsidRPr="00225AB0">
        <w:rPr>
          <w:rFonts w:ascii="Arial" w:hAnsi="Arial" w:cs="Arial"/>
        </w:rPr>
        <w:t xml:space="preserve">Attention directed towards low-level visual features can alter the activity of neurons across the visual cortex. However, less is understood regarding the effects of attentional modulation when focus is directed towards stimuli of different chromaticities. An outstanding question remains as to whether attentional modulation effects differ in respect to the chromaticity of the attended stimulus. Here, we use functional magnetic resonance imaging (fMRI) and visual psychophysics to investigate the patterns of attentional modulation across the visual cortex in response to attention directed to low-level visual features (orientation, contrast and shape) in combination with differing stimulus chromaticity (red-green, blue-yellow and achromatic). At the univariate level, we find few clear differential top-down attentional responses </w:t>
      </w:r>
      <w:r w:rsidR="00D44AC6">
        <w:rPr>
          <w:rFonts w:ascii="Arial" w:hAnsi="Arial" w:cs="Arial"/>
        </w:rPr>
        <w:t>in</w:t>
      </w:r>
      <w:r w:rsidRPr="00225AB0">
        <w:rPr>
          <w:rFonts w:ascii="Arial" w:hAnsi="Arial" w:cs="Arial"/>
        </w:rPr>
        <w:t xml:space="preserve"> the visual areas we examine. However, we do identify significantly greater attentional modulation during attention directed towards red-green stimuli than blue-yellow. Multivariate analyses reveal a complex pattern of voxel-level modulation driven by attentional task. In addition, connectivity analyses demonstrate flexible and selective patterns of connectivity between early visual areas as a function of attentional focus.  </w:t>
      </w:r>
    </w:p>
    <w:p w14:paraId="536A3C51" w14:textId="77777777" w:rsidR="00D8518F" w:rsidRDefault="00D8518F" w:rsidP="006832FB">
      <w:pPr>
        <w:spacing w:line="480" w:lineRule="auto"/>
        <w:rPr>
          <w:rFonts w:ascii="Arial" w:hAnsi="Arial" w:cs="Arial"/>
        </w:rPr>
      </w:pPr>
    </w:p>
    <w:p w14:paraId="2D98CAFD" w14:textId="77777777" w:rsidR="009927A8" w:rsidRPr="00225AB0" w:rsidRDefault="009927A8" w:rsidP="006832FB">
      <w:pPr>
        <w:spacing w:line="480" w:lineRule="auto"/>
        <w:rPr>
          <w:rFonts w:ascii="Arial" w:hAnsi="Arial" w:cs="Arial"/>
        </w:rPr>
      </w:pPr>
    </w:p>
    <w:p w14:paraId="59B02466" w14:textId="77777777" w:rsidR="006832FB" w:rsidRDefault="006832FB" w:rsidP="001811CC">
      <w:pPr>
        <w:pStyle w:val="Heading2"/>
        <w:numPr>
          <w:ilvl w:val="1"/>
          <w:numId w:val="6"/>
        </w:numPr>
        <w:rPr>
          <w:rFonts w:ascii="Arial" w:hAnsi="Arial" w:cs="Arial"/>
          <w:b/>
          <w:color w:val="000000" w:themeColor="text1"/>
          <w:sz w:val="28"/>
          <w:szCs w:val="28"/>
        </w:rPr>
      </w:pPr>
      <w:bookmarkStart w:id="556" w:name="_Toc11148007"/>
      <w:bookmarkStart w:id="557" w:name="_Toc11153956"/>
      <w:bookmarkStart w:id="558" w:name="_Toc11753659"/>
      <w:bookmarkStart w:id="559" w:name="_Toc11926845"/>
      <w:bookmarkStart w:id="560" w:name="_Toc11930090"/>
      <w:bookmarkStart w:id="561" w:name="_Toc16075406"/>
      <w:bookmarkStart w:id="562" w:name="_Toc16237017"/>
      <w:r w:rsidRPr="00D8518F">
        <w:rPr>
          <w:rFonts w:ascii="Arial" w:hAnsi="Arial" w:cs="Arial"/>
          <w:b/>
          <w:color w:val="000000" w:themeColor="text1"/>
          <w:sz w:val="28"/>
          <w:szCs w:val="28"/>
        </w:rPr>
        <w:lastRenderedPageBreak/>
        <w:t>Introduction</w:t>
      </w:r>
      <w:bookmarkEnd w:id="556"/>
      <w:bookmarkEnd w:id="557"/>
      <w:bookmarkEnd w:id="558"/>
      <w:bookmarkEnd w:id="559"/>
      <w:bookmarkEnd w:id="560"/>
      <w:bookmarkEnd w:id="561"/>
      <w:bookmarkEnd w:id="562"/>
    </w:p>
    <w:p w14:paraId="55714AC0" w14:textId="77777777" w:rsidR="00D8518F" w:rsidRPr="00D8518F" w:rsidRDefault="00D8518F" w:rsidP="00D8518F"/>
    <w:p w14:paraId="764D7E97" w14:textId="188FA8CC" w:rsidR="006832FB" w:rsidRPr="00225AB0" w:rsidRDefault="006832FB" w:rsidP="006832FB">
      <w:pPr>
        <w:spacing w:line="480" w:lineRule="auto"/>
        <w:rPr>
          <w:rFonts w:ascii="Arial" w:hAnsi="Arial" w:cs="Arial"/>
        </w:rPr>
      </w:pPr>
      <w:r w:rsidRPr="00225AB0">
        <w:rPr>
          <w:rFonts w:ascii="Arial" w:hAnsi="Arial" w:cs="Arial"/>
        </w:rPr>
        <w:t xml:space="preserve">Visual attention is a highly important mechanism for successful interaction with our environment. Attention acts as filter, increasing the processing of task-relevant information at the expense of the remaining visual field, to allow for targeted and efficient processing of an otherwise overwhelming amount of information </w:t>
      </w:r>
      <w:r w:rsidRPr="00225AB0">
        <w:rPr>
          <w:rFonts w:ascii="Arial" w:hAnsi="Arial" w:cs="Arial"/>
          <w:noProof/>
        </w:rPr>
        <w:t>(e.g.</w:t>
      </w:r>
      <w:r w:rsidRPr="00225AB0">
        <w:rPr>
          <w:rFonts w:ascii="Arial" w:hAnsi="Arial" w:cs="Arial"/>
          <w:noProof/>
        </w:rPr>
        <w:fldChar w:fldCharType="begin"/>
      </w:r>
      <w:r w:rsidR="005B4361">
        <w:rPr>
          <w:rFonts w:ascii="Arial" w:hAnsi="Arial" w:cs="Arial"/>
          <w:noProof/>
        </w:rPr>
        <w:instrText xml:space="preserve"> ADDIN ZOTERO_ITEM CSL_CITATION {"citationID":"JPBdxvOU","properties":{"formattedCitation":"(Posner, Snyder, &amp; Davidson, 1980)","plainCitation":"(Posner, Snyder, &amp; Davidson, 1980)","dontUpdate":true,"noteIndex":0},"citationItems":[{"id":234,"uris":["http://zotero.org/groups/318634/items/D52XHSBT"],"uri":["http://zotero.org/groups/318634/items/D52XHSBT"],"itemData":{"id":234,"type":"article-journal","title":"Attention and the detection of signals","container-title":"Journal of Experimental Psychology","page":"160-174","volume":"109","issue":"2","source":"PubMed","abstract":"Detection of a visual signal requires information to reach a system capable of eliciting arbitrary responses required by the experimenter. Detection latencies are reduced when subjects receive a cue that indicates where in the visual field the signal will occur. This shift in efficiency appears to be due to an alignment (orienting) of the central attentional system with the pathways to be activated by the visual input. It would also be possible to describe these results as being due to a reduced criterion at the expected target position. However, this description ignores important constraints about the way in which expectancy improves performance. First, when subjects are cued on each trial, they show stronger expectancy effects than when a probable position is held constant for a block, indicating the active nature of the expectancy. Second, while information on spatial position improves performance, information on the form of the stimulus does not. Third, expectancy may lead to improvements in latency without a reduction in accuracy. Fourth, there appears to be little ability to lower the criterion at two positions that are not spatially contiguous. A framework involving the employment of a limited-capacity attentional mechanism seems to capture these constraints better than the more general language of criterion setting. Using this framework, we find that attention shifts are not closely related to the saccadic eye movement system. For luminance detection the retina appears to be equipotential with respect to attention shifts, since costs to unexpected stimuli are similar whether foveal or peripheral. These results appear to provide an important model system for the study of the relationship between attention and the structure of the visual system.","ISSN":"0022-1015","note":"PMID: 7381367","journalAbbreviation":"J Exp Psychol","language":"eng","author":[{"family":"Posner","given":"M. I."},{"family":"Snyder","given":"C. R."},{"family":"Davidson","given":"B. J."}],"issued":{"date-parts":[["1980",6]]}}}],"schema":"https://github.com/citation-style-language/schema/raw/master/csl-citation.json"} </w:instrText>
      </w:r>
      <w:r w:rsidRPr="00225AB0">
        <w:rPr>
          <w:rFonts w:ascii="Arial" w:hAnsi="Arial" w:cs="Arial"/>
          <w:noProof/>
        </w:rPr>
        <w:fldChar w:fldCharType="separate"/>
      </w:r>
      <w:r w:rsidRPr="00225AB0">
        <w:rPr>
          <w:rFonts w:ascii="Arial" w:hAnsi="Arial" w:cs="Arial"/>
          <w:noProof/>
        </w:rPr>
        <w:t xml:space="preserve"> Posner, Snyder, &amp; Davidson, 1980)</w:t>
      </w:r>
      <w:r w:rsidRPr="00225AB0">
        <w:rPr>
          <w:rFonts w:ascii="Arial" w:hAnsi="Arial" w:cs="Arial"/>
          <w:noProof/>
        </w:rPr>
        <w:fldChar w:fldCharType="end"/>
      </w:r>
      <w:r w:rsidRPr="00225AB0">
        <w:rPr>
          <w:rFonts w:ascii="Arial" w:hAnsi="Arial" w:cs="Arial"/>
        </w:rPr>
        <w:t xml:space="preserve">. Attention has been demonstrated to increase activation </w:t>
      </w:r>
      <w:r w:rsidR="00D44AC6">
        <w:rPr>
          <w:rFonts w:ascii="Arial" w:hAnsi="Arial" w:cs="Arial"/>
        </w:rPr>
        <w:t>in</w:t>
      </w:r>
      <w:r w:rsidRPr="00225AB0">
        <w:rPr>
          <w:rFonts w:ascii="Arial" w:hAnsi="Arial" w:cs="Arial"/>
        </w:rPr>
        <w:t xml:space="preserve"> the visual cortex in regions associated with a particular spatial location </w:t>
      </w:r>
      <w:r w:rsidR="00D44AC6">
        <w:rPr>
          <w:rFonts w:ascii="Arial" w:hAnsi="Arial" w:cs="Arial"/>
        </w:rPr>
        <w:t>in</w:t>
      </w:r>
      <w:r w:rsidRPr="00225AB0">
        <w:rPr>
          <w:rFonts w:ascii="Arial" w:hAnsi="Arial" w:cs="Arial"/>
        </w:rPr>
        <w:t xml:space="preserve"> the visual field </w:t>
      </w:r>
      <w:r w:rsidRPr="00225AB0">
        <w:rPr>
          <w:rFonts w:ascii="Arial" w:hAnsi="Arial" w:cs="Arial"/>
        </w:rPr>
        <w:fldChar w:fldCharType="begin"/>
      </w:r>
      <w:r w:rsidR="005B4361">
        <w:rPr>
          <w:rFonts w:ascii="Arial" w:hAnsi="Arial" w:cs="Arial"/>
        </w:rPr>
        <w:instrText xml:space="preserve"> ADDIN ZOTERO_ITEM CSL_CITATION {"citationID":"KgmKlV27","properties":{"formattedCitation":"(T Z Lauritzen et al., 2010; Luck et al., 1997; Moran &amp; Desimone, 1985; Roger BH Tootell et al., 1998b; Verghese et al., 2012)","plainCitation":"(T Z Lauritzen et al., 2010; Luck et al., 1997; Moran &amp; Desimone, 1985; Roger BH Tootell et al., 1998b; Verghese et al., 2012)","dontUpdate":true,"noteIndex":0},"citationItems":[{"id":126,"uris":["http://zotero.org/groups/318634/items/Z3DC3RRC"],"uri":["http://zotero.org/groups/318634/items/Z3DC3RRC"],"itemData":{"id":126,"type":"article-journal","title":"The effects of visuospatial attention measured across visual cortex using source-imaged, steady-state EEG","container-title":"Journal of Vision","page":"1-17","volume":"10","issue":"14","abstract":"How does attention alter neural responses? Decades of electrophysiological measurements in non-human primates as well as human EEG and fMRI studies have shown that spatial attention modulates firing rates across the visual cortex, but the computations that drive this process are still unclear. Further, while it is well known that attention affects perception, we have only a limited understanding of the link between attentionally driven changes in neural firing rates and subject performance. Here we used a novel human neuroimaging method to measure the effect of spatial attention on neural responses in V1, hMT+, hV4, and the intraparietal sulcus (IPS). Attention altered signals in different ways across the visual cortex: areas V1, hMT+, and IPS exhibited primarily response gain changes while hV4 showed contrast gain modulation. Signals in V1, hMT+, and IPS correlated with contrast detection performance suggesting that behavior can be predicted by population-level signals as early as striate cortex.","DOI":"10.1167/10.14.39","ISSN":"1534-7362 (Electronic) 1534-7362 (Linking)","language":"eng","author":[{"family":"Lauritzen","given":"T Z"},{"family":"Ales","given":"J M"},{"family":"Wade","given":"A R"}],"issued":{"date-parts":[["2010"]]}}},{"id":238,"uris":["http://zotero.org/groups/318634/items/9LJE75EZ"],"uri":["http://zotero.org/groups/318634/items/9LJE75EZ"],"itemData":{"id":238,"type":"article-journal","title":"Neural mechanisms of spatial selective attention in areas V1, V2, and V4 of macaque visual cortex","container-title":"Journal of Neurophysiology","page":"24-42","volume":"77","issue":"1","source":"PubMed","abstract":"Many neurons in extrastriate visual cortex have large receptive fields, and this may lead to significant computational problems whenever multiple stimuli fall within a single field. Previous studies have suggested that when multiple stimuli fall within a cell's receptive field, they compete for the cell's response in a manner that can be biased in favor of attended stimuli. In the present study we examined this role of attention in areas V1, V2, and V4 of macaque monkeys with the use of a behavioral paradigm in which attention was directed to one of two stimulus locations. When two stimuli were presented simultaneously inside the cell's receptive field (which could be accomplished only in areas V2 and V4), we found that the cell's response was strongly influenced by which of the two stimuli was attended. The size of this attention effect was reduced when the attended and ignored stimuli were presented sequentially rather than simultaneously. In addition, the effects became very weak and inconsistent in these areas when only one of the two stimuli was located inside the receptive field. Attention thus modulated sensory responses primarily when two or more simultaneous stimuli competed for access to a neuron's receptive field. As in areas V2 and V4, attention did not modulate sensory responses in area V1 when only a single stimulus was inside the receptive field. In addition, the small receptive fields in this area precluded the simultaneous presentation of attended and ignored stimuli inside the receptive field, making it impossible to determine whether attention effects would be observed under the conditions that led to consistent attention effects in areas V2 and V4. Spontaneous firing rates in areas V2 and V4 were found to be 30-40% higher when attention was directed inside rather than outside the receptive field, even when no stimulus was present in the receptive field. Spontaneous firing rates also varied according to the particular location within the receptive field that was attended. These shifts in spontaneous activity may reflect a top-down signal that biases responses in favor of stimuli at the attended location.","DOI":"10.1152/jn.1997.77.1.24","ISSN":"0022-3077","note":"PMID: 9120566","journalAbbreviation":"J. Neurophysiol.","language":"eng","author":[{"family":"Luck","given":"S. J."},{"family":"Chelazzi","given":"L."},{"family":"Hillyard","given":"S. A."},{"family":"Desimone","given":"R."}],"issued":{"date-parts":[["1997",1]]}}},{"id":160,"uris":["http://zotero.org/groups/318634/items/7JVFQMGH"],"uri":["http://zotero.org/groups/318634/items/7JVFQMGH"],"itemData":{"id":160,"type":"article-journal","title":"Selective attention gates visual processing in the extrastriate cortex","container-title":"Science (New York, N.Y.)","page":"782-784","volume":"229","issue":"4715","source":"PubMed","abstract":"Single cells were recorded in the visual cortex of monkeys trained to attend to stimuli at one location in the visual field and ignore stimuli at another. When both locations were within the receptive field of a cell in prestriate area V4 or the inferior temporal cortex, the response to the unattended stimulus was dramatically reduced. Cells in the striate cortex were unaffected by attention. The filtering of irrelevant information from the receptive fields of extrastriate neurons may underlie the ability to identify and remember the properties of a particular object out of the many that may be represented on the retina.","ISSN":"0036-8075","note":"PMID: 4023713","journalAbbreviation":"Science","language":"eng","author":[{"family":"Moran","given":"J."},{"family":"Desimone","given":"R."}],"issued":{"date-parts":[["1985",8,23]]}}},{"id":124,"uris":["http://zotero.org/groups/318634/items/PDNZJVSL"],"uri":["http://zotero.org/groups/318634/items/PDNZJVSL"],"itemData":{"id":124,"type":"article-journal","title":"The retinotopy of visual spatial attention","container-title":"Neuron","page":"1409–1422","volume":"21","issue":"6","source":"Google Scholar","author":[{"family":"Tootell","given":"Roger BH"},{"family":"Hadjikhani","given":"Nouchine"},{"family":"Hall","given":"E. Kevin"},{"family":"Marrett","given":"Sean"},{"family":"Vanduffel","given":"Wim"},{"family":"Vaughan","given":"J. Thomas"},{"family":"Dale","given":"Anders M."}],"issued":{"date-parts":[["1998"]]}}},{"id":123,"uris":["http://zotero.org/groups/318634/items/9BJZM9LR"],"uri":["http://zotero.org/groups/318634/items/9BJZM9LR"],"itemData":{"id":123,"type":"article-journal","title":"Attention selects informative neural populations in human V1","container-title":"Journal of Neuroscience","page":"16379–16390","volume":"32","issue":"46","source":"Google Scholar","author":[{"family":"Verghese","given":"Preeti"},{"family":"Kim","given":"Yee-Joon"},{"family":"Wade","given":"Alex R."}],"issued":{"date-parts":[["2012"]]}}}],"schema":"https://github.com/citation-style-language/schema/raw/master/csl-citation.json"}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(Lauritzen et al., 2010; Luck et al., 1997; Moran &amp; Desimone, 1985; Tootell et al., 1998b; Verghese et al., 2012)</w:t>
      </w:r>
      <w:r w:rsidRPr="00225AB0">
        <w:rPr>
          <w:rFonts w:ascii="Arial" w:hAnsi="Arial" w:cs="Arial"/>
        </w:rPr>
        <w:fldChar w:fldCharType="end"/>
      </w:r>
      <w:r w:rsidRPr="00225AB0">
        <w:rPr>
          <w:rFonts w:ascii="Arial" w:hAnsi="Arial" w:cs="Arial"/>
        </w:rPr>
        <w:t xml:space="preserve">, or to boost the activation of neurons associated with the encoding of an attended visual feature </w:t>
      </w:r>
      <w:r w:rsidRPr="00225AB0">
        <w:rPr>
          <w:rFonts w:ascii="Arial" w:hAnsi="Arial" w:cs="Arial"/>
        </w:rPr>
        <w:fldChar w:fldCharType="begin"/>
      </w:r>
      <w:r w:rsidR="005B4361">
        <w:rPr>
          <w:rFonts w:ascii="Arial" w:hAnsi="Arial" w:cs="Arial"/>
        </w:rPr>
        <w:instrText xml:space="preserve"> ADDIN ZOTERO_ITEM CSL_CITATION {"citationID":"w3zGx2u8","properties":{"formattedCitation":"(Maurizio Corbetta et al., 1990; Mart\\uc0\\u237{}nez-Trujillo &amp; Treue, 2002; Reynolds et al., 2000; Saenz et al., 2002; Serences &amp; Boynton, 2007)","plainCitation":"(Maurizio Corbetta et al., 1990; Martínez-Trujillo &amp; Treue, 2002; Reynolds et al., 2000; Saenz et al., 2002; Serences &amp; Boynton, 2007)","dontUpdate":true,"noteIndex":0},"citationItems":[{"id":128,"uris":["http://zotero.org/groups/318634/items/LHCBHC5P"],"uri":["http://zotero.org/groups/318634/items/LHCBHC5P"],"itemData":{"id":128,"type":"article-journal","title":"Attentional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E."}],"issued":{"date-parts":[["1990"]]}}},{"id":225,"uris":["http://zotero.org/groups/318634/items/NDXH4M3Y"],"uri":["http://zotero.org/groups/318634/items/NDXH4M3Y"],"itemData":{"id":225,"type":"article-journal","title":"Attentional modulation strength in cortical area MT depends on stimulus contrast","container-title":"Neuron","page":"365-370","volume":"35","issue":"2","source":"PubMed","abstract":"The attentional modulation of sensory information processing in the visual system is the result of top-down influences, which can cause a multiplicative modulation of the firing rate of sensory neurons in extrastriate visual cortex, an effect reminiscent of the bottom-up effect of changes in stimulus contrast. This similarity could simply reflect the multiplicity of both effects. But, here we show that in direction-selective neurons in monkey visual cortical area MT, stimulus and attentional effects share a nonlinearity. These neurons show higher response gain for both contrast and attentional changes for intermediate contrast stimuli and smaller gain for low- and high-contrast stimuli. This finding suggests a close relationship between the neural encoding of stimulus contrast and the modulating effect of the behavioral relevance of stimuli.","ISSN":"0896-6273","note":"PMID: 12160753","journalAbbreviation":"Neuron","language":"eng","author":[{"family":"Martínez-Trujillo","given":"Julio"},{"family":"Treue","given":"Stefan"}],"issued":{"date-parts":[["2002",7,18]]}}},{"id":220,"uris":["http://zotero.org/groups/318634/items/SFSCLQ5S"],"uri":["http://zotero.org/groups/318634/items/SFSCLQ5S"],"itemData":{"id":220,"type":"article-journal","title":"Attention increases sensitivity of V4 neurons","container-title":"Neuron","page":"703-714","volume":"26","issue":"3","source":"PubMed","abstract":"When attention is directed to a location in the visual field, sensitivity to stimuli at that location is increased. At the neuronal level, this could arise either through a multiplicative increase in firing rate or through an increase in the effective strength of the stimulus. To test conflicting predictions of these alternative models, we recorded responses of V4 neurons to stimuli across a range of luminance contrasts and measured the change in response when monkeys attended to them in order to discriminate a target stimulus from nontargets. Attention caused greater increases in response at low contrast than at high contrast, consistent with an increase in effective stimulus strength. On average, attention increased the effective contrast of the attended stimulus by a factor of 1.51, an increase of 51% of its physical contrast.","ISSN":"0896-6273","note":"PMID: 10896165","journalAbbreviation":"Neuron","language":"eng","author":[{"family":"Reynolds","given":"J. H."},{"family":"Pasternak","given":"T."},{"family":"Desimone","given":"R."}],"issued":{"date-parts":[["2000",6]]}}},{"id":284,"uris":["http://zotero.org/groups/318634/items/P725U984"],"uri":["http://zotero.org/groups/318634/items/P725U984"],"itemData":{"id":284,"type":"article-journal","title":"Global effects of feature-based attention in human visual cortex","container-title":"Nat Neurosci","page":"631-632","volume":"5","issue":"7","abstract":"The content of visual experience depends on how selective attention is distributed in the visual field. We used functional magnetic resonance imaging (fMRI) in humans to test whether feature-based attention can globally influence visual cortical responses to stimuli outside the attended location. Attention to a stimulus feature (color or direction of motion) increased the response of cortical visual areas to a spatially distant, ignored stimulus that shared the same feature.","author":[{"family":"Saenz","given":"M"},{"family":"Buracas","given":"G T"},{"family":"Boynton","given":"G M"}],"issued":{"date-parts":[["2002"]]}}},{"id":218,"uris":["http://zotero.org/groups/318634/items/46KPA7FT"],"uri":["http://zotero.org/groups/318634/items/46KPA7FT"],"itemData":{"id":218,"type":"article-journal","title":"Feature-based attentional modulations in the absence of direct visual stimulation","container-title":"Neuron","page":"301-312","volume":"55","issue":"2","source":"PubMed","abstract":"When faced with a crowded visual scene, observers must selectively attend to behaviorally relevant objects to avoid sensory overload. Often this selection process is guided by prior knowledge of a target-defining feature (e.g., the color red when looking for an apple), which enhances the firing rate of visual neurons that are selective for the attended feature. Here, we used functional magnetic resonance imaging and a pattern classification algorithm to predict the attentional state of human observers as they monitored a visual feature (one of two directions of motion). We find that feature-specific attention effects spread across the visual field-even to regions of the scene that do not contain a stimulus. This spread of feature-based attention to empty regions of space may facilitate the perception of behaviorally relevant stimuli by increasing sensitivity to attended features at all locations in the visual field.","DOI":"10.1016/j.neuron.2007.06.015","ISSN":"0896-6273","note":"PMID: 17640530","journalAbbreviation":"Neuron","language":"eng","author":[{"family":"Serences","given":"John T."},{"family":"Boynton","given":"Geoffrey M."}],"issued":{"date-parts":[["2007",7,19]]}}}],"schema":"https://github.com/citation-style-language/schema/raw/master/csl-citation.json"} </w:instrText>
      </w:r>
      <w:r w:rsidRPr="00225AB0">
        <w:rPr>
          <w:rFonts w:ascii="Arial" w:hAnsi="Arial" w:cs="Arial"/>
        </w:rPr>
        <w:fldChar w:fldCharType="separate"/>
      </w:r>
      <w:r w:rsidR="00967B1F" w:rsidRPr="00225AB0">
        <w:rPr>
          <w:rFonts w:ascii="Arial" w:hAnsi="Arial" w:cs="Arial"/>
          <w:lang w:val="en-US"/>
        </w:rPr>
        <w:t>(Corbetta et al., 1990; Martínez-Trujillo &amp; Treue, 2002; Reynolds et al., 2000; Saenz et al., 2002; Serences &amp; Boynton, 2007)</w:t>
      </w:r>
      <w:r w:rsidRPr="00225AB0">
        <w:rPr>
          <w:rFonts w:ascii="Arial" w:hAnsi="Arial" w:cs="Arial"/>
        </w:rPr>
        <w:fldChar w:fldCharType="end"/>
      </w:r>
      <w:r w:rsidRPr="00225AB0">
        <w:rPr>
          <w:rFonts w:ascii="Arial" w:hAnsi="Arial" w:cs="Arial"/>
        </w:rPr>
        <w:t xml:space="preserve">. For example, colour-preferring areas such as hV4 demonstrate a significant increase in activation during attention directed towards stimulus chromaticity </w:t>
      </w:r>
      <w:r w:rsidRPr="00225AB0">
        <w:rPr>
          <w:rFonts w:ascii="Arial" w:hAnsi="Arial" w:cs="Arial"/>
        </w:rPr>
        <w:fldChar w:fldCharType="begin"/>
      </w:r>
      <w:r w:rsidR="005B4361">
        <w:rPr>
          <w:rFonts w:ascii="Arial" w:hAnsi="Arial" w:cs="Arial"/>
        </w:rPr>
        <w:instrText xml:space="preserve"> ADDIN ZOTERO_ITEM CSL_CITATION {"citationID":"fNWtKQr4","properties":{"formattedCitation":"(Chawla, Rees, &amp; Friston, 1999; Liu, Slotnick, Serences, &amp; Yantis, 2003; Schoenfeld et al., 2007)","plainCitation":"(Chawla, Rees, &amp; Friston, 1999; Liu, Slotnick, Serences, &amp; Yantis, 2003; Schoenfeld et al., 2007)","dontUpdate":true,"noteIndex":0},"citationItems":[{"id":274,"uris":["http://zotero.org/groups/318634/items/UGNVMIQK"],"uri":["http://zotero.org/groups/318634/items/UGNVMIQK"],"itemData":{"id":274,"type":"article-journal","title":"The physiological basis of attentional modulation in extrastriate visual areas","container-title":"Nature neuroscience","page":"671","volume":"2","issue":"7","source":"Google Scholar","author":[{"family":"Chawla","given":"D."},{"family":"Rees","given":"G."},{"family":"Friston","given":"K. J."}],"issued":{"date-parts":[["1999"]]}}},{"id":122,"uris":["http://zotero.org/groups/318634/items/GGZJ7S7P"],"uri":["http://zotero.org/groups/318634/items/GGZJ7S7P"],"itemData":{"id":122,"type":"article-journal","title":"Cortical mechanisms of feature-based attentional control","container-title":"Cerebral cortex","page":"1334–1343","volume":"13","issue":"12","source":"Google Scholar","author":[{"family":"Liu","given":"Taosheng"},{"literal":"Scott D. Slotnick"},{"family":"Serences","given":"John T."},{"family":"Yantis","given":"Steven"}],"issued":{"date-parts":[["2003"]]}}},{"id":232,"uris":["http://zotero.org/groups/318634/items/QH8DZ4BM"],"uri":["http://zotero.org/groups/318634/items/QH8DZ4BM"],"itemData":{"id":232,"type":"article-journal","title":"Spatio-temporal analysis of feature-based attention","container-title":"Cerebral Cortex","page":"2468–2477","volume":"17","issue":"10","source":"Google Scholar","author":[{"family":"Schoenfeld","given":"Mircea Ariel"},{"family":"Hopf","given":"Jens-Max"},{"family":"Martinez","given":"A."},{"family":"Mai","given":"H. M."},{"family":"Sattler","given":"Christine"},{"family":"Gasde","given":"A."},{"family":"Heinze","given":"Hans-Jochen"},{"family":"Hillyard","given":"S. A."}],"issued":{"date-parts":[["2007"]]}}}],"schema":"https://github.com/citation-style-language/schema/raw/master/csl-citation.json"} </w:instrText>
      </w:r>
      <w:r w:rsidRPr="00225AB0">
        <w:rPr>
          <w:rFonts w:ascii="Arial" w:hAnsi="Arial" w:cs="Arial"/>
        </w:rPr>
        <w:fldChar w:fldCharType="separate"/>
      </w:r>
      <w:r w:rsidRPr="00225AB0">
        <w:rPr>
          <w:rFonts w:ascii="Arial" w:hAnsi="Arial" w:cs="Arial"/>
          <w:noProof/>
        </w:rPr>
        <w:t>(e.g. Chawla, Rees, &amp; Friston, 1999; Liu, Slotnick, Serences, &amp; Yantis, 2003; Schoenfeld et al., 2007)</w:t>
      </w:r>
      <w:r w:rsidRPr="00225AB0">
        <w:rPr>
          <w:rFonts w:ascii="Arial" w:hAnsi="Arial" w:cs="Arial"/>
        </w:rPr>
        <w:fldChar w:fldCharType="end"/>
      </w:r>
      <w:r w:rsidRPr="00225AB0">
        <w:rPr>
          <w:rFonts w:ascii="Arial" w:hAnsi="Arial" w:cs="Arial"/>
        </w:rPr>
        <w:t xml:space="preserve">. </w:t>
      </w:r>
    </w:p>
    <w:p w14:paraId="15FE54B4" w14:textId="77777777" w:rsidR="006832FB" w:rsidRPr="00225AB0" w:rsidRDefault="006832FB" w:rsidP="006832FB">
      <w:pPr>
        <w:spacing w:line="480" w:lineRule="auto"/>
        <w:rPr>
          <w:rFonts w:ascii="Arial" w:hAnsi="Arial" w:cs="Arial"/>
        </w:rPr>
      </w:pPr>
    </w:p>
    <w:p w14:paraId="59043BF4" w14:textId="5A4B48B7" w:rsidR="006832FB" w:rsidRPr="00225AB0" w:rsidRDefault="006832FB" w:rsidP="006832FB">
      <w:pPr>
        <w:spacing w:line="480" w:lineRule="auto"/>
        <w:rPr>
          <w:rFonts w:ascii="Arial" w:hAnsi="Arial" w:cs="Arial"/>
        </w:rPr>
      </w:pPr>
      <w:r w:rsidRPr="00225AB0">
        <w:rPr>
          <w:rFonts w:ascii="Arial" w:hAnsi="Arial" w:cs="Arial"/>
        </w:rPr>
        <w:t xml:space="preserve">Here, we wished to expand upon our previous experiment, investigating attentional modulation effects during manipulation of the low-level visual feature attended, and also of the stimulus chromaticity. The segregation of chromatic information begins with the three cone photoreceptors types </w:t>
      </w:r>
      <w:r w:rsidR="00D44AC6">
        <w:rPr>
          <w:rFonts w:ascii="Arial" w:hAnsi="Arial" w:cs="Arial"/>
        </w:rPr>
        <w:t>in</w:t>
      </w:r>
      <w:r w:rsidRPr="00225AB0">
        <w:rPr>
          <w:rFonts w:ascii="Arial" w:hAnsi="Arial" w:cs="Arial"/>
        </w:rPr>
        <w:t xml:space="preserve"> the retina, where information is then transported via the lateral geniculate nucleus (LGN) to the initial locus of cortical processing (primary visual cortex) through distinct magnocellular and parvocellular pathways, which segregate luminance from chromatic information respectively. The parvocellular pathway contains information from the comparison of long- and </w:t>
      </w:r>
      <w:r w:rsidRPr="00225AB0">
        <w:rPr>
          <w:rFonts w:ascii="Arial" w:hAnsi="Arial" w:cs="Arial"/>
        </w:rPr>
        <w:lastRenderedPageBreak/>
        <w:t xml:space="preserve">medium-wavelength sensitive cone activation (L-M), signalling the red-green dimension of colour, whereas the magnocellular pathway contains information about the sum of L- and M-cone signals (L+M), coding achromatic information </w:t>
      </w:r>
      <w:r w:rsidRPr="00225AB0">
        <w:rPr>
          <w:rFonts w:ascii="Arial" w:hAnsi="Arial" w:cs="Arial"/>
        </w:rPr>
        <w:fldChar w:fldCharType="begin"/>
      </w:r>
      <w:r w:rsidR="005B4361">
        <w:rPr>
          <w:rFonts w:ascii="Arial" w:hAnsi="Arial" w:cs="Arial"/>
        </w:rPr>
        <w:instrText xml:space="preserve"> ADDIN ZOTERO_ITEM CSL_CITATION {"citationID":"2ukt0kH9","properties":{"formattedCitation":"(Wandell, 1995)","plainCitation":"(Wandell, 1995)","dontUpdate":true,"noteIndex":0},"citationItems":[{"id":178,"uris":["http://zotero.org/groups/318634/items/XNG7C5B7"],"uri":["http://zotero.org/groups/318634/items/XNG7C5B7"],"itemData":{"id":178,"type":"book","title":"Foundations of vision","collection-title":"Foundations of vision","publisher":"Sinauer Associates","publisher-place":"Sunderland, MA, US","number-of-pages":"xvi, 476","source":"APA PsycNET","event-place":"Sunderland, MA, US","abstract":"[This book is divided] into 3 parts that reflect 3 of the basic problems of vision: encoding, representation, and interpretation.  Part 1 describes how the retinal image is encoded by the visual pathways. The material in this section is particularly important for 3 reasons. First, how the visual system encodes light has implications for everything else the visual pathways do.  Second, the properties of visual encoding have implications for the design of instruments that display visual information.  Third, the methods and standards of proof that are used to understand image encoding set an important example concerning the standards of explanation we aim to achieve at all levels of vision science.  Part 2 of this volume reviews how the encoded image is represented by the neural response within the peripheral and early cortical visual pathways.  The 2nd half of Part 2 reviews behavioral and computational studies of image representation.  Part 3 contains examples of how we interpret the retinal image and assign perceptual properties such as color, motion, and shape to objects. (PsycINFO Database Record (c) 2016 APA, all rights reserved)","ISBN":"978-0-87893-853-7","author":[{"family":"Wandell","given":"Brian A."}],"issued":{"date-parts":[["1995"]]}}}],"schema":"https://github.com/citation-style-language/schema/raw/master/csl-citation.json"} </w:instrText>
      </w:r>
      <w:r w:rsidRPr="00225AB0">
        <w:rPr>
          <w:rFonts w:ascii="Arial" w:hAnsi="Arial" w:cs="Arial"/>
        </w:rPr>
        <w:fldChar w:fldCharType="separate"/>
      </w:r>
      <w:r w:rsidRPr="00225AB0">
        <w:rPr>
          <w:rFonts w:ascii="Arial" w:hAnsi="Arial" w:cs="Arial"/>
          <w:noProof/>
        </w:rPr>
        <w:t>(see Wandell, 1995 for a review)</w:t>
      </w:r>
      <w:r w:rsidRPr="00225AB0">
        <w:rPr>
          <w:rFonts w:ascii="Arial" w:hAnsi="Arial" w:cs="Arial"/>
        </w:rPr>
        <w:fldChar w:fldCharType="end"/>
      </w:r>
      <w:r w:rsidRPr="00225AB0">
        <w:rPr>
          <w:rFonts w:ascii="Arial" w:hAnsi="Arial" w:cs="Arial"/>
        </w:rPr>
        <w:t xml:space="preserve">. A further, separate S-cone (koniocellular) pathway carries information from a third type of cone photoreceptor, sensitive to short-wavelengths of light. This pathway compares S-cone activation with L and M-cone responses (S-(L+M)) to signal the blue-yellow dimension of colour space </w:t>
      </w:r>
      <w:r w:rsidRPr="00225AB0">
        <w:rPr>
          <w:rFonts w:ascii="Arial" w:hAnsi="Arial" w:cs="Arial"/>
        </w:rPr>
        <w:fldChar w:fldCharType="begin"/>
      </w:r>
      <w:r w:rsidR="005B4361">
        <w:rPr>
          <w:rFonts w:ascii="Arial" w:hAnsi="Arial" w:cs="Arial"/>
        </w:rPr>
        <w:instrText xml:space="preserve"> ADDIN ZOTERO_ITEM CSL_CITATION {"citationID":"WxIWeHBR","properties":{"formattedCitation":"(Casagrande, 1994; Chatterjee &amp; Callaway, 2003)","plainCitation":"(Casagrande, 1994; Chatterjee &amp; Callaway, 2003)","noteIndex":0},"citationItems":[{"id":11,"uris":["http://zotero.org/groups/318634/items/WSK7JD7I"],"uri":["http://zotero.org/groups/318634/items/WSK7JD7I"],"itemData":{"id":11,"type":"article-journal","title":"A third parallel visual pathway to primate area V1","container-title":"Trends in Neurosciences","page":"305-310","volume":"17","issue":"7","source":"PubMed","abstract":"Recent studies of the primate visual system have focused on the proposal that the perception of form and motion are processed by two parallel pathways that originate from separate populations of cells in the retina. Earlier proposals for parallel processing of visual signals identified a third pathway that could be traced from the retina to the visual cortex. This third pathway was assumed to be unimportant. A growing body of evidence suggests that this pathway to cortex is distinct anatomically, physiologically and neurochemically, and is well represented in primates. These findings raise new and interesting questions not only about the role of this pathway, but also about the intracortical integration of afferent parallel signals.","ISSN":"0166-2236","note":"PMID: 7524217","journalAbbreviation":"Trends Neurosci.","language":"eng","author":[{"family":"Casagrande","given":"V. A."}],"issued":{"date-parts":[["1994",7]]}}},{"id":183,"uris":["http://zotero.org/groups/318634/items/RU2KQT8G"],"uri":["http://zotero.org/groups/318634/items/RU2KQT8G"],"itemData":{"id":183,"type":"article-journal","title":"Parallel colour-opponent pathways to primary visual cortex","container-title":"Nature","page":"668-671","volume":"426","issue":"6967","source":"PubMed","abstract":"The trichromatic primate retina parses the colour content of a visual scene into 'red/green' and 'blue/yellow' representations. Cortical circuits must combine the information encoded in these colour-opponent signals to reconstruct the full range of perceived colours. Red/green and blue/yellow inputs are relayed by the lateral geniculate nucleus (LGN) of thalamus to primary visual cortex (V1), so understanding how cortical circuits transform these signals requires understanding how LGN inputs to V1 are organized. Here we report direct recordings from LGN afferent axons in muscimol-inactivated V1. We found that blue/yellow afferents terminated exclusively in superficial cortical layers 3B and 4A, whereas red/green afferents were encountered only in deeper cortex, in lower layer 4C. We also describe a distinct cortical target for 'blue-OFF' cells, whose afferents terminated in layer 4A and seemed patchy in organization. The more common 'blue-ON' afferents were found in 4A as well as lower layer 2/3. Chromatic information is thus conveyed to V1 by parallel, anatomically segregated colour-opponent systems, to be combined at a later stage of the colour circuit.","DOI":"10.1038/nature02167","ISSN":"1476-4687","note":"PMID: 14668866","journalAbbreviation":"Nature","language":"eng","author":[{"family":"Chatterjee","given":"Soumya"},{"family":"Callaway","given":"Edward M."}],"issued":{"date-parts":[["2003",12,11]]}}}],"schema":"https://github.com/citation-style-language/schema/raw/master/csl-citation.json"} </w:instrText>
      </w:r>
      <w:r w:rsidRPr="00225AB0">
        <w:rPr>
          <w:rFonts w:ascii="Arial" w:hAnsi="Arial" w:cs="Arial"/>
        </w:rPr>
        <w:fldChar w:fldCharType="separate"/>
      </w:r>
      <w:r w:rsidRPr="00225AB0">
        <w:rPr>
          <w:rFonts w:ascii="Arial" w:hAnsi="Arial" w:cs="Arial"/>
          <w:noProof/>
        </w:rPr>
        <w:t>(Casagrande, 1994; Chatterjee &amp; Callaway, 2003)</w:t>
      </w:r>
      <w:r w:rsidRPr="00225AB0">
        <w:rPr>
          <w:rFonts w:ascii="Arial" w:hAnsi="Arial" w:cs="Arial"/>
        </w:rPr>
        <w:fldChar w:fldCharType="end"/>
      </w:r>
      <w:r w:rsidRPr="00225AB0">
        <w:rPr>
          <w:rFonts w:ascii="Arial" w:hAnsi="Arial" w:cs="Arial"/>
        </w:rPr>
        <w:t xml:space="preserve">. Each of these pathways project to distinct layers of the primary visual cortex. The primary visual cortex (V1) has also been demonstrated to possess cytochrome oxidase (CO) blobs, considered to have weak orientation tuning, but a robust response to isoluminant colour </w:t>
      </w:r>
      <w:r w:rsidRPr="00225AB0">
        <w:rPr>
          <w:rFonts w:ascii="Arial" w:hAnsi="Arial" w:cs="Arial"/>
        </w:rPr>
        <w:fldChar w:fldCharType="begin"/>
      </w:r>
      <w:r w:rsidR="005B4361">
        <w:rPr>
          <w:rFonts w:ascii="Arial" w:hAnsi="Arial" w:cs="Arial"/>
        </w:rPr>
        <w:instrText xml:space="preserve"> ADDIN ZOTERO_ITEM CSL_CITATION {"citationID":"wePdrOyi","properties":{"formattedCitation":"(M. S. Livingstone &amp; Hubel, 1984)","plainCitation":"(M. S. Livingstone &amp; Hubel, 1984)","dontUpdate":true,"noteIndex":0},"citationItems":[{"id":8,"uris":["http://zotero.org/groups/318634/items/EL3AW4KZ"],"uri":["http://zotero.org/groups/318634/items/EL3AW4KZ"],"itemData":{"id":8,"type":"article-journal","title":"Anatomy and physiology of a color system in the primate visual cortex","container-title":"The Journal of Neuroscience: The Official Journal of the Society for Neuroscience","page":"309-356","volume":"4","issue":"1","source":"PubMed","abstract":"Staining for the mitochondrial enzyme cytochrome oxidase reveals an array of dense regions (blobs) in the primate primary visual cortex. They are most obvious in the upper layers, 2 and 3, but can also be seen in layers 4B, 5, and 6, in register with the blobs in layers 2 and 3. We compared cells inside and outside blobs in macaque and squirrel monkeys, looking at their physiological responses and anatomical connections. Cells within blobs did not show orientation selectivity, whereas cells between blobs were highly orientation selective. Receptive fields of blob cells had circular symmetry and were of three main types, Broad-Band Center-Surround, Red-Green Double-Opponent, and Yellow-Blue Double-Opponent. Double-Opponent cells responded poorly or not at all to white light in any form, or to diffuse light at any wavelength. In contrast to blob cells, none of the cells recorded in layer 4C beta were Double-Opponent: like the majority of cells in the parvocellular geniculate layers, they were either Broad-Band or Color-Opponent Center-Surround, e.g., red-on-center green-off-surround. To our surprise cells in layer 4C alpha were orientation selective. In tangential penetrations throughout layers 2 and 3, optium orientation, when plotted against electrode position, formed long, regular, usually linear sequences, which were interrupted but not perturbed by the blobs. Staining area 18 for cytochrome oxidase reveals a series of alternating wide and narrow dense stripes, separated by paler interstripes. After small injections of horseradish peroxidase into area 18, we saw a precise set of connections from the blobs in area 17 to thin stripes in area 18, and from the interblob regions in area 17 to interstripes in area 18. Specific reciprocal connections also ran from thin stripes to blobs and from interstripes to interblobs. We have not yet determined the area 17 connections to thick stripes in area 18. In addition, within area 18 there are stripe-to-stripe and interstripe-to-interstripe intrinsic connections. These results suggest that a system involved in the processing of color information, especially color-spatial interactions, runs parallel to and separate from the orientation-specific system. Color, encoded in three coordinates by the major blob cell types, red-green, yellow-blue, and black-white, can be transformed into the three coordinates, red, green, and blue, of the Retinex algorithm of Land.","ISSN":"0270-6474","note":"PMID: 6198495","journalAbbreviation":"J. Neurosci.","language":"eng","author":[{"family":"Livingstone","given":"M. S."},{"family":"Hubel","given":"D. H."}],"issued":{"date-parts":[["1984",1]]}}}],"schema":"https://github.com/citation-style-language/schema/raw/master/csl-citation.json"}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(Livingstone &amp; Hubel, 1984)</w:t>
      </w:r>
      <w:r w:rsidRPr="00225AB0">
        <w:rPr>
          <w:rFonts w:ascii="Arial" w:hAnsi="Arial" w:cs="Arial"/>
        </w:rPr>
        <w:fldChar w:fldCharType="end"/>
      </w:r>
      <w:r w:rsidRPr="00225AB0">
        <w:rPr>
          <w:rFonts w:ascii="Arial" w:hAnsi="Arial" w:cs="Arial"/>
        </w:rPr>
        <w:t xml:space="preserve">, though the extent these blobs are explicitly </w:t>
      </w:r>
      <w:r w:rsidR="00624D44">
        <w:rPr>
          <w:rFonts w:ascii="Arial" w:hAnsi="Arial" w:cs="Arial"/>
        </w:rPr>
        <w:t>dedicated to colour as opposed to form vision is</w:t>
      </w:r>
      <w:r w:rsidRPr="00225AB0">
        <w:rPr>
          <w:rFonts w:ascii="Arial" w:hAnsi="Arial" w:cs="Arial"/>
        </w:rPr>
        <w:t xml:space="preserve"> debated </w:t>
      </w:r>
      <w:r w:rsidRPr="00225AB0">
        <w:rPr>
          <w:rFonts w:ascii="Arial" w:hAnsi="Arial" w:cs="Arial"/>
        </w:rPr>
        <w:fldChar w:fldCharType="begin"/>
      </w:r>
      <w:r w:rsidR="005B4361">
        <w:rPr>
          <w:rFonts w:ascii="Arial" w:hAnsi="Arial" w:cs="Arial"/>
        </w:rPr>
        <w:instrText xml:space="preserve"> ADDIN ZOTERO_ITEM CSL_CITATION {"citationID":"gPknVoej","properties":{"formattedCitation":"(Economides, Sincich, Adams, &amp; Horton, 2011)","plainCitation":"(Economides, Sincich, Adams, &amp; Horton, 2011)","dontUpdate":true,"noteIndex":0},"citationItems":[{"id":269,"uris":["http://zotero.org/groups/318634/items/DCCSC5AT"],"uri":["http://zotero.org/groups/318634/items/DCCSC5AT"],"itemData":{"id":269,"type":"article-journal","title":"Orientation tuning of cytochrome oxidase patches in macaque primary visual cortex","container-title":"Nature neuroscience","page":"1574","volume":"14","issue":"12","source":"Google Scholar","author":[{"family":"Economides","given":"John R."},{"family":"Sincich","given":"Lawrence C."},{"family":"Adams","given":"Daniel L."},{"family":"Horton","given":"Jonathan C."}],"issued":{"date-parts":[["2011"]]}}}],"schema":"https://github.com/citation-style-language/schema/raw/master/csl-citation.json"} </w:instrText>
      </w:r>
      <w:r w:rsidRPr="00225AB0">
        <w:rPr>
          <w:rFonts w:ascii="Arial" w:hAnsi="Arial" w:cs="Arial"/>
        </w:rPr>
        <w:fldChar w:fldCharType="separate"/>
      </w:r>
      <w:r w:rsidRPr="00225AB0">
        <w:rPr>
          <w:rFonts w:ascii="Arial" w:hAnsi="Arial" w:cs="Arial"/>
          <w:noProof/>
        </w:rPr>
        <w:t>(see Economides, Sincich, Adams, &amp; Horton, 2011)</w:t>
      </w:r>
      <w:r w:rsidRPr="00225AB0">
        <w:rPr>
          <w:rFonts w:ascii="Arial" w:hAnsi="Arial" w:cs="Arial"/>
        </w:rPr>
        <w:fldChar w:fldCharType="end"/>
      </w:r>
      <w:r w:rsidRPr="00225AB0">
        <w:rPr>
          <w:rFonts w:ascii="Arial" w:hAnsi="Arial" w:cs="Arial"/>
        </w:rPr>
        <w:t xml:space="preserve">. </w:t>
      </w:r>
    </w:p>
    <w:p w14:paraId="127CF32F" w14:textId="77777777" w:rsidR="006832FB" w:rsidRPr="00225AB0" w:rsidRDefault="006832FB" w:rsidP="006832FB">
      <w:pPr>
        <w:spacing w:line="480" w:lineRule="auto"/>
        <w:rPr>
          <w:rFonts w:ascii="Arial" w:hAnsi="Arial" w:cs="Arial"/>
        </w:rPr>
      </w:pPr>
    </w:p>
    <w:p w14:paraId="5E8A08FF" w14:textId="244552C2" w:rsidR="006832FB" w:rsidRPr="00225AB0" w:rsidRDefault="006832FB" w:rsidP="006832FB">
      <w:pPr>
        <w:spacing w:line="480" w:lineRule="auto"/>
        <w:rPr>
          <w:rFonts w:ascii="Arial" w:hAnsi="Arial" w:cs="Arial"/>
        </w:rPr>
      </w:pPr>
      <w:r w:rsidRPr="00225AB0">
        <w:rPr>
          <w:rFonts w:ascii="Arial" w:hAnsi="Arial" w:cs="Arial"/>
        </w:rPr>
        <w:t xml:space="preserve">Beyond these initial synapses </w:t>
      </w:r>
      <w:r w:rsidR="00D44AC6">
        <w:rPr>
          <w:rFonts w:ascii="Arial" w:hAnsi="Arial" w:cs="Arial"/>
        </w:rPr>
        <w:t>in</w:t>
      </w:r>
      <w:r w:rsidRPr="00225AB0">
        <w:rPr>
          <w:rFonts w:ascii="Arial" w:hAnsi="Arial" w:cs="Arial"/>
        </w:rPr>
        <w:t xml:space="preserve"> V1, the segregation of chromatic information is less clearly understood. Some suggest segregation of chromatic information may persist higher in the visual cortex, with projections from V1 colour-sensitive blobs thought to input to distinct thin stripe regions of V2 </w:t>
      </w:r>
      <w:r w:rsidRPr="00225AB0">
        <w:rPr>
          <w:rFonts w:ascii="Arial" w:hAnsi="Arial" w:cs="Arial"/>
        </w:rPr>
        <w:fldChar w:fldCharType="begin"/>
      </w:r>
      <w:r w:rsidR="005B4361">
        <w:rPr>
          <w:rFonts w:ascii="Arial" w:hAnsi="Arial" w:cs="Arial"/>
        </w:rPr>
        <w:instrText xml:space="preserve"> ADDIN ZOTERO_ITEM CSL_CITATION {"citationID":"5CPY8sT8","properties":{"formattedCitation":"(Levitt et al., 1994; M. S. Livingstone &amp; Hubel, 1984)","plainCitation":"(Levitt et al., 1994; M. S. Livingstone &amp; Hubel, 1984)","dontUpdate":true,"noteIndex":0},"citationItems":[{"id":120,"uris":["http://zotero.org/groups/318634/items/7B65LEMN"],"uri":["http://zotero.org/groups/318634/items/7B65LEMN"],"itemData":{"id":120,"type":"article-journal","title":"Receptive fields and functional architecture of macaque V2","container-title":"Journal of Neurophysiology","page":"2517-2542","volume":"71","issue":"6","source":"PubMed","abstract":"1. Visual area V2 of macaque monkey cerebral cortex is the largest of the extrastriate visual areas, yet surprisingly little is known of its neuronal properties. We have made a quantitative analysis of V2 receptive field properties. Our set of measurements was chosen to distinguish neuronal responses reflecting parvocellular (P) or magnocellular (M) inputs and to permit comparison with similar measurements made in other visual areas; we further describe the relationship of those properties to the laminar and cytochrome oxidase (CO) architecture of V2. 2. We recorded the activity of single units representing the central 5 degrees in all laminae and CO divisions of V2 in anesthetized, paralyzed macaque monkeys. We studied responses to geometric targets and to drifting sinusoidal gratings that varied in orientation, spatial frequency, drift rate, contrast, and color. 3. The orientation selectivity and spatial and temporal tuning of V2 neurons differed little from those in V1. As in V1, spatial and temporal tuning in V2 appeared separable, and we identified a population of simple cells (more common within the central 3 degrees) similar to those found in V1. Contrast sensitivity of V2 neurons was greater on average than in V1, perhaps reflecting the summation of inputs in V2's larger receptive fields. Many V2 neurons exhibited some degree of chromatic opponency, responding to isoluminant color variations, but these neurons differed from V1 in the linearity with which they summate cone signals. 4. In agreement with others, we found that neurons with selective responses to color, size, and motion did seem to cluster in different CO compartments. However, this segregation of qualitatively different response selectivities was not absolute, and response properties also seemed to depend on laminar position within each compartment. As others also have noted, we found that CO stripe widths in the macaque (unlike in the squirrel monkey) did not consistently appear different. We relied on the segregation of qualitatively distinct cell types, and in some cases the pattern of Cat-301 staining as well, to distinguish CO stripes when the staining pattern of CO alone was ambiguous. Although all cell types were found in all CO compartments and laminae, unoriented cells were more prominent in layers 2-4 of \"thin\" stripes, direction-selective cells in layers 3B/4 of \"thick\" stripes, color-selective cells in the upper layers of thin and pale stripes, and end-stopped cells mainly outside of layer 4 in thin stripes.(ABSTRACT TRUNCATED AT 400 WORDS)","DOI":"10.1152/jn.1994.71.6.2517","ISSN":"0022-3077","note":"PMID: 7931532","journalAbbreviation":"J. Neurophysiol.","language":"eng","author":[{"family":"Levitt","given":"J. B."},{"family":"Kiper","given":"D. C."},{"family":"Movshon","given":"J. A."}],"issued":{"date-parts":[["1994",6]]}}},{"id":8,"uris":["http://zotero.org/groups/318634/items/EL3AW4KZ"],"uri":["http://zotero.org/groups/318634/items/EL3AW4KZ"],"itemData":{"id":8,"type":"article-journal","title":"Anatomy and physiology of a color system in the primate visual cortex","container-title":"The Journal of Neuroscience: The Official Journal of the Society for Neuroscience","page":"309-356","volume":"4","issue":"1","source":"PubMed","abstract":"Staining for the mitochondrial enzyme cytochrome oxidase reveals an array of dense regions (blobs) in the primate primary visual cortex. They are most obvious in the upper layers, 2 and 3, but can also be seen in layers 4B, 5, and 6, in register with the blobs in layers 2 and 3. We compared cells inside and outside blobs in macaque and squirrel monkeys, looking at their physiological responses and anatomical connections. Cells within blobs did not show orientation selectivity, whereas cells between blobs were highly orientation selective. Receptive fields of blob cells had circular symmetry and were of three main types, Broad-Band Center-Surround, Red-Green Double-Opponent, and Yellow-Blue Double-Opponent. Double-Opponent cells responded poorly or not at all to white light in any form, or to diffuse light at any wavelength. In contrast to blob cells, none of the cells recorded in layer 4C beta were Double-Opponent: like the majority of cells in the parvocellular geniculate layers, they were either Broad-Band or Color-Opponent Center-Surround, e.g., red-on-center green-off-surround. To our surprise cells in layer 4C alpha were orientation selective. In tangential penetrations throughout layers 2 and 3, optium orientation, when plotted against electrode position, formed long, regular, usually linear sequences, which were interrupted but not perturbed by the blobs. Staining area 18 for cytochrome oxidase reveals a series of alternating wide and narrow dense stripes, separated by paler interstripes. After small injections of horseradish peroxidase into area 18, we saw a precise set of connections from the blobs in area 17 to thin stripes in area 18, and from the interblob regions in area 17 to interstripes in area 18. Specific reciprocal connections also ran from thin stripes to blobs and from interstripes to interblobs. We have not yet determined the area 17 connections to thick stripes in area 18. In addition, within area 18 there are stripe-to-stripe and interstripe-to-interstripe intrinsic connections. These results suggest that a system involved in the processing of color information, especially color-spatial interactions, runs parallel to and separate from the orientation-specific system. Color, encoded in three coordinates by the major blob cell types, red-green, yellow-blue, and black-white, can be transformed into the three coordinates, red, green, and blue, of the Retinex algorithm of Land.","ISSN":"0270-6474","note":"PMID: 6198495","journalAbbreviation":"J. Neurosci.","language":"eng","author":[{"family":"Livingstone","given":"M. S."},{"family":"Hubel","given":"D. H."}],"issued":{"date-parts":[["1984",1]]}}}],"schema":"https://github.com/citation-style-language/schema/raw/master/csl-citation.json"}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(Levitt et al., 1994; Livingstone &amp; Hubel, 1984)</w:t>
      </w:r>
      <w:r w:rsidRPr="00225AB0">
        <w:rPr>
          <w:rFonts w:ascii="Arial" w:hAnsi="Arial" w:cs="Arial"/>
        </w:rPr>
        <w:fldChar w:fldCharType="end"/>
      </w:r>
      <w:r w:rsidRPr="00225AB0">
        <w:rPr>
          <w:rFonts w:ascii="Arial" w:hAnsi="Arial" w:cs="Arial"/>
        </w:rPr>
        <w:t xml:space="preserve">. Previous research has also identified area V4, as a specific locus of relatively higher-order colour processing </w:t>
      </w:r>
      <w:r w:rsidRPr="00225AB0">
        <w:rPr>
          <w:rFonts w:ascii="Arial" w:hAnsi="Arial" w:cs="Arial"/>
        </w:rPr>
        <w:fldChar w:fldCharType="begin"/>
      </w:r>
      <w:r w:rsidR="005B4361">
        <w:rPr>
          <w:rFonts w:ascii="Arial" w:hAnsi="Arial" w:cs="Arial"/>
        </w:rPr>
        <w:instrText xml:space="preserve"> ADDIN ZOTERO_ITEM CSL_CITATION {"citationID":"DAMSR421","properties":{"formattedCitation":"(Zeki, 1973)","plainCitation":"(Zeki, 1973)","dontUpdate":true,"noteIndex":0},"citationItems":[{"id":180,"uris":["http://zotero.org/groups/318634/items/YQVC9ATB"],"uri":["http://zotero.org/groups/318634/items/YQVC9ATB"],"itemData":{"id":180,"type":"article-journal","title":"Colour coding in rhesus monkey prestriate cortex","container-title":"Brain Research","page":"422-427","volume":"53","issue":"2","source":"PubMed","ISSN":"0006-8993","note":"PMID: 4196224","journalAbbreviation":"Brain Res.","language":"eng","author":[{"family":"Zeki","given":"S. M."}],"issued":{"date-parts":[["1973",4,27]]}}}],"schema":"https://github.com/citation-style-language/schema/raw/master/csl-citation.json"} </w:instrText>
      </w:r>
      <w:r w:rsidRPr="00225AB0">
        <w:rPr>
          <w:rFonts w:ascii="Arial" w:hAnsi="Arial" w:cs="Arial"/>
        </w:rPr>
        <w:fldChar w:fldCharType="separate"/>
      </w:r>
      <w:r w:rsidRPr="00225AB0">
        <w:rPr>
          <w:rFonts w:ascii="Arial" w:hAnsi="Arial" w:cs="Arial"/>
          <w:noProof/>
        </w:rPr>
        <w:t>(see Zeki, 1973)</w:t>
      </w:r>
      <w:r w:rsidRPr="00225AB0">
        <w:rPr>
          <w:rFonts w:ascii="Arial" w:hAnsi="Arial" w:cs="Arial"/>
        </w:rPr>
        <w:fldChar w:fldCharType="end"/>
      </w:r>
      <w:r w:rsidRPr="00225AB0">
        <w:rPr>
          <w:rFonts w:ascii="Arial" w:hAnsi="Arial" w:cs="Arial"/>
        </w:rPr>
        <w:t xml:space="preserve">. This suggestion was supported by evidence from cerebral achromatopsia; macaques with V4 lesions exhibited severe deficits in colour perception </w:t>
      </w:r>
      <w:r w:rsidRPr="00225AB0">
        <w:rPr>
          <w:rFonts w:ascii="Arial" w:hAnsi="Arial" w:cs="Arial"/>
        </w:rPr>
        <w:fldChar w:fldCharType="begin"/>
      </w:r>
      <w:r w:rsidR="005B4361">
        <w:rPr>
          <w:rFonts w:ascii="Arial" w:hAnsi="Arial" w:cs="Arial"/>
        </w:rPr>
        <w:instrText xml:space="preserve"> ADDIN ZOTERO_ITEM CSL_CITATION {"citationID":"C6gy05jt","properties":{"formattedCitation":"(Meadows, 1974)","plainCitation":"(Meadows, 1974)","noteIndex":0},"citationItems":[{"id":3,"uris":["http://zotero.org/groups/318634/items/5BYZLGRY"],"uri":["http://zotero.org/groups/318634/items/5BYZLGRY"],"itemData":{"id":3,"type":"article-journal","title":"Disturbed perception of colours associated with localized cerebral lesions","container-title":"Brain: A Journal of Neurology","page":"615-632","volume":"97","issue":"4","source":"PubMed","DOI":"10.1093/brain/97.1.615","ISSN":"0006-8950","note":"PMID: 4547992","journalAbbreviation":"Brain","language":"eng","author":[{"family":"Meadows","given":"J. C."}],"issued":{"date-parts":[["1974",12]]}}}],"schema":"https://github.com/citation-style-language/schema/raw/master/csl-citation.json"} </w:instrText>
      </w:r>
      <w:r w:rsidRPr="00225AB0">
        <w:rPr>
          <w:rFonts w:ascii="Arial" w:hAnsi="Arial" w:cs="Arial"/>
        </w:rPr>
        <w:fldChar w:fldCharType="separate"/>
      </w:r>
      <w:r w:rsidRPr="00225AB0">
        <w:rPr>
          <w:rFonts w:ascii="Arial" w:hAnsi="Arial" w:cs="Arial"/>
          <w:noProof/>
        </w:rPr>
        <w:t>(Meadows, 1974)</w:t>
      </w:r>
      <w:r w:rsidRPr="00225AB0">
        <w:rPr>
          <w:rFonts w:ascii="Arial" w:hAnsi="Arial" w:cs="Arial"/>
        </w:rPr>
        <w:fldChar w:fldCharType="end"/>
      </w:r>
      <w:r w:rsidRPr="00225AB0">
        <w:rPr>
          <w:rFonts w:ascii="Arial" w:hAnsi="Arial" w:cs="Arial"/>
        </w:rPr>
        <w:t xml:space="preserve">. However, the notion of a complete functional specialisation for chromatic tuning </w:t>
      </w:r>
      <w:r w:rsidR="00D44AC6">
        <w:rPr>
          <w:rFonts w:ascii="Arial" w:hAnsi="Arial" w:cs="Arial"/>
        </w:rPr>
        <w:t>in</w:t>
      </w:r>
      <w:r w:rsidRPr="00225AB0">
        <w:rPr>
          <w:rFonts w:ascii="Arial" w:hAnsi="Arial" w:cs="Arial"/>
        </w:rPr>
        <w:t xml:space="preserve"> V4 is also </w:t>
      </w:r>
      <w:r w:rsidRPr="00225AB0">
        <w:rPr>
          <w:rFonts w:ascii="Arial" w:hAnsi="Arial" w:cs="Arial"/>
        </w:rPr>
        <w:lastRenderedPageBreak/>
        <w:t xml:space="preserve">questioned, for example, other researchers found that lesioning macaque V4 did not produce significant negative impacts on colour perception </w:t>
      </w:r>
      <w:r w:rsidRPr="00225AB0">
        <w:rPr>
          <w:rFonts w:ascii="Arial" w:hAnsi="Arial" w:cs="Arial"/>
        </w:rPr>
        <w:fldChar w:fldCharType="begin"/>
      </w:r>
      <w:r w:rsidR="005B4361">
        <w:rPr>
          <w:rFonts w:ascii="Arial" w:hAnsi="Arial" w:cs="Arial"/>
        </w:rPr>
        <w:instrText xml:space="preserve"> ADDIN ZOTERO_ITEM CSL_CITATION {"citationID":"y9VSRwu4","properties":{"formattedCitation":"(Heywood, Gadotti, &amp; Cowey, 1992, p. 1)","plainCitation":"(Heywood, Gadotti, &amp; Cowey, 1992, p. 1)","dontUpdate":true,"noteIndex":0},"citationItems":[{"id":179,"uris":["http://zotero.org/groups/318634/items/W2YYE4ZP"],"uri":["http://zotero.org/groups/318634/items/W2YYE4ZP"],"itemData":{"id":179,"type":"article-journal","title":"Cortical area V4 and its role in the perception of color","container-title":"The Journal of Neuroscience: The Official Journal of the Society for Neuroscience","page":"4056-4065","volume":"12","issue":"10","source":"PubMed","abstract":"The color and lightness vision of three monkeys with bilateral removal of cortical area V4 and three unoperated controls were tested by measuring their ability to discriminate between two rows of colored or gray stimuli. In one row, the stimuli were ordered in terms of either chromaticity or luminance, whereas in the other row they were disordered. Their ability to select the odd-one-out in an array of colors or grays and to select the colored patch from an array of achromatic grays was also assessed. Unlike an achromatopsic patient tested previously in an identical fashion, monkeys with V4 lesions performed indistinguishably from controls in the oddity test. The animals lacking V4 were slightly impaired at discriminating between ordered and disordered arrays of colors or grays, but the color impairment was no more severe than the impairment with grays. These deficits were readily accounted for in terms of the conspicuous deficits in pattern discrimination apparent in a nine-choice pattern oddity task. The results do not support the view that cortical area V4 in the monkey is the homolog of the cortical \"color center\" in humans, located in the lingual and fusiform gyri and damage to which leads to the clinical syndrome of cerebral achromatopsia, unless it is the additional damage to underlying white matter that leads to the severe color disorder in patients.","ISSN":"0270-6474","note":"PMID: 1403100","journalAbbreviation":"J. Neurosci.","language":"eng","author":[{"family":"Heywood","given":"C. A."},{"family":"Gadotti","given":"A."},{"family":"Cowey","given":"A."}],"issued":{"date-parts":[["1992",10]]}},"locator":"1"}],"schema":"https://github.com/citation-style-language/schema/raw/master/csl-citation.json"} </w:instrText>
      </w:r>
      <w:r w:rsidRPr="00225AB0">
        <w:rPr>
          <w:rFonts w:ascii="Arial" w:hAnsi="Arial" w:cs="Arial"/>
        </w:rPr>
        <w:fldChar w:fldCharType="separate"/>
      </w:r>
      <w:r w:rsidRPr="00225AB0">
        <w:rPr>
          <w:rFonts w:ascii="Arial" w:hAnsi="Arial" w:cs="Arial"/>
          <w:noProof/>
        </w:rPr>
        <w:t>(Heywood, Gadotti, &amp; Cowey, 1992)</w:t>
      </w:r>
      <w:r w:rsidRPr="00225AB0">
        <w:rPr>
          <w:rFonts w:ascii="Arial" w:hAnsi="Arial" w:cs="Arial"/>
        </w:rPr>
        <w:fldChar w:fldCharType="end"/>
      </w:r>
      <w:r w:rsidRPr="00225AB0">
        <w:rPr>
          <w:rFonts w:ascii="Arial" w:hAnsi="Arial" w:cs="Arial"/>
        </w:rPr>
        <w:t>. Hence, the extent strict segregation of chromatic information exists across the visual pathway is unclear. In this experiment, we employed a relatively novel approach, identifying patterns of attentional modulation across the visual cortex in response to shifts in attentional focus, with a particular focus on the investigation of the distributed effects of attention with changing stimulus chromaticity.</w:t>
      </w:r>
    </w:p>
    <w:p w14:paraId="7087FDF1" w14:textId="77777777" w:rsidR="006832FB" w:rsidRPr="00225AB0" w:rsidRDefault="006832FB" w:rsidP="006832FB">
      <w:pPr>
        <w:spacing w:line="480" w:lineRule="auto"/>
        <w:rPr>
          <w:rFonts w:ascii="Arial" w:hAnsi="Arial" w:cs="Arial"/>
        </w:rPr>
      </w:pPr>
    </w:p>
    <w:p w14:paraId="2C26088E" w14:textId="3209F3F4" w:rsidR="006832FB" w:rsidRPr="00225AB0" w:rsidRDefault="006832FB" w:rsidP="006832FB">
      <w:pPr>
        <w:spacing w:line="480" w:lineRule="auto"/>
        <w:rPr>
          <w:rFonts w:ascii="Arial" w:hAnsi="Arial" w:cs="Arial"/>
        </w:rPr>
      </w:pPr>
      <w:r w:rsidRPr="00225AB0">
        <w:rPr>
          <w:rFonts w:ascii="Arial" w:hAnsi="Arial" w:cs="Arial"/>
        </w:rPr>
        <w:t xml:space="preserve">Signals from the magno-, parvo- and konio-cellular pathways are combined </w:t>
      </w:r>
      <w:r w:rsidR="00D44AC6">
        <w:rPr>
          <w:rFonts w:ascii="Arial" w:hAnsi="Arial" w:cs="Arial"/>
        </w:rPr>
        <w:t>in</w:t>
      </w:r>
      <w:r w:rsidRPr="00225AB0">
        <w:rPr>
          <w:rFonts w:ascii="Arial" w:hAnsi="Arial" w:cs="Arial"/>
        </w:rPr>
        <w:t xml:space="preserve"> the first few synapses in V1. Evidence currently suggests attention exerts different influences on information </w:t>
      </w:r>
      <w:r w:rsidR="00D44AC6">
        <w:rPr>
          <w:rFonts w:ascii="Arial" w:hAnsi="Arial" w:cs="Arial"/>
        </w:rPr>
        <w:t>in</w:t>
      </w:r>
      <w:r w:rsidRPr="00225AB0">
        <w:rPr>
          <w:rFonts w:ascii="Arial" w:hAnsi="Arial" w:cs="Arial"/>
        </w:rPr>
        <w:t xml:space="preserve"> the distinct colour channels. For example, </w:t>
      </w:r>
      <w:r w:rsidRPr="00225AB0">
        <w:rPr>
          <w:rFonts w:ascii="Arial" w:hAnsi="Arial" w:cs="Arial"/>
        </w:rPr>
        <w:fldChar w:fldCharType="begin"/>
      </w:r>
      <w:r w:rsidR="005B4361">
        <w:rPr>
          <w:rFonts w:ascii="Arial" w:hAnsi="Arial" w:cs="Arial"/>
        </w:rPr>
        <w:instrText xml:space="preserve"> ADDIN ZOTERO_ITEM CSL_CITATION {"citationID":"vI7AaPrB","properties":{"formattedCitation":"(Wang &amp; Wade, 2011)","plainCitation":"(Wang &amp; Wade, 2011)","dontUpdate":true,"noteIndex":0},"citationItems":[{"id":289,"uris":["http://zotero.org/groups/318634/items/QSDMITNB"],"uri":["http://zotero.org/groups/318634/items/QSDMITNB"],"itemData":{"id":289,"type":"article-journal","title":"Differential attentional modulation of cortical responses to S-cone and luminance stimuli","container-title":"Journal of Vision","page":"1-15","volume":"11","issue":"6","abstract":"Neural signals driven by short-wave-sensitive (S) cones are, to a large degree, anatomically and functionally separate from the achromatic luminance pathway until at least one synapse into V1. Attentional mechanisms that act at an anatomically early stage in V1 may, therefore, affect S-cone and luminance signals differently. Here, we used a steady-state visually evoked potential (SSVEP) paradigm combined with electrical source imaging to study the effects of contrast and attention on neural responses to both chromatic S-cone isolating and achromatic stimuli in five human visual areas including V1. The responses to these gratings were affected very differently by changes in contrast and attention. Increasing cone contrast increased the response amplitude for both types of stimulus. For the S-cone-defined stimuli, we also observed a systematic decrease in the response phase of the first harmonic with increasing stimulus contrast, but there was no corresponding change in phase for the first harmonic of the luminance probes. Attending to the contrast of the grating increased the amplitude and phase of luminance-driven responses but had no effect on S-cone-driven responses. We conclude that while attentional modulation can be observed in achromatic pathways as early as V1, attention may not affect SSVEP signals generated by S-cone stimuli.","DOI":"10.1167/11.6.1","ISSN":"1534-7362 (Electronic) 1534-7362 (Linking)","language":"eng","author":[{"family":"Wang","given":"J"},{"family":"Wade","given":"A R"}],"issued":{"date-parts":[["2011"]]}}}],"schema":"https://github.com/citation-style-language/schema/raw/master/csl-citation.json"} </w:instrText>
      </w:r>
      <w:r w:rsidRPr="00225AB0">
        <w:rPr>
          <w:rFonts w:ascii="Arial" w:hAnsi="Arial" w:cs="Arial"/>
        </w:rPr>
        <w:fldChar w:fldCharType="separate"/>
      </w:r>
      <w:r w:rsidRPr="00225AB0">
        <w:rPr>
          <w:rFonts w:ascii="Arial" w:hAnsi="Arial" w:cs="Arial"/>
          <w:noProof/>
        </w:rPr>
        <w:t>Wang &amp; Wade, (2011)</w:t>
      </w:r>
      <w:r w:rsidRPr="00225AB0">
        <w:rPr>
          <w:rFonts w:ascii="Arial" w:hAnsi="Arial" w:cs="Arial"/>
        </w:rPr>
        <w:fldChar w:fldCharType="end"/>
      </w:r>
      <w:r w:rsidRPr="00225AB0">
        <w:rPr>
          <w:rFonts w:ascii="Arial" w:hAnsi="Arial" w:cs="Arial"/>
        </w:rPr>
        <w:t xml:space="preserve"> identified robust amplitude increases in response to contrast with both achromatic and S-cone-defined gratings, however, they identified no effects of attention on the amplitude or phase of SSVEP responses during attention to S-cone stimuli in any visual area examined.</w:t>
      </w:r>
      <w:r w:rsidR="003F0EF7">
        <w:rPr>
          <w:rFonts w:ascii="Arial" w:hAnsi="Arial" w:cs="Arial"/>
        </w:rPr>
        <w:t xml:space="preserve"> </w:t>
      </w:r>
      <w:r w:rsidRPr="00225AB0">
        <w:rPr>
          <w:rFonts w:ascii="Arial" w:hAnsi="Arial" w:cs="Arial"/>
        </w:rPr>
        <w:t xml:space="preserve">Additionally, </w:t>
      </w:r>
      <w:r w:rsidRPr="00225AB0">
        <w:rPr>
          <w:rFonts w:ascii="Arial" w:hAnsi="Arial" w:cs="Arial"/>
        </w:rPr>
        <w:fldChar w:fldCharType="begin"/>
      </w:r>
      <w:r w:rsidR="005B4361">
        <w:rPr>
          <w:rFonts w:ascii="Arial" w:hAnsi="Arial" w:cs="Arial"/>
        </w:rPr>
        <w:instrText xml:space="preserve"> ADDIN ZOTERO_ITEM CSL_CITATION {"citationID":"4CX7aJAM","properties":{"formattedCitation":"(Highsmith &amp; Crognale, 2010)","plainCitation":"(Highsmith &amp; Crognale, 2010)","dontUpdate":true,"noteIndex":0},"citationItems":[{"id":119,"uris":["http://zotero.org/groups/318634/items/M8I6TL6B"],"uri":["http://zotero.org/groups/318634/items/M8I6TL6B"],"itemData":{"id":119,"type":"article-journal","title":"Attentional shifts have little effect on the waveform of the chromatic onset VEP","container-title":"Ophthalmic &amp; Physiological Optics: The Journal of the British College of Ophthalmic Opticians (Optometrists)","page":"525-533","volume":"30","issue":"5","source":"PubMed","abstract":"Attention is important for sufficient performance on many visual tasks. This has been shown using achromatic steady-state and pattern-reversal VEPs. Waveform characteristics typically attenuate when attending to distractor stimuli and ignoring VEP stimuli. Chromatic pattern-onset responses have not been tested under conditions of selective attention: as they can be used in clinical settings to test color vision, it is important to know what effects attentional shifts would have on this response. In the present study chromatic pattern-onset VEPs were recorded using spatially divided and spatially contiguous VEP and distractor stimuli. VEP stimuli were 1 cycle.deg(-1) horizontal sine wave patterns (onset mode 100 ms on/400 ms off) used to selectively modulate the L-M and S-(L+M) visual pathways. Distracter stimuli were letters. Subjects attended to either the letters or the gratings and pressed a button when a predetermined stimulus appeared. In Experiment one, VEP and distractor stimuli were superimposed and spatially contiguous. In Experiment two, stimuli were presented to different hemifields. No significant changes in waveform amplitude and latency were found between VEP and distractor attention conditions for either visual pathway. For the chromatic pattern-onset response, modulation of attention does not change responses either with spatially contiguous or spatially separate selective attention manipulations. Consequently, it may not be necessary to monitor attention during recording of this response.","DOI":"10.1111/j.1475-1313.2010.00747.x","ISSN":"1475-1313","note":"PMID: 20883336","journalAbbreviation":"Ophthalmic Physiol Opt","language":"eng","author":[{"family":"Highsmith","given":"Jennifer"},{"family":"Crognale","given":"Michael A."}],"issued":{"date-parts":[["2010",9]]}}}],"schema":"https://github.com/citation-style-language/schema/raw/master/csl-citation.json"} </w:instrText>
      </w:r>
      <w:r w:rsidRPr="00225AB0">
        <w:rPr>
          <w:rFonts w:ascii="Arial" w:hAnsi="Arial" w:cs="Arial"/>
        </w:rPr>
        <w:fldChar w:fldCharType="separate"/>
      </w:r>
      <w:r w:rsidRPr="00225AB0">
        <w:rPr>
          <w:rFonts w:ascii="Arial" w:hAnsi="Arial" w:cs="Arial"/>
          <w:noProof/>
        </w:rPr>
        <w:t>Highsmith &amp; Crognale, (2010)</w:t>
      </w:r>
      <w:r w:rsidRPr="00225AB0">
        <w:rPr>
          <w:rFonts w:ascii="Arial" w:hAnsi="Arial" w:cs="Arial"/>
        </w:rPr>
        <w:fldChar w:fldCharType="end"/>
      </w:r>
      <w:r w:rsidRPr="00225AB0">
        <w:rPr>
          <w:rFonts w:ascii="Arial" w:hAnsi="Arial" w:cs="Arial"/>
        </w:rPr>
        <w:t xml:space="preserve"> find no evidence of attention modulating the amplitude or phase L-M or S-(L+M) chromatic stimuli. These relatively weak </w:t>
      </w:r>
      <w:r w:rsidR="00624D44">
        <w:rPr>
          <w:rFonts w:ascii="Arial" w:hAnsi="Arial" w:cs="Arial"/>
        </w:rPr>
        <w:t xml:space="preserve">attentional modulations of </w:t>
      </w:r>
      <w:r w:rsidRPr="00225AB0">
        <w:rPr>
          <w:rFonts w:ascii="Arial" w:hAnsi="Arial" w:cs="Arial"/>
        </w:rPr>
        <w:t xml:space="preserve">S-cone stimuli provides some support for the work of previous researchers who identify a </w:t>
      </w:r>
      <w:r w:rsidR="00624D44">
        <w:rPr>
          <w:rFonts w:ascii="Arial" w:hAnsi="Arial" w:cs="Arial"/>
        </w:rPr>
        <w:t xml:space="preserve">generally </w:t>
      </w:r>
      <w:r w:rsidRPr="00225AB0">
        <w:rPr>
          <w:rFonts w:ascii="Arial" w:hAnsi="Arial" w:cs="Arial"/>
        </w:rPr>
        <w:t xml:space="preserve">weaker response to S-cone-defined stimuli across the dorsal visual pathway </w:t>
      </w:r>
      <w:r w:rsidRPr="00225AB0">
        <w:rPr>
          <w:rFonts w:ascii="Arial" w:hAnsi="Arial" w:cs="Arial"/>
        </w:rPr>
        <w:fldChar w:fldCharType="begin"/>
      </w:r>
      <w:r w:rsidR="005B4361">
        <w:rPr>
          <w:rFonts w:ascii="Arial" w:hAnsi="Arial" w:cs="Arial"/>
        </w:rPr>
        <w:instrText xml:space="preserve"> ADDIN ZOTERO_ITEM CSL_CITATION {"citationID":"s26n1R51","properties":{"formattedCitation":"(Mullen, Chang, &amp; Hess, 2015)","plainCitation":"(Mullen, Chang, &amp; Hess, 2015)","dontUpdate":true,"noteIndex":0},"citationItems":[{"id":121,"uris":["http://zotero.org/groups/318634/items/NGXDLKZ6"],"uri":["http://zotero.org/groups/318634/items/NGXDLKZ6"],"itemData":{"id":121,"type":"article-journal","title":"The selectivity of responses to red-green colour and achromatic contrast in the human visual cortex: an fMRI adaptation study","container-title":"The European Journal of Neuroscience","page":"2923-2933","volume":"42","issue":"11","source":"PubMed","abstract":"There is controversy as to how responses to colour in the human brain are organized within the visual pathways. A key issue is whether there are modular pathways that respond selectively to colour or whether there are common neural substrates for both colour and achromatic (Ach) contrast. We used functional magnetic resonance imaging (fMRI) adaptation to investigate the responses of early and extrastriate visual areas to colour and Ach contrast. High-contrast red-green (RG) and Ach sinewave rings (0.5 cycles/degree, 2 Hz) were used as both adapting stimuli and test stimuli in a block design. We found robust adaptation to RG or Ach contrast in all visual areas. Cross-adaptation between RG and Ach contrast occurred in all areas indicating the presence of integrated, colour and Ach responses. Notably, we revealed contrasting trends for the two test stimuli. For the RG test, unselective processing (robust adaptation to both RG and Ach contrast) was most evident in the early visual areas (V1 and V2), but selective responses, revealed as greater adaptation between the same stimuli than cross-adaptation between different stimuli, emerged in the ventral cortex, in V4 and VO in particular. For the Ach test, unselective responses were again most evident in early visual areas but Ach selectivity emerged in the dorsal cortex (V3a and hMT+). Our findings support a strong presence of integrated mechanisms for colour and Ach contrast across the visual hierarchy, with a progression towards selective processing in extrastriate visual areas.","DOI":"10.1111/ejn.13090","ISSN":"1460-9568","note":"PMID: 26414774\nPMCID: PMC4738417","title-short":"The selectivity of responses to red-green colour and achromatic contrast in the human visual cortex","journalAbbreviation":"Eur. J. Neurosci.","language":"eng","author":[{"family":"Mullen","given":"Kathy T."},{"family":"Chang","given":"Dorita H. F."},{"family":"Hess","given":"Robert F."}],"issued":{"date-parts":[["2015",12]]}}}],"schema":"https://github.com/citation-style-language/schema/raw/master/csl-citation.json"} </w:instrText>
      </w:r>
      <w:r w:rsidRPr="00225AB0">
        <w:rPr>
          <w:rFonts w:ascii="Arial" w:hAnsi="Arial" w:cs="Arial"/>
        </w:rPr>
        <w:fldChar w:fldCharType="separate"/>
      </w:r>
      <w:r w:rsidRPr="00225AB0">
        <w:rPr>
          <w:rFonts w:ascii="Arial" w:hAnsi="Arial" w:cs="Arial"/>
          <w:noProof/>
        </w:rPr>
        <w:t>(e.g. Mullen, Chang, &amp; Hess, 2015)</w:t>
      </w:r>
      <w:r w:rsidRPr="00225AB0">
        <w:rPr>
          <w:rFonts w:ascii="Arial" w:hAnsi="Arial" w:cs="Arial"/>
        </w:rPr>
        <w:fldChar w:fldCharType="end"/>
      </w:r>
      <w:r w:rsidRPr="00225AB0">
        <w:rPr>
          <w:rFonts w:ascii="Arial" w:hAnsi="Arial" w:cs="Arial"/>
        </w:rPr>
        <w:t xml:space="preserve">. For example, </w:t>
      </w:r>
      <w:r w:rsidRPr="00225AB0">
        <w:rPr>
          <w:rFonts w:ascii="Arial" w:hAnsi="Arial" w:cs="Arial"/>
        </w:rPr>
        <w:fldChar w:fldCharType="begin"/>
      </w:r>
      <w:r w:rsidR="005B4361">
        <w:rPr>
          <w:rFonts w:ascii="Arial" w:hAnsi="Arial" w:cs="Arial"/>
        </w:rPr>
        <w:instrText xml:space="preserve"> ADDIN ZOTERO_ITEM CSL_CITATION {"citationID":"rf0WIiSB","properties":{"formattedCitation":"(J. Liu &amp; Wandell, 2005)","plainCitation":"(J. Liu &amp; Wandell, 2005)","dontUpdate":true,"noteIndex":0},"citationItems":[{"id":16,"uris":["http://zotero.org/groups/318634/items/3UZVGQ63"],"uri":["http://zotero.org/groups/318634/items/3UZVGQ63"],"itemData":{"id":16,"type":"article-journal","title":"Specializations for chromatic and temporal signals in human visual cortex","container-title":"The Journal of Neuroscience: The Official Journal of the Society for Neuroscience","page":"3459-3468","volume":"25","issue":"13","source":"PubMed","abstract":"Neurological case studies and qualitative measurements suggest that regions within human extrastriate cortex are specialized for different perceptual functions, including color. However, there are few quantitative measurements of human extrastriate color specializations. We studied the chromatic and temporal responses in several different clusters of human visual field maps using functional magnetic resonance imaging. Contrast response functions were measured for luminance [(L + M)-cone], red-green [(L - M)-cone] and blue-yellow (S-cone) modulations at various temporal frequencies. In primary visual cortex (V1), temporal responsivities to luminance and red-green modulations are approximately constant up to 10 Hz, but responsivities to blue-yellow modulations decrease significantly. In ventral occipital cortex (VO), all colors elicit strong responses, and, for each color, low temporal frequency modulations are more effective than high temporal frequency modulations. Hence, VO represents the full range of color information but does not respond well to rapid modulations. Conversely, in human motion-selective cortex (MT+) and V3A, blue-yellow modulations elicit very weak responses, whereas luminance and red-green high temporal frequency modulations are equally or more effective than low temporal frequency modulations. Hence, these dorsal occipital regions respond well to rapid modulations, but not all color information is represented. Similar to human motion perception, MT+ and V3A respond powerfully to all temporal frequencies but only to some colors. Similar to human color perception, VO responds powerfully to all colors but only to relatively low temporal frequencies.","DOI":"10.1523/JNEUROSCI.4206-04.2005","ISSN":"1529-2401","note":"PMID: 15800201","journalAbbreviation":"J. Neurosci.","language":"eng","author":[{"family":"Liu","given":"Junjie"},{"family":"Wandell","given":"Brian A."}],"issued":{"date-parts":[["2005",3,30]]}}}],"schema":"https://github.com/citation-style-language/schema/raw/master/csl-citation.json"} </w:instrText>
      </w:r>
      <w:r w:rsidRPr="00225AB0">
        <w:rPr>
          <w:rFonts w:ascii="Arial" w:hAnsi="Arial" w:cs="Arial"/>
        </w:rPr>
        <w:fldChar w:fldCharType="separate"/>
      </w:r>
      <w:r w:rsidRPr="00225AB0">
        <w:rPr>
          <w:rFonts w:ascii="Arial" w:hAnsi="Arial" w:cs="Arial"/>
          <w:noProof/>
        </w:rPr>
        <w:t>Liu &amp; Wandell, (2005)</w:t>
      </w:r>
      <w:r w:rsidRPr="00225AB0">
        <w:rPr>
          <w:rFonts w:ascii="Arial" w:hAnsi="Arial" w:cs="Arial"/>
        </w:rPr>
        <w:fldChar w:fldCharType="end"/>
      </w:r>
      <w:r w:rsidRPr="00225AB0">
        <w:rPr>
          <w:rFonts w:ascii="Arial" w:hAnsi="Arial" w:cs="Arial"/>
        </w:rPr>
        <w:t xml:space="preserve"> examined responses to chromatically-defined motion stimuli across the visual cortex, and identified strong responses to all chromatic stimuli </w:t>
      </w:r>
      <w:r w:rsidR="00D44AC6">
        <w:rPr>
          <w:rFonts w:ascii="Arial" w:hAnsi="Arial" w:cs="Arial"/>
        </w:rPr>
        <w:t>in</w:t>
      </w:r>
      <w:r w:rsidRPr="00225AB0">
        <w:rPr>
          <w:rFonts w:ascii="Arial" w:hAnsi="Arial" w:cs="Arial"/>
        </w:rPr>
        <w:t xml:space="preserve"> ventral area VO, but a very weak response to S-cone motion in dorsal areas V3A and MT+. Hence, previous literature predicts we should identify different </w:t>
      </w:r>
      <w:r w:rsidRPr="00225AB0">
        <w:rPr>
          <w:rFonts w:ascii="Arial" w:hAnsi="Arial" w:cs="Arial"/>
        </w:rPr>
        <w:lastRenderedPageBreak/>
        <w:t xml:space="preserve">patterns of attentional modulation across visual areas with chromatically-defined stimuli, in comparison to our previous experiment with a purely achromatic stimulus (see Chapter 4). </w:t>
      </w:r>
    </w:p>
    <w:p w14:paraId="4A22E8C2" w14:textId="77777777" w:rsidR="006832FB" w:rsidRPr="00225AB0" w:rsidRDefault="006832FB" w:rsidP="006832FB">
      <w:pPr>
        <w:spacing w:line="480" w:lineRule="auto"/>
        <w:rPr>
          <w:rFonts w:ascii="Arial" w:hAnsi="Arial" w:cs="Arial"/>
        </w:rPr>
      </w:pPr>
    </w:p>
    <w:p w14:paraId="384824A8" w14:textId="42E0B1DB" w:rsidR="006832FB" w:rsidRPr="00225AB0" w:rsidRDefault="006832FB" w:rsidP="006832FB">
      <w:pPr>
        <w:spacing w:line="480" w:lineRule="auto"/>
        <w:rPr>
          <w:rFonts w:ascii="Arial" w:hAnsi="Arial" w:cs="Arial"/>
        </w:rPr>
      </w:pPr>
      <w:r w:rsidRPr="00225AB0">
        <w:rPr>
          <w:rFonts w:ascii="Arial" w:hAnsi="Arial" w:cs="Arial"/>
        </w:rPr>
        <w:t xml:space="preserve">Previous literature has demonstrated the existence of interactions between low-level visual features and stimulus chromaticity on activation </w:t>
      </w:r>
      <w:r w:rsidR="00D44AC6">
        <w:rPr>
          <w:rFonts w:ascii="Arial" w:hAnsi="Arial" w:cs="Arial"/>
        </w:rPr>
        <w:t>in</w:t>
      </w:r>
      <w:r w:rsidRPr="00225AB0">
        <w:rPr>
          <w:rFonts w:ascii="Arial" w:hAnsi="Arial" w:cs="Arial"/>
        </w:rPr>
        <w:t xml:space="preserve"> the visual cortex. For example, </w:t>
      </w:r>
      <w:r w:rsidRPr="00225AB0">
        <w:rPr>
          <w:rFonts w:ascii="Arial" w:hAnsi="Arial" w:cs="Arial"/>
        </w:rPr>
        <w:fldChar w:fldCharType="begin"/>
      </w:r>
      <w:r w:rsidR="005B4361">
        <w:rPr>
          <w:rFonts w:ascii="Arial" w:hAnsi="Arial" w:cs="Arial"/>
        </w:rPr>
        <w:instrText xml:space="preserve"> ADDIN ZOTERO_ITEM CSL_CITATION {"citationID":"hr3N6z2j","properties":{"formattedCitation":"(Sumner, Anderson, Sylvester, Haynes, &amp; Rees, 2008)","plainCitation":"(Sumner, Anderson, Sylvester, Haynes, &amp; Rees, 2008)","dontUpdate":true,"noteIndex":0},"citationItems":[{"id":56,"uris":["http://zotero.org/groups/318634/items/LRFY4LYQ"],"uri":["http://zotero.org/groups/318634/items/LRFY4LYQ"],"itemData":{"id":56,"type":"article-journal","title":"Combined orientation and colour information in human V1 for both L-M and S-cone chromatic axes","container-title":"NeuroImage","page":"814-824","volume":"39","issue":"2","source":"PubMed","abstract":"Although it is widely held that colour and form are processed separately in early visual cortex, there is growing evidence that primary visual cortex (V1) may show some joint selectivity for orientation and colour. Colour is supplied to V1 via two very different pathways: the parvocellular pathway (which also supports detailed form processing) carries L-M (\"red-green\") chromatic information, while a koniocellular pathway carries S-cone (\"lilac-yellow\") information. Therefore on entering V1, S-cone information is segregated from the pathways carrying form information, while L-M information is not. Whether signals from neuronal populations in human V1 reflect combined orientation and S-cone information has not been systematically addressed. We used fMRI in combination with a multivariate data analysis technique to investigate whether BOLD signals recorded from V1 contain information that could directly discriminate between orientations based on different types of chromatic information. We found selectivity in V1 for L-M and luminance-defined orientation signals, and most interestingly, also for S-cone defined orientation. We also found similarly successful orientation discrimination for both colour dimensions in V2 and V3. These results imply that a proportion of cells throughout human visual cortex show joint sensitivity to both colour and orientation. We discuss also the potential role of feedback to V1 from higher visual areas.","DOI":"10.1016/j.neuroimage.2007.09.013","ISSN":"1053-8119","note":"PMID: 17964188","journalAbbreviation":"Neuroimage","language":"eng","author":[{"family":"Sumner","given":"Petroc"},{"family":"Anderson","given":"Elaine J."},{"family":"Sylvester","given":"Richard"},{"family":"Haynes","given":"John-Dylan"},{"family":"Rees","given":"Geraint"}],"issued":{"date-parts":[["2008",1,15]]}}}],"schema":"https://github.com/citation-style-language/schema/raw/master/csl-citation.json"} </w:instrText>
      </w:r>
      <w:r w:rsidRPr="00225AB0">
        <w:rPr>
          <w:rFonts w:ascii="Arial" w:hAnsi="Arial" w:cs="Arial"/>
        </w:rPr>
        <w:fldChar w:fldCharType="separate"/>
      </w:r>
      <w:r w:rsidRPr="00225AB0">
        <w:rPr>
          <w:rFonts w:ascii="Arial" w:hAnsi="Arial" w:cs="Arial"/>
          <w:noProof/>
        </w:rPr>
        <w:t>Sumner, Anderson, Sylvester, Haynes, &amp; Rees, (2008)</w:t>
      </w:r>
      <w:r w:rsidRPr="00225AB0">
        <w:rPr>
          <w:rFonts w:ascii="Arial" w:hAnsi="Arial" w:cs="Arial"/>
        </w:rPr>
        <w:fldChar w:fldCharType="end"/>
      </w:r>
      <w:r w:rsidRPr="00225AB0">
        <w:rPr>
          <w:rFonts w:ascii="Arial" w:hAnsi="Arial" w:cs="Arial"/>
        </w:rPr>
        <w:t xml:space="preserve"> found no evidence of different patterns of modulation between attended orientations for luminance, red-green or blue-yellow defined stimuli at the univariate level. However, they demonstrated successful classification of orientation for each of the three stimulus chromaticities at the multivariate level in V1, V2 and V3 early visual areas. These classification accuracies were significantly greater within-group than between-group suggesting different patterns of voxel-level attentional modulation in response to orientation defined by different stimulus chromaticities. Additionally, </w:t>
      </w:r>
      <w:r w:rsidRPr="00225AB0">
        <w:rPr>
          <w:rFonts w:ascii="Arial" w:hAnsi="Arial" w:cs="Arial"/>
        </w:rPr>
        <w:fldChar w:fldCharType="begin"/>
      </w:r>
      <w:r w:rsidR="005B4361">
        <w:rPr>
          <w:rFonts w:ascii="Arial" w:hAnsi="Arial" w:cs="Arial"/>
        </w:rPr>
        <w:instrText xml:space="preserve"> ADDIN ZOTERO_ITEM CSL_CITATION {"citationID":"6HsKJHsz","properties":{"formattedCitation":"(Seymour, Clifford, Logothetis, &amp; Bartels, 2010)","plainCitation":"(Seymour, Clifford, Logothetis, &amp; Bartels, 2010)","dontUpdate":true,"noteIndex":0},"citationItems":[{"id":230,"uris":["http://zotero.org/groups/318634/items/JVCLYXC6"],"uri":["http://zotero.org/groups/318634/items/JVCLYXC6"],"itemData":{"id":230,"type":"article-journal","title":"Coding and binding of color and form in visual cortex","container-title":"Cerebral Cortex (New York, N.Y.: 1991)","page":"1946-1954","volume":"20","issue":"8","source":"PubMed","abstract":"The processing of color and form is largely segregated within the visual brain. But there is also evidence to suggest that these features are coded in combination early in visual processing. Here, we combined high-resolution functional magnetic resonance imaging (fMRI) together with multivariate pattern classification to examine where in the visual cortex specific color form \"conjunctions\" are represented. Human subjects viewed visual displays containing colored spiral patterns. The spiral patterns could be red or green, and oriented either clockwise or counterclockwise, leading to 4 possible stimulus configurations. Two additional displays combined 2 of the above single color-form pairings, leading to double conjunctions. We applied linear classifiers to voxel activation patterns obtained while subjects viewed such displays. Our findings not only show that color and form information is coded across retinotopically defined visual areas, but also that the 2 double-conjunction stimuli can be distinguished. The voxels most informative about conjunctions were distinct from those most informative about color or form alone. Our results indicate that conjunctions of form and color may be coded by separate functional units as early as primary visual cortex. The results of this study have implications for theories concerning the segregation and binding of color and form information.","DOI":"10.1093/cercor/bhp265","ISSN":"1460-2199","note":"PMID: 20019147","journalAbbreviation":"Cereb. Cortex","language":"eng","author":[{"family":"Seymour","given":"Kiley"},{"family":"Clifford","given":"Colin W. G."},{"family":"Logothetis","given":"Nikos K."},{"family":"Bartels","given":"Andreas"}],"issued":{"date-parts":[["2010",8]]}}}],"schema":"https://github.com/citation-style-language/schema/raw/master/csl-citation.json"} </w:instrText>
      </w:r>
      <w:r w:rsidRPr="00225AB0">
        <w:rPr>
          <w:rFonts w:ascii="Arial" w:hAnsi="Arial" w:cs="Arial"/>
        </w:rPr>
        <w:fldChar w:fldCharType="separate"/>
      </w:r>
      <w:r w:rsidRPr="00225AB0">
        <w:rPr>
          <w:rFonts w:ascii="Arial" w:hAnsi="Arial" w:cs="Arial"/>
          <w:noProof/>
        </w:rPr>
        <w:t>Seymour, Clifford, Logothetis, &amp; Bartels, (2010)</w:t>
      </w:r>
      <w:r w:rsidRPr="00225AB0">
        <w:rPr>
          <w:rFonts w:ascii="Arial" w:hAnsi="Arial" w:cs="Arial"/>
        </w:rPr>
        <w:fldChar w:fldCharType="end"/>
      </w:r>
      <w:r w:rsidRPr="00225AB0">
        <w:rPr>
          <w:rFonts w:ascii="Arial" w:hAnsi="Arial" w:cs="Arial"/>
        </w:rPr>
        <w:t xml:space="preserve"> demonstrated specific pairings of colour and orientation could be decoded at the multivariate (but not univariate) level across many early visual ROIs. </w:t>
      </w:r>
    </w:p>
    <w:p w14:paraId="42B31420" w14:textId="77777777" w:rsidR="006832FB" w:rsidRPr="00225AB0" w:rsidRDefault="006832FB" w:rsidP="006832FB">
      <w:pPr>
        <w:spacing w:line="480" w:lineRule="auto"/>
        <w:rPr>
          <w:rFonts w:ascii="Arial" w:hAnsi="Arial" w:cs="Arial"/>
        </w:rPr>
      </w:pPr>
    </w:p>
    <w:p w14:paraId="6B17FA52" w14:textId="0A885874" w:rsidR="006832FB" w:rsidRDefault="006832FB" w:rsidP="006832FB">
      <w:pPr>
        <w:spacing w:line="480" w:lineRule="auto"/>
        <w:rPr>
          <w:rFonts w:ascii="Arial" w:hAnsi="Arial" w:cs="Arial"/>
        </w:rPr>
      </w:pPr>
      <w:r w:rsidRPr="00225AB0">
        <w:rPr>
          <w:rFonts w:ascii="Arial" w:hAnsi="Arial" w:cs="Arial"/>
        </w:rPr>
        <w:t xml:space="preserve">The vast majority of attentional modulation studies </w:t>
      </w:r>
      <w:r w:rsidR="00D44AC6">
        <w:rPr>
          <w:rFonts w:ascii="Arial" w:hAnsi="Arial" w:cs="Arial"/>
        </w:rPr>
        <w:t>in</w:t>
      </w:r>
      <w:r w:rsidRPr="00225AB0">
        <w:rPr>
          <w:rFonts w:ascii="Arial" w:hAnsi="Arial" w:cs="Arial"/>
        </w:rPr>
        <w:t xml:space="preserve"> the human neuroimaging literature use achromatic stimuli </w:t>
      </w:r>
      <w:r w:rsidRPr="00225AB0">
        <w:rPr>
          <w:rFonts w:ascii="Arial" w:hAnsi="Arial" w:cs="Arial"/>
        </w:rPr>
        <w:fldChar w:fldCharType="begin"/>
      </w:r>
      <w:r w:rsidR="005B4361">
        <w:rPr>
          <w:rFonts w:ascii="Arial" w:hAnsi="Arial" w:cs="Arial"/>
        </w:rPr>
        <w:instrText xml:space="preserve"> ADDIN ZOTERO_ITEM CSL_CITATION {"citationID":"k8j10fo2","properties":{"formattedCitation":"(Wang &amp; Wade, 2011)","plainCitation":"(Wang &amp; Wade, 2011)","dontUpdate":true,"noteIndex":0},"citationItems":[{"id":289,"uris":["http://zotero.org/groups/318634/items/QSDMITNB"],"uri":["http://zotero.org/groups/318634/items/QSDMITNB"],"itemData":{"id":289,"type":"article-journal","title":"Differential attentional modulation of cortical responses to S-cone and luminance stimuli","container-title":"Journal of Vision","page":"1-15","volume":"11","issue":"6","abstract":"Neural signals driven by short-wave-sensitive (S) cones are, to a large degree, anatomically and functionally separate from the achromatic luminance pathway until at least one synapse into V1. Attentional mechanisms that act at an anatomically early stage in V1 may, therefore, affect S-cone and luminance signals differently. Here, we used a steady-state visually evoked potential (SSVEP) paradigm combined with electrical source imaging to study the effects of contrast and attention on neural responses to both chromatic S-cone isolating and achromatic stimuli in five human visual areas including V1. The responses to these gratings were affected very differently by changes in contrast and attention. Increasing cone contrast increased the response amplitude for both types of stimulus. For the S-cone-defined stimuli, we also observed a systematic decrease in the response phase of the first harmonic with increasing stimulus contrast, but there was no corresponding change in phase for the first harmonic of the luminance probes. Attending to the contrast of the grating increased the amplitude and phase of luminance-driven responses but had no effect on S-cone-driven responses. We conclude that while attentional modulation can be observed in achromatic pathways as early as V1, attention may not affect SSVEP signals generated by S-cone stimuli.","DOI":"10.1167/11.6.1","ISSN":"1534-7362 (Electronic) 1534-7362 (Linking)","language":"eng","author":[{"family":"Wang","given":"J"},{"family":"Wade","given":"A R"}],"issued":{"date-parts":[["2011"]]}}}],"schema":"https://github.com/citation-style-language/schema/raw/master/csl-citation.json"} </w:instrText>
      </w:r>
      <w:r w:rsidRPr="00225AB0">
        <w:rPr>
          <w:rFonts w:ascii="Arial" w:hAnsi="Arial" w:cs="Arial"/>
        </w:rPr>
        <w:fldChar w:fldCharType="separate"/>
      </w:r>
      <w:r w:rsidRPr="00225AB0">
        <w:rPr>
          <w:rFonts w:ascii="Arial" w:hAnsi="Arial" w:cs="Arial"/>
          <w:noProof/>
        </w:rPr>
        <w:t>(as noted in Wang &amp; Wade, 2011)</w:t>
      </w:r>
      <w:r w:rsidRPr="00225AB0">
        <w:rPr>
          <w:rFonts w:ascii="Arial" w:hAnsi="Arial" w:cs="Arial"/>
        </w:rPr>
        <w:fldChar w:fldCharType="end"/>
      </w:r>
      <w:r w:rsidRPr="00225AB0">
        <w:rPr>
          <w:rFonts w:ascii="Arial" w:hAnsi="Arial" w:cs="Arial"/>
        </w:rPr>
        <w:t xml:space="preserve">. Here, we investigate patterns of attentional modulation to low-level visual features and their associated chromaticities at univariate and multivariate spatial scales. We predict differing patterns of attentional modulation across the three chromatic channels, with a reduced response with attention directed towards S-cone stimuli particularly along the dorsal </w:t>
      </w:r>
      <w:r w:rsidRPr="00225AB0">
        <w:rPr>
          <w:rFonts w:ascii="Arial" w:hAnsi="Arial" w:cs="Arial"/>
        </w:rPr>
        <w:lastRenderedPageBreak/>
        <w:t>visual pathway.</w:t>
      </w:r>
      <w:r w:rsidR="00D20C1F">
        <w:rPr>
          <w:rFonts w:ascii="Arial" w:hAnsi="Arial" w:cs="Arial"/>
        </w:rPr>
        <w:t xml:space="preserve"> As in our previous experiment, we identify distinct feature-specific patterns of attentional modulation </w:t>
      </w:r>
      <w:r w:rsidR="00D44AC6">
        <w:rPr>
          <w:rFonts w:ascii="Arial" w:hAnsi="Arial" w:cs="Arial"/>
        </w:rPr>
        <w:t>in</w:t>
      </w:r>
      <w:r w:rsidR="00D20C1F">
        <w:rPr>
          <w:rFonts w:ascii="Arial" w:hAnsi="Arial" w:cs="Arial"/>
        </w:rPr>
        <w:t xml:space="preserve"> multivariate and connectivity analyses. We identify </w:t>
      </w:r>
      <w:r w:rsidRPr="00225AB0">
        <w:rPr>
          <w:rFonts w:ascii="Arial" w:hAnsi="Arial" w:cs="Arial"/>
        </w:rPr>
        <w:t xml:space="preserve">significantly reduced BOLD signal modulation during attention towards S-cone </w:t>
      </w:r>
      <w:r w:rsidR="00D20C1F">
        <w:rPr>
          <w:rFonts w:ascii="Arial" w:hAnsi="Arial" w:cs="Arial"/>
        </w:rPr>
        <w:t>versus red-green defined stimuli</w:t>
      </w:r>
      <w:r w:rsidRPr="00225AB0">
        <w:rPr>
          <w:rFonts w:ascii="Arial" w:hAnsi="Arial" w:cs="Arial"/>
        </w:rPr>
        <w:t xml:space="preserve"> at the univariate level, and differences in the patterns of modulation for each chromatic channel </w:t>
      </w:r>
      <w:r w:rsidR="00D44AC6">
        <w:rPr>
          <w:rFonts w:ascii="Arial" w:hAnsi="Arial" w:cs="Arial"/>
        </w:rPr>
        <w:t>in</w:t>
      </w:r>
      <w:r w:rsidRPr="00225AB0">
        <w:rPr>
          <w:rFonts w:ascii="Arial" w:hAnsi="Arial" w:cs="Arial"/>
        </w:rPr>
        <w:t xml:space="preserve"> our multivariate and connectivity analyses. We provide support for the varying effects of attentional modulation as a function of both low-level visual feature and stimulus chromaticity. </w:t>
      </w:r>
    </w:p>
    <w:p w14:paraId="11EB0ECF" w14:textId="77777777" w:rsidR="00D8518F" w:rsidRPr="00225AB0" w:rsidRDefault="00D8518F" w:rsidP="006832FB">
      <w:pPr>
        <w:spacing w:line="480" w:lineRule="auto"/>
        <w:rPr>
          <w:rFonts w:ascii="Arial" w:hAnsi="Arial" w:cs="Arial"/>
        </w:rPr>
      </w:pPr>
    </w:p>
    <w:p w14:paraId="01A3C7C9" w14:textId="77777777" w:rsidR="006832FB" w:rsidRDefault="006832FB" w:rsidP="001811CC">
      <w:pPr>
        <w:pStyle w:val="Heading2"/>
        <w:numPr>
          <w:ilvl w:val="1"/>
          <w:numId w:val="6"/>
        </w:numPr>
        <w:rPr>
          <w:rFonts w:ascii="Arial" w:hAnsi="Arial" w:cs="Arial"/>
          <w:b/>
          <w:color w:val="000000" w:themeColor="text1"/>
          <w:sz w:val="28"/>
          <w:szCs w:val="28"/>
        </w:rPr>
      </w:pPr>
      <w:bookmarkStart w:id="563" w:name="_Toc11148008"/>
      <w:bookmarkStart w:id="564" w:name="_Toc11153957"/>
      <w:bookmarkStart w:id="565" w:name="_Toc11753660"/>
      <w:bookmarkStart w:id="566" w:name="_Toc11926846"/>
      <w:bookmarkStart w:id="567" w:name="_Toc11930091"/>
      <w:bookmarkStart w:id="568" w:name="_Toc16075407"/>
      <w:bookmarkStart w:id="569" w:name="_Toc16237018"/>
      <w:r w:rsidRPr="00D8518F">
        <w:rPr>
          <w:rFonts w:ascii="Arial" w:hAnsi="Arial" w:cs="Arial"/>
          <w:b/>
          <w:color w:val="000000" w:themeColor="text1"/>
          <w:sz w:val="28"/>
          <w:szCs w:val="28"/>
        </w:rPr>
        <w:t>Methods</w:t>
      </w:r>
      <w:bookmarkEnd w:id="563"/>
      <w:bookmarkEnd w:id="564"/>
      <w:bookmarkEnd w:id="565"/>
      <w:bookmarkEnd w:id="566"/>
      <w:bookmarkEnd w:id="567"/>
      <w:bookmarkEnd w:id="568"/>
      <w:bookmarkEnd w:id="569"/>
    </w:p>
    <w:p w14:paraId="0334206C" w14:textId="77777777" w:rsidR="00D8518F" w:rsidRPr="00D8518F" w:rsidRDefault="00D8518F" w:rsidP="00D8518F"/>
    <w:p w14:paraId="01CC7DC5" w14:textId="77777777" w:rsidR="006832FB" w:rsidRDefault="006832FB" w:rsidP="001811CC">
      <w:pPr>
        <w:pStyle w:val="Heading3"/>
        <w:numPr>
          <w:ilvl w:val="2"/>
          <w:numId w:val="6"/>
        </w:numPr>
        <w:rPr>
          <w:rFonts w:ascii="Arial" w:hAnsi="Arial" w:cs="Arial"/>
          <w:b/>
          <w:i/>
          <w:color w:val="000000" w:themeColor="text1"/>
          <w:sz w:val="28"/>
          <w:szCs w:val="28"/>
        </w:rPr>
      </w:pPr>
      <w:bookmarkStart w:id="570" w:name="_Toc11148009"/>
      <w:bookmarkStart w:id="571" w:name="_Toc11153958"/>
      <w:bookmarkStart w:id="572" w:name="_Toc11753661"/>
      <w:bookmarkStart w:id="573" w:name="_Toc11926847"/>
      <w:bookmarkStart w:id="574" w:name="_Toc11930092"/>
      <w:bookmarkStart w:id="575" w:name="_Toc16075408"/>
      <w:bookmarkStart w:id="576" w:name="_Toc16237019"/>
      <w:r w:rsidRPr="00D8518F">
        <w:rPr>
          <w:rFonts w:ascii="Arial" w:hAnsi="Arial" w:cs="Arial"/>
          <w:b/>
          <w:i/>
          <w:color w:val="000000" w:themeColor="text1"/>
          <w:sz w:val="28"/>
          <w:szCs w:val="28"/>
        </w:rPr>
        <w:t>Participants</w:t>
      </w:r>
      <w:bookmarkEnd w:id="570"/>
      <w:bookmarkEnd w:id="571"/>
      <w:bookmarkEnd w:id="572"/>
      <w:bookmarkEnd w:id="573"/>
      <w:bookmarkEnd w:id="574"/>
      <w:bookmarkEnd w:id="575"/>
      <w:bookmarkEnd w:id="576"/>
    </w:p>
    <w:p w14:paraId="1D01A5D3" w14:textId="77777777" w:rsidR="00D8518F" w:rsidRPr="00D8518F" w:rsidRDefault="00D8518F" w:rsidP="00D8518F"/>
    <w:p w14:paraId="21A9B104" w14:textId="570020CD" w:rsidR="00D92D2A" w:rsidRDefault="006832FB" w:rsidP="006832FB">
      <w:pPr>
        <w:spacing w:line="480" w:lineRule="auto"/>
        <w:rPr>
          <w:rFonts w:ascii="Arial" w:hAnsi="Arial" w:cs="Arial"/>
        </w:rPr>
      </w:pPr>
      <w:r w:rsidRPr="00225AB0">
        <w:rPr>
          <w:rFonts w:ascii="Arial" w:hAnsi="Arial" w:cs="Arial"/>
        </w:rPr>
        <w:t xml:space="preserve">12 University of York staff and students (8 females, mean age 26.92 years) were recruited for this study. All participants possessed population receptive field (pRF) mapping data, collected in a previous scanning session using standardised protocols (see 2.3.4) and two high-resolution structural scans. Each participant completed 30-minutes of psychophysical testing, and one 90-minute fMRI scanning session, completing an average of 8 attentional modulation runs. All participants had normal or corrected-to-normal vision. Participants provided informed consent and ethical approval was granted by the University of York Department of Psychology and York Neuroimaging Centre ethics boards.  </w:t>
      </w:r>
    </w:p>
    <w:p w14:paraId="3AF74857" w14:textId="3B9F12B7" w:rsidR="00AE6937" w:rsidRDefault="00AE6937" w:rsidP="006832FB">
      <w:pPr>
        <w:spacing w:line="480" w:lineRule="auto"/>
        <w:rPr>
          <w:rFonts w:ascii="Arial" w:hAnsi="Arial" w:cs="Arial"/>
        </w:rPr>
      </w:pPr>
    </w:p>
    <w:p w14:paraId="609DB98A" w14:textId="24F91F90" w:rsidR="00AE6937" w:rsidRDefault="00AE6937" w:rsidP="006832FB">
      <w:pPr>
        <w:spacing w:line="480" w:lineRule="auto"/>
        <w:rPr>
          <w:rFonts w:ascii="Arial" w:hAnsi="Arial" w:cs="Arial"/>
        </w:rPr>
      </w:pPr>
    </w:p>
    <w:p w14:paraId="043C9F79" w14:textId="228E3983" w:rsidR="00AE6937" w:rsidRDefault="00AE6937" w:rsidP="006832FB">
      <w:pPr>
        <w:spacing w:line="480" w:lineRule="auto"/>
        <w:rPr>
          <w:rFonts w:ascii="Arial" w:hAnsi="Arial" w:cs="Arial"/>
        </w:rPr>
      </w:pPr>
    </w:p>
    <w:p w14:paraId="45411574" w14:textId="77777777" w:rsidR="00AE6937" w:rsidRPr="00D20C1F" w:rsidRDefault="00AE6937" w:rsidP="006832FB">
      <w:pPr>
        <w:spacing w:line="480" w:lineRule="auto"/>
        <w:rPr>
          <w:rFonts w:ascii="Arial" w:hAnsi="Arial" w:cs="Arial"/>
        </w:rPr>
      </w:pPr>
    </w:p>
    <w:p w14:paraId="2B65ADAB" w14:textId="77777777" w:rsidR="006832FB" w:rsidRDefault="006832FB" w:rsidP="001811CC">
      <w:pPr>
        <w:pStyle w:val="Heading3"/>
        <w:numPr>
          <w:ilvl w:val="2"/>
          <w:numId w:val="6"/>
        </w:numPr>
        <w:rPr>
          <w:rFonts w:ascii="Arial" w:hAnsi="Arial" w:cs="Arial"/>
          <w:b/>
          <w:i/>
          <w:color w:val="000000" w:themeColor="text1"/>
          <w:sz w:val="28"/>
          <w:szCs w:val="28"/>
        </w:rPr>
      </w:pPr>
      <w:bookmarkStart w:id="577" w:name="_Toc11148010"/>
      <w:bookmarkStart w:id="578" w:name="_Toc11153959"/>
      <w:bookmarkStart w:id="579" w:name="_Toc11753662"/>
      <w:bookmarkStart w:id="580" w:name="_Toc11926848"/>
      <w:bookmarkStart w:id="581" w:name="_Toc11930093"/>
      <w:bookmarkStart w:id="582" w:name="_Toc16075409"/>
      <w:bookmarkStart w:id="583" w:name="_Toc16237020"/>
      <w:r w:rsidRPr="00D8518F">
        <w:rPr>
          <w:rFonts w:ascii="Arial" w:hAnsi="Arial" w:cs="Arial"/>
          <w:b/>
          <w:i/>
          <w:color w:val="000000" w:themeColor="text1"/>
          <w:sz w:val="28"/>
          <w:szCs w:val="28"/>
        </w:rPr>
        <w:lastRenderedPageBreak/>
        <w:t>Behavioural Psychophysics</w:t>
      </w:r>
      <w:bookmarkEnd w:id="577"/>
      <w:bookmarkEnd w:id="578"/>
      <w:bookmarkEnd w:id="579"/>
      <w:bookmarkEnd w:id="580"/>
      <w:bookmarkEnd w:id="581"/>
      <w:bookmarkEnd w:id="582"/>
      <w:bookmarkEnd w:id="583"/>
    </w:p>
    <w:p w14:paraId="76C444DF" w14:textId="77777777" w:rsidR="00D8518F" w:rsidRPr="00D8518F" w:rsidRDefault="00D8518F" w:rsidP="00D8518F"/>
    <w:p w14:paraId="6293115A" w14:textId="77777777" w:rsidR="006832FB" w:rsidRPr="00D8518F" w:rsidRDefault="006832FB" w:rsidP="001811CC">
      <w:pPr>
        <w:pStyle w:val="Heading4"/>
        <w:numPr>
          <w:ilvl w:val="3"/>
          <w:numId w:val="6"/>
        </w:numPr>
        <w:rPr>
          <w:rFonts w:ascii="Arial" w:hAnsi="Arial" w:cs="Arial"/>
          <w:color w:val="000000" w:themeColor="text1"/>
          <w:sz w:val="28"/>
          <w:szCs w:val="28"/>
        </w:rPr>
      </w:pPr>
      <w:bookmarkStart w:id="584" w:name="_Toc11148011"/>
      <w:bookmarkStart w:id="585" w:name="_Toc11153960"/>
      <w:bookmarkStart w:id="586" w:name="_Toc11930094"/>
      <w:bookmarkStart w:id="587" w:name="_Toc16075410"/>
      <w:r w:rsidRPr="00D8518F">
        <w:rPr>
          <w:rFonts w:ascii="Arial" w:hAnsi="Arial" w:cs="Arial"/>
          <w:color w:val="000000" w:themeColor="text1"/>
          <w:sz w:val="28"/>
          <w:szCs w:val="28"/>
        </w:rPr>
        <w:t>Stimulus presentation</w:t>
      </w:r>
      <w:bookmarkEnd w:id="584"/>
      <w:bookmarkEnd w:id="585"/>
      <w:bookmarkEnd w:id="586"/>
      <w:bookmarkEnd w:id="587"/>
    </w:p>
    <w:p w14:paraId="3F0D8ABA" w14:textId="4540856A" w:rsidR="006832FB" w:rsidRPr="00225AB0" w:rsidRDefault="006832FB" w:rsidP="006832FB">
      <w:pPr>
        <w:spacing w:line="480" w:lineRule="auto"/>
        <w:rPr>
          <w:rFonts w:ascii="Arial" w:hAnsi="Arial" w:cs="Arial"/>
        </w:rPr>
      </w:pPr>
      <w:r w:rsidRPr="00225AB0">
        <w:rPr>
          <w:rFonts w:ascii="Arial" w:hAnsi="Arial" w:cs="Arial"/>
        </w:rPr>
        <w:t xml:space="preserve">Stimuli were presented on a ViewPixx monitor (120Hz, 1920x1220 pixels resolution) at 57cm viewing distance. Stimulus presentation was performed on a Shuttle XPC SZ87RG high-end graphics system with an Intel Core i7-4790K processor at 40GHx and a NVIDIA GeForce GTZ970 graphics card with 4G DDR5 memory. All stimuli and experimental procedures were controlled by Psychtoolbox 3.0.12 </w:t>
      </w:r>
      <w:r w:rsidRPr="00225AB0">
        <w:rPr>
          <w:rFonts w:ascii="Arial" w:hAnsi="Arial" w:cs="Arial"/>
        </w:rPr>
        <w:fldChar w:fldCharType="begin"/>
      </w:r>
      <w:r w:rsidR="005B4361">
        <w:rPr>
          <w:rFonts w:ascii="Arial" w:hAnsi="Arial" w:cs="Arial"/>
        </w:rPr>
        <w:instrText xml:space="preserve"> ADDIN ZOTERO_ITEM CSL_CITATION {"citationID":"HBUeM2fm","properties":{"formattedCitation":"(Brainard, 1997; Pelli, 1997)","plainCitation":"(Brainard, 1997; Pelli, 1997)","noteIndex":0},"citationItems":[{"id":266,"uris":["http://zotero.org/groups/318634/items/DPFM722D"],"uri":["http://zotero.org/groups/318634/items/DPFM722D"],"itemData":{"id":266,"type":"article-journal","title":"The psychophysics toolbox","container-title":"Spatial vision","page":"433–436","volume":"10","source":"Google Scholar","author":[{"family":"Brainard","given":"David H."}],"issued":{"date-parts":[["1997"]]}}},{"id":235,"uris":["http://zotero.org/groups/318634/items/I9QQF3XD"],"uri":["http://zotero.org/groups/318634/items/I9QQF3XD"],"itemData":{"id":235,"type":"article-journal","title":"The VideoToolbox software for visual psychophysics: Transforming numbers into movies","container-title":"Spatial vision","page":"437–442","volume":"10","issue":"4","source":"Google Scholar","title-short":"The VideoToolbox software for visual psychophysics","author":[{"family":"Pelli","given":"Denis G."}],"issued":{"date-parts":[["1997"]]}}}],"schema":"https://github.com/citation-style-language/schema/raw/master/csl-citation.json"} </w:instrText>
      </w:r>
      <w:r w:rsidRPr="00225AB0">
        <w:rPr>
          <w:rFonts w:ascii="Arial" w:hAnsi="Arial" w:cs="Arial"/>
        </w:rPr>
        <w:fldChar w:fldCharType="separate"/>
      </w:r>
      <w:r w:rsidRPr="00225AB0">
        <w:rPr>
          <w:rFonts w:ascii="Arial" w:hAnsi="Arial" w:cs="Arial"/>
          <w:noProof/>
        </w:rPr>
        <w:t>(Brainard, 1997; Pelli, 1997)</w:t>
      </w:r>
      <w:r w:rsidRPr="00225AB0">
        <w:rPr>
          <w:rFonts w:ascii="Arial" w:hAnsi="Arial" w:cs="Arial"/>
        </w:rPr>
        <w:fldChar w:fldCharType="end"/>
      </w:r>
      <w:r w:rsidRPr="00225AB0">
        <w:rPr>
          <w:rFonts w:ascii="Arial" w:hAnsi="Arial" w:cs="Arial"/>
        </w:rPr>
        <w:t xml:space="preserve">. </w:t>
      </w:r>
    </w:p>
    <w:p w14:paraId="058FE408" w14:textId="77777777" w:rsidR="006832FB" w:rsidRPr="00225AB0" w:rsidRDefault="006832FB" w:rsidP="006832FB">
      <w:pPr>
        <w:rPr>
          <w:rFonts w:ascii="Arial" w:hAnsi="Arial" w:cs="Arial"/>
        </w:rPr>
      </w:pPr>
    </w:p>
    <w:p w14:paraId="7C2BADF1" w14:textId="77777777" w:rsidR="006832FB" w:rsidRPr="00225AB0" w:rsidRDefault="006832FB" w:rsidP="006832FB">
      <w:pPr>
        <w:rPr>
          <w:rFonts w:ascii="Arial" w:hAnsi="Arial" w:cs="Arial"/>
        </w:rPr>
      </w:pPr>
    </w:p>
    <w:p w14:paraId="32BCE8BE" w14:textId="77777777" w:rsidR="006832FB" w:rsidRPr="00D8518F" w:rsidRDefault="006832FB" w:rsidP="001811CC">
      <w:pPr>
        <w:pStyle w:val="Heading4"/>
        <w:numPr>
          <w:ilvl w:val="3"/>
          <w:numId w:val="6"/>
        </w:numPr>
        <w:rPr>
          <w:rFonts w:ascii="Arial" w:hAnsi="Arial" w:cs="Arial"/>
          <w:color w:val="000000" w:themeColor="text1"/>
          <w:sz w:val="28"/>
          <w:szCs w:val="28"/>
        </w:rPr>
      </w:pPr>
      <w:bookmarkStart w:id="588" w:name="_Toc11148012"/>
      <w:bookmarkStart w:id="589" w:name="_Toc11153961"/>
      <w:bookmarkStart w:id="590" w:name="_Toc11930095"/>
      <w:bookmarkStart w:id="591" w:name="_Toc16075411"/>
      <w:r w:rsidRPr="00D8518F">
        <w:rPr>
          <w:rFonts w:ascii="Arial" w:hAnsi="Arial" w:cs="Arial"/>
          <w:color w:val="000000" w:themeColor="text1"/>
          <w:sz w:val="28"/>
          <w:szCs w:val="28"/>
        </w:rPr>
        <w:t>Isoluminance testing</w:t>
      </w:r>
      <w:bookmarkEnd w:id="588"/>
      <w:bookmarkEnd w:id="589"/>
      <w:bookmarkEnd w:id="590"/>
      <w:bookmarkEnd w:id="591"/>
    </w:p>
    <w:p w14:paraId="143993F9" w14:textId="03322CB2" w:rsidR="006832FB" w:rsidRPr="00225AB0" w:rsidRDefault="006832FB" w:rsidP="006832FB">
      <w:pPr>
        <w:spacing w:line="480" w:lineRule="auto"/>
        <w:rPr>
          <w:rFonts w:ascii="Arial" w:hAnsi="Arial" w:cs="Arial"/>
        </w:rPr>
      </w:pPr>
      <w:r w:rsidRPr="00225AB0">
        <w:rPr>
          <w:rFonts w:ascii="Arial" w:hAnsi="Arial" w:cs="Arial"/>
        </w:rPr>
        <w:t xml:space="preserve">In order to ensure our L-M and </w:t>
      </w:r>
      <w:r w:rsidRPr="00170639">
        <w:rPr>
          <w:rFonts w:ascii="Arial" w:hAnsi="Arial" w:cs="Arial"/>
        </w:rPr>
        <w:t>S-</w:t>
      </w:r>
      <w:r w:rsidR="00D92D2A" w:rsidRPr="00170639">
        <w:rPr>
          <w:rFonts w:ascii="Arial" w:hAnsi="Arial" w:cs="Arial"/>
        </w:rPr>
        <w:t>(</w:t>
      </w:r>
      <w:r w:rsidRPr="00170639">
        <w:rPr>
          <w:rFonts w:ascii="Arial" w:hAnsi="Arial" w:cs="Arial"/>
        </w:rPr>
        <w:t>L+M)</w:t>
      </w:r>
      <w:r w:rsidRPr="00225AB0">
        <w:rPr>
          <w:rFonts w:ascii="Arial" w:hAnsi="Arial" w:cs="Arial"/>
        </w:rPr>
        <w:t xml:space="preserve"> stimuli stimulated only colour and not luminance-sensitive mechanisms for each individual, </w:t>
      </w:r>
      <w:r w:rsidR="00D92D2A">
        <w:rPr>
          <w:rFonts w:ascii="Arial" w:hAnsi="Arial" w:cs="Arial"/>
        </w:rPr>
        <w:t xml:space="preserve">all 12 </w:t>
      </w:r>
      <w:r w:rsidRPr="00225AB0">
        <w:rPr>
          <w:rFonts w:ascii="Arial" w:hAnsi="Arial" w:cs="Arial"/>
        </w:rPr>
        <w:t xml:space="preserve">participants first completed minimum motion isoluminance testing (see section 2.2) </w:t>
      </w:r>
      <w:r w:rsidRPr="00225AB0">
        <w:rPr>
          <w:rFonts w:ascii="Arial" w:hAnsi="Arial" w:cs="Arial"/>
        </w:rPr>
        <w:fldChar w:fldCharType="begin"/>
      </w:r>
      <w:r w:rsidR="005B4361">
        <w:rPr>
          <w:rFonts w:ascii="Arial" w:hAnsi="Arial" w:cs="Arial"/>
        </w:rPr>
        <w:instrText xml:space="preserve"> ADDIN ZOTERO_ITEM CSL_CITATION {"citationID":"9wilhiYv","properties":{"formattedCitation":"(Anstis &amp; Cavanagh, 1983; Lu et al., 1999)","plainCitation":"(Anstis &amp; Cavanagh, 1983; Lu et al., 1999)","noteIndex":0},"citationItems":[{"id":145,"uris":["http://zotero.org/groups/318634/items/6445XCKN"],"uri":["http://zotero.org/groups/318634/items/6445XCKN"],"itemData":{"id":145,"type":"book","title":"A minimum motion technique for judging equiluminance","publisher":"York University","author":[{"family":"Anstis","given":"Stuart"},{"family":"Cavanagh","given":"Patrick"}],"issued":{"date-parts":[["1983"]]}}},{"id":146,"uris":["http://zotero.org/groups/318634/items/9DNB2HEY"],"uri":["http://zotero.org/groups/318634/items/9DNB2HEY"],"itemData":{"id":146,"type":"article-journal","title":"The mechanism of isoluminant chromatic motion perception","container-title":"Proceedings of the National Academy of Sciences of the United States of America","page":"8289-8294","volume":"96","issue":"14","source":"PubMed Central","abstract":"An isoluminant chromatic display is a color display in which the component colors have been so carefully equated in luminance that they stimulate only color-sensitive perceptual mechanisms and not luminance-sensitive mechanisms. The nature of the mechanism by which isoluminant chromatic motion is perceived is an important issue because color and motion processing historically have been associated with different neural pathways. Here we show that isoluminant chromatic motion (i) fails a pedestal test, (ii) has a temporal tuning function that declines to half-amplitude at 3–6 Hz, and (iii) is perceived equally well when the entire motion sequence is presented monocularly (entire motion sequence to one eye) versus interocularly (the frames of motion sequence alternate between eyes so that neither eye individually could perceive motion). These three characteristics indicate that chromatic motion is detected by the third-order motion system. Based on this theory, it was possible to take a moving isoluminant red–green grating and, by simply increasing the chromatic contrast of the green component, to generate the full gamut of motion percepts, from compelling smooth motion to motion standstill. The perception of motion standstill when the third-order mechanism is nullified indicates that there is no other motion computation available for purely chromatic motion. It follows that isoluminant chromatic motion is not computed by specialized chromatic motion mechanisms within a color pathway but by the third-order motion system at a brain level where binocular inputs of form, color, depth, and texture are simultaneously available and where selective attention can exert a major influence.","ISSN":"0027-8424","note":"PMID: 10393987\nPMCID: PMC22227","journalAbbreviation":"Proc Natl Acad Sci U S A","author":[{"family":"Lu","given":"Zhong-Lin"},{"family":"Lesmes","given":"Luis A."},{"family":"Sperling","given":"George"}],"issued":{"date-parts":[["1999",7,6]]}}}],"schema":"https://github.com/citation-style-language/schema/raw/master/csl-citation.json"}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(Anstis &amp; Cavanagh, 1983; Lu et al., 1999)</w:t>
      </w:r>
      <w:r w:rsidRPr="00225AB0">
        <w:rPr>
          <w:rFonts w:ascii="Arial" w:hAnsi="Arial" w:cs="Arial"/>
        </w:rPr>
        <w:fldChar w:fldCharType="end"/>
      </w:r>
      <w:r w:rsidRPr="00225AB0">
        <w:rPr>
          <w:rFonts w:ascii="Arial" w:hAnsi="Arial" w:cs="Arial"/>
        </w:rPr>
        <w:t xml:space="preserve">. Participants also completed the same isoluminance testing procedure prior to the fMRI scanning session </w:t>
      </w:r>
      <w:r w:rsidR="00D44AC6">
        <w:rPr>
          <w:rFonts w:ascii="Arial" w:hAnsi="Arial" w:cs="Arial"/>
        </w:rPr>
        <w:t>in</w:t>
      </w:r>
      <w:r w:rsidRPr="00225AB0">
        <w:rPr>
          <w:rFonts w:ascii="Arial" w:hAnsi="Arial" w:cs="Arial"/>
        </w:rPr>
        <w:t xml:space="preserve"> the scanner bore to ensure stimuli were presented with isoluminance values specific to the display. </w:t>
      </w:r>
    </w:p>
    <w:p w14:paraId="7FEE6DDA" w14:textId="77777777" w:rsidR="006832FB" w:rsidRPr="00225AB0" w:rsidRDefault="006832FB" w:rsidP="006832FB">
      <w:pPr>
        <w:spacing w:line="480" w:lineRule="auto"/>
        <w:rPr>
          <w:rFonts w:ascii="Arial" w:hAnsi="Arial" w:cs="Arial"/>
        </w:rPr>
      </w:pPr>
    </w:p>
    <w:p w14:paraId="5B1794DA" w14:textId="36E94A4F" w:rsidR="00D92D2A" w:rsidRPr="00225AB0" w:rsidRDefault="006832FB" w:rsidP="00812C5D">
      <w:pPr>
        <w:spacing w:line="480" w:lineRule="auto"/>
        <w:rPr>
          <w:rFonts w:ascii="Arial" w:hAnsi="Arial" w:cs="Arial"/>
        </w:rPr>
      </w:pPr>
      <w:r w:rsidRPr="00225AB0">
        <w:rPr>
          <w:rFonts w:ascii="Arial" w:hAnsi="Arial" w:cs="Arial"/>
        </w:rPr>
        <w:t xml:space="preserve">Both the display systems used </w:t>
      </w:r>
      <w:r w:rsidR="00D44AC6">
        <w:rPr>
          <w:rFonts w:ascii="Arial" w:hAnsi="Arial" w:cs="Arial"/>
        </w:rPr>
        <w:t>in</w:t>
      </w:r>
      <w:r w:rsidRPr="00225AB0">
        <w:rPr>
          <w:rFonts w:ascii="Arial" w:hAnsi="Arial" w:cs="Arial"/>
        </w:rPr>
        <w:t xml:space="preserve"> the psychophysical and fMRI testing sessions were photometrically calibrated using a fibre-optic photospectrometer (Ocean Optics, Dunedin, FL), which measured both the gamma and spectral irradiance of the red, green and blue channels as seen by the eye. To achieve this, the tip of the fibre-optic cable was positioned to match the viewing distance and position of a human observer using a polystyrene mannequin head.</w:t>
      </w:r>
    </w:p>
    <w:p w14:paraId="2D29DDF9" w14:textId="297A1E2B" w:rsidR="006832FB" w:rsidRPr="00225AB0" w:rsidRDefault="006832FB" w:rsidP="006832FB">
      <w:pPr>
        <w:spacing w:line="480" w:lineRule="auto"/>
        <w:rPr>
          <w:rFonts w:ascii="Arial" w:hAnsi="Arial" w:cs="Arial"/>
        </w:rPr>
      </w:pPr>
      <w:r w:rsidRPr="00225AB0">
        <w:rPr>
          <w:rFonts w:ascii="Arial" w:hAnsi="Arial" w:cs="Arial"/>
        </w:rPr>
        <w:lastRenderedPageBreak/>
        <w:t xml:space="preserve">The isoluminance stimuli were initially specified in LMS cone excitation space and transformed to RGB values using the product of the Stockman Sharpe 10° cone fundamentals for the L-, M- and S-sensitive photoreceptors and the spectral power distribution of the RGB phosphors for each eye. In a darkened room, participants viewed a central Gaussian window annulus, in which a sine-wave (2.33 cycles/°, 3.8° diameter) was presented, with a cyclical phase (pulsing back and forth in space) through a range from 0 to π/2 radians in 6° increments, on a mid-grey luminance background and with a white central fixation cross. Participants fixated centrally and increased or decreased the amount of luminance contamination </w:t>
      </w:r>
      <w:r w:rsidR="00D44AC6">
        <w:rPr>
          <w:rFonts w:ascii="Arial" w:hAnsi="Arial" w:cs="Arial"/>
        </w:rPr>
        <w:t>in</w:t>
      </w:r>
      <w:r w:rsidRPr="00225AB0">
        <w:rPr>
          <w:rFonts w:ascii="Arial" w:hAnsi="Arial" w:cs="Arial"/>
        </w:rPr>
        <w:t xml:space="preserve"> the stimulus until the minimum amount of flicker was perceived. Audio feedback informed the participants if they had reached the minimum or maximum extent of L+M adjustment. Participants completed the testing procedure three times for L-M and S-(L+M) conditions respectively and an average was taken to produce the average isoluminance setting for each chromaticity used to calibrate the presentation of stimuli </w:t>
      </w:r>
      <w:r w:rsidR="00D44AC6">
        <w:rPr>
          <w:rFonts w:ascii="Arial" w:hAnsi="Arial" w:cs="Arial"/>
        </w:rPr>
        <w:t>in</w:t>
      </w:r>
      <w:r w:rsidRPr="00225AB0">
        <w:rPr>
          <w:rFonts w:ascii="Arial" w:hAnsi="Arial" w:cs="Arial"/>
        </w:rPr>
        <w:t xml:space="preserve"> the psychophysical and fMRI testing sessions. </w:t>
      </w:r>
    </w:p>
    <w:p w14:paraId="3A3563B6" w14:textId="77777777" w:rsidR="006832FB" w:rsidRPr="00225AB0" w:rsidRDefault="006832FB" w:rsidP="006832FB">
      <w:pPr>
        <w:spacing w:line="480" w:lineRule="auto"/>
        <w:rPr>
          <w:rFonts w:ascii="Arial" w:hAnsi="Arial" w:cs="Arial"/>
        </w:rPr>
      </w:pPr>
    </w:p>
    <w:p w14:paraId="2D3F172F" w14:textId="77777777" w:rsidR="006832FB" w:rsidRPr="00D8518F" w:rsidRDefault="006832FB" w:rsidP="001811CC">
      <w:pPr>
        <w:pStyle w:val="Heading4"/>
        <w:numPr>
          <w:ilvl w:val="3"/>
          <w:numId w:val="6"/>
        </w:numPr>
        <w:rPr>
          <w:rFonts w:ascii="Arial" w:hAnsi="Arial" w:cs="Arial"/>
          <w:color w:val="000000" w:themeColor="text1"/>
          <w:sz w:val="28"/>
          <w:szCs w:val="28"/>
        </w:rPr>
      </w:pPr>
      <w:bookmarkStart w:id="592" w:name="_Toc11148013"/>
      <w:bookmarkStart w:id="593" w:name="_Toc11153962"/>
      <w:bookmarkStart w:id="594" w:name="_Toc11930096"/>
      <w:bookmarkStart w:id="595" w:name="_Toc16075412"/>
      <w:r w:rsidRPr="00D8518F">
        <w:rPr>
          <w:rFonts w:ascii="Arial" w:hAnsi="Arial" w:cs="Arial"/>
          <w:color w:val="000000" w:themeColor="text1"/>
          <w:sz w:val="28"/>
          <w:szCs w:val="28"/>
        </w:rPr>
        <w:t>Experimental Design</w:t>
      </w:r>
      <w:bookmarkEnd w:id="592"/>
      <w:bookmarkEnd w:id="593"/>
      <w:bookmarkEnd w:id="594"/>
      <w:bookmarkEnd w:id="595"/>
    </w:p>
    <w:p w14:paraId="68692649" w14:textId="5BC96D61" w:rsidR="006832FB" w:rsidRPr="00225AB0" w:rsidRDefault="006832FB" w:rsidP="006832FB">
      <w:pPr>
        <w:spacing w:line="480" w:lineRule="auto"/>
        <w:rPr>
          <w:rFonts w:ascii="Arial" w:hAnsi="Arial" w:cs="Arial"/>
        </w:rPr>
      </w:pPr>
      <w:r w:rsidRPr="00225AB0">
        <w:rPr>
          <w:rFonts w:ascii="Arial" w:hAnsi="Arial" w:cs="Arial"/>
        </w:rPr>
        <w:t>In order to gain each participants</w:t>
      </w:r>
      <w:r w:rsidR="00331B19">
        <w:rPr>
          <w:rFonts w:ascii="Arial" w:hAnsi="Arial" w:cs="Arial"/>
        </w:rPr>
        <w:t>’</w:t>
      </w:r>
      <w:r w:rsidRPr="00225AB0">
        <w:rPr>
          <w:rFonts w:ascii="Arial" w:hAnsi="Arial" w:cs="Arial"/>
        </w:rPr>
        <w:t xml:space="preserve"> individual threshold detection values for each combination of stimulus chromaticity (L+M, L-M and S-(L+M)) and low-level visual feature (orientation, contrast and shape), </w:t>
      </w:r>
      <w:r w:rsidR="00D92D2A">
        <w:rPr>
          <w:rFonts w:ascii="Arial" w:hAnsi="Arial" w:cs="Arial"/>
        </w:rPr>
        <w:t xml:space="preserve">the same 12 </w:t>
      </w:r>
      <w:r w:rsidRPr="00225AB0">
        <w:rPr>
          <w:rFonts w:ascii="Arial" w:hAnsi="Arial" w:cs="Arial"/>
        </w:rPr>
        <w:t xml:space="preserve">participants initially completed a 30-minute psychophysical testing session, very similar to the screening procedure employed in our first, achromatic experiment (see Chapter 4). We utilised a RF pattern stimulus (see section 2.1) demonstrated to be an effective stimulus in probing visual attentional mechanisms (see Chapter 3). </w:t>
      </w:r>
    </w:p>
    <w:p w14:paraId="24EEB1E9" w14:textId="77777777" w:rsidR="006832FB" w:rsidRPr="00225AB0" w:rsidRDefault="006832FB" w:rsidP="006832FB">
      <w:pPr>
        <w:spacing w:line="480" w:lineRule="auto"/>
        <w:rPr>
          <w:rFonts w:ascii="Arial" w:hAnsi="Arial" w:cs="Arial"/>
        </w:rPr>
      </w:pPr>
    </w:p>
    <w:p w14:paraId="742C06FE" w14:textId="3CF43FA1" w:rsidR="006832FB" w:rsidRPr="00225AB0" w:rsidRDefault="006832FB" w:rsidP="006832FB">
      <w:pPr>
        <w:spacing w:line="480" w:lineRule="auto"/>
        <w:rPr>
          <w:rFonts w:ascii="Arial" w:hAnsi="Arial" w:cs="Arial"/>
        </w:rPr>
      </w:pPr>
      <w:r w:rsidRPr="00225AB0">
        <w:rPr>
          <w:rFonts w:ascii="Arial" w:hAnsi="Arial" w:cs="Arial"/>
        </w:rPr>
        <w:t>This threshold testing used a Bayesian staircase to efficiently estimate participants</w:t>
      </w:r>
      <w:r w:rsidR="00331B19">
        <w:rPr>
          <w:rFonts w:ascii="Arial" w:hAnsi="Arial" w:cs="Arial"/>
        </w:rPr>
        <w:t>’</w:t>
      </w:r>
      <w:r w:rsidRPr="00225AB0">
        <w:rPr>
          <w:rFonts w:ascii="Arial" w:hAnsi="Arial" w:cs="Arial"/>
        </w:rPr>
        <w:t xml:space="preserve"> feature- and colour-specific detection thresholds </w:t>
      </w:r>
      <w:r w:rsidRPr="00225AB0">
        <w:rPr>
          <w:rFonts w:ascii="Arial" w:hAnsi="Arial" w:cs="Arial"/>
        </w:rPr>
        <w:fldChar w:fldCharType="begin"/>
      </w:r>
      <w:r w:rsidR="005B4361">
        <w:rPr>
          <w:rFonts w:ascii="Arial" w:hAnsi="Arial" w:cs="Arial"/>
        </w:rPr>
        <w:instrText xml:space="preserve"> ADDIN ZOTERO_ITEM CSL_CITATION {"citationID":"la4gDtiB","properties":{"formattedCitation":"(Watson &amp; Pelli, 1983)","plainCitation":"(Watson &amp; Pelli, 1983)","noteIndex":0},"citationItems":[{"id":208,"uris":["http://zotero.org/groups/318634/items/JKVKSGEP"],"uri":["http://zotero.org/groups/318634/items/JKVKSGEP"],"itemData":{"id":208,"type":"article-journal","title":"QUEST: A Bayesian adaptive psychometric method","container-title":"Perception &amp; psychophysics","page":"113–120","volume":"33","issue":"2","source":"Google Scholar","title-short":"QUEST","author":[{"family":"Watson","given":"Andrew B."},{"family":"Pelli","given":"Denis G."}],"issued":{"date-parts":[["1983"]]}}}],"schema":"https://github.com/citation-style-language/schema/raw/master/csl-citation.json"} </w:instrText>
      </w:r>
      <w:r w:rsidRPr="00225AB0">
        <w:rPr>
          <w:rFonts w:ascii="Arial" w:hAnsi="Arial" w:cs="Arial"/>
        </w:rPr>
        <w:fldChar w:fldCharType="separate"/>
      </w:r>
      <w:r w:rsidRPr="00225AB0">
        <w:rPr>
          <w:rFonts w:ascii="Arial" w:hAnsi="Arial" w:cs="Arial"/>
          <w:noProof/>
        </w:rPr>
        <w:t>(Watson &amp; Pelli, 1983)</w:t>
      </w:r>
      <w:r w:rsidRPr="00225AB0">
        <w:rPr>
          <w:rFonts w:ascii="Arial" w:hAnsi="Arial" w:cs="Arial"/>
        </w:rPr>
        <w:fldChar w:fldCharType="end"/>
      </w:r>
      <w:r w:rsidRPr="00225AB0">
        <w:rPr>
          <w:rFonts w:ascii="Arial" w:hAnsi="Arial" w:cs="Arial"/>
        </w:rPr>
        <w:t xml:space="preserve">. Initial estimates of mean threshold were provided for each low-level visual feature (orientation 0.3 radians and 0.08 radial amplitude modulation (shape)) with a 0.5-unit standard deviation. Stimulus chromatic contrast was specified on the basis of standardised LMS values, to ensure equal cone excitation across the three stimulus chromaticities (L+M 5%, L-M, 4%, S-(L+M) 15%) </w:t>
      </w:r>
      <w:r w:rsidRPr="00225AB0">
        <w:rPr>
          <w:rFonts w:ascii="Arial" w:hAnsi="Arial" w:cs="Arial"/>
        </w:rPr>
        <w:fldChar w:fldCharType="begin"/>
      </w:r>
      <w:r w:rsidR="005B4361">
        <w:rPr>
          <w:rFonts w:ascii="Arial" w:hAnsi="Arial" w:cs="Arial"/>
        </w:rPr>
        <w:instrText xml:space="preserve"> ADDIN ZOTERO_ITEM CSL_CITATION {"citationID":"QfdhcKCn","properties":{"formattedCitation":"(Welbourne, Morland, &amp; Wade, 2018)","plainCitation":"(Welbourne, Morland, &amp; Wade, 2018)","dontUpdate":true,"noteIndex":0},"citationItems":[{"id":118,"uris":["http://zotero.org/groups/318634/items/2UCQ47EL"],"uri":["http://zotero.org/groups/318634/items/2UCQ47EL"],"itemData":{"id":118,"type":"article-journal","title":"Population receptive field (pRF) measurements of chromatic responses in human visual cortex using fMRI","container-title":"Neuroimage","page":"84-94","volume":"167","source":"PubMed Central","abstract":"The spatial sensitivity of the human visual system depends on stimulus color: achromatic gratings can be resolved at relatively high spatial frequencies while sensitivity to isoluminant color contrast tends to be more low-pass. Models of early spatial vision often assume that the receptive field size of pattern-sensitive neurons is correlated with their spatial frequency sensitivity - larger receptive fields are typically associated with lower optimal spatial frequency. A strong prediction of this model is that neurons coding isoluminant chromatic patterns should have, on average, a larger receptive field size than neurons sensitive to achromatic patterns. Here, we test this assumption using functional magnetic resonance imaging (fMRI). We show that while spatial frequency sensitivity depends on chromaticity in the manner predicted by behavioral measurements, population receptive field (pRF) size measurements show no such dependency. At any given eccentricity, the mean pRF size for neuronal populations driven by luminance, opponent red/green and S-cone isolating contrast, are identical. Changes in pRF size (for example, an increase with eccentricity and visual area hierarchy) are also identical across the three chromatic conditions. These results suggest that fMRI measurements of receptive field size and spatial resolution can be decoupled under some circumstances - potentially reflecting a fundamental dissociation between these parameters at the level of neuronal populations., \n          \n            \n              •\n              Novel use of fMRI population receptive field (pRF) mapping, using chromatic stimuli.\n            \n            \n              •\n              Spatial frequency sensitivity in early visual areas measured with fMRI.\n            \n            \n              •\n              Differences in spatial sensitivity found between S-cone and luminance conditions.\n            \n            \n              •\n              No significant differences in pRF sizes between S-cone and luminance conditions.\n            \n            \n              •\n              Suggests that pRF sizes and spatial resolution are not coupled.","DOI":"10.1016/j.neuroimage.2017.11.022","ISSN":"1053-8119","note":"PMID: 29155081\nPMCID: PMC5854267","journalAbbreviation":"Neuroimage","author":[{"family":"Welbourne","given":"Lauren E."},{"family":"Morland","given":"Antony B."},{"family":"Wade","given":"Alex R."}],"issued":{"date-parts":[["2018",2,15]]}}}],"schema":"https://github.com/citation-style-language/schema/raw/master/csl-citation.json"} </w:instrText>
      </w:r>
      <w:r w:rsidRPr="00225AB0">
        <w:rPr>
          <w:rFonts w:ascii="Arial" w:hAnsi="Arial" w:cs="Arial"/>
        </w:rPr>
        <w:fldChar w:fldCharType="separate"/>
      </w:r>
      <w:r w:rsidRPr="00225AB0">
        <w:rPr>
          <w:rFonts w:ascii="Arial" w:hAnsi="Arial" w:cs="Arial"/>
          <w:noProof/>
        </w:rPr>
        <w:t>(as in Welbourne, Morland, &amp; Wade, 2018)</w:t>
      </w:r>
      <w:r w:rsidRPr="00225AB0">
        <w:rPr>
          <w:rFonts w:ascii="Arial" w:hAnsi="Arial" w:cs="Arial"/>
        </w:rPr>
        <w:fldChar w:fldCharType="end"/>
      </w:r>
      <w:r w:rsidRPr="00225AB0">
        <w:rPr>
          <w:rFonts w:ascii="Arial" w:hAnsi="Arial" w:cs="Arial"/>
        </w:rPr>
        <w:t xml:space="preserve">. These values were then multiplied by 1.5 to increase stimulus visibility. Initial estimates of contrast detection threshold were specified on the standardised LMS values specified above (5% L+M, 4% L-M and 15% S-(L+M)), which modulated above and below the baseline contrast value. </w:t>
      </w:r>
    </w:p>
    <w:p w14:paraId="581525D3" w14:textId="77777777" w:rsidR="006832FB" w:rsidRPr="00225AB0" w:rsidRDefault="006832FB" w:rsidP="006832FB">
      <w:pPr>
        <w:spacing w:line="480" w:lineRule="auto"/>
        <w:rPr>
          <w:rFonts w:ascii="Arial" w:hAnsi="Arial" w:cs="Arial"/>
        </w:rPr>
      </w:pPr>
    </w:p>
    <w:p w14:paraId="3E58EAB1" w14:textId="4CE41057" w:rsidR="006832FB" w:rsidRPr="00225AB0" w:rsidRDefault="006832FB" w:rsidP="006832FB">
      <w:pPr>
        <w:spacing w:line="480" w:lineRule="auto"/>
        <w:rPr>
          <w:rFonts w:ascii="Arial" w:hAnsi="Arial" w:cs="Arial"/>
        </w:rPr>
      </w:pPr>
      <w:r w:rsidRPr="00225AB0">
        <w:rPr>
          <w:rFonts w:ascii="Arial" w:hAnsi="Arial" w:cs="Arial"/>
        </w:rPr>
        <w:t xml:space="preserve">Participants completed 75 trials, and an additional 10 initial practice trials at the start of each run (discarded from analysis) to provide a 75% correct detection threshold for each combination of low-level visual feature and stimulus chromaticity. Testing order was randomised for each participant. Each participant was presented with a visual attention cue at the start of each staircase to specify the attended feature for each staircase and a central white fixation letter presented on a mid-grey luminance background throughout the run matched the staircase feature (O, C and S).  Trials </w:t>
      </w:r>
      <w:r w:rsidR="00843C86">
        <w:rPr>
          <w:rFonts w:ascii="Arial" w:hAnsi="Arial" w:cs="Arial"/>
        </w:rPr>
        <w:t>began</w:t>
      </w:r>
      <w:r w:rsidR="00843C86" w:rsidRPr="00225AB0">
        <w:rPr>
          <w:rFonts w:ascii="Arial" w:hAnsi="Arial" w:cs="Arial"/>
        </w:rPr>
        <w:t xml:space="preserve"> </w:t>
      </w:r>
      <w:r w:rsidRPr="00225AB0">
        <w:rPr>
          <w:rFonts w:ascii="Arial" w:hAnsi="Arial" w:cs="Arial"/>
        </w:rPr>
        <w:t>with a 500ms presentation of a mid-grey luminance screen. This was followed by a 150ms presentation of a reference radial frequency (RF) pattern stimulus. As in the previous psychophysical staircase procedure (see Chapter 4), this reference RF pattern had a 2.0</w:t>
      </w:r>
      <w:r w:rsidRPr="00225AB0">
        <w:rPr>
          <w:rFonts w:ascii="Arial" w:hAnsi="Arial" w:cs="Arial"/>
          <w:color w:val="0D0D0D" w:themeColor="text1" w:themeTint="F2"/>
        </w:rPr>
        <w:t xml:space="preserve">° average radius, with a </w:t>
      </w:r>
      <w:r w:rsidRPr="00225AB0">
        <w:rPr>
          <w:rFonts w:ascii="Arial" w:hAnsi="Arial" w:cs="Arial"/>
        </w:rPr>
        <w:lastRenderedPageBreak/>
        <w:t>constant 0</w:t>
      </w:r>
      <w:r w:rsidRPr="00225AB0">
        <w:rPr>
          <w:rFonts w:ascii="Arial" w:hAnsi="Arial" w:cs="Arial"/>
          <w:color w:val="0D0D0D" w:themeColor="text1" w:themeTint="F2"/>
        </w:rPr>
        <w:t xml:space="preserve">° </w:t>
      </w:r>
      <w:r w:rsidRPr="00225AB0">
        <w:rPr>
          <w:rFonts w:ascii="Arial" w:hAnsi="Arial" w:cs="Arial"/>
        </w:rPr>
        <w:t>orientation, colour-specific contrast (specified above) and shape (0.5 amplitude). Chromatic stimuli (L-M, S-(L+M)) were presented with participant-specific isoluminance settings. This was followed by a 600ms inter-stimulus interval, with presentation of a mid-grey luminance background. The target stimulus was then presented for 150ms with the extent of change in the low-level visual feature derived from participant’s previous performance using the Bayesian staircase procedure. The target RF pattern differed from the reference in only the attended feature. The direction of change was randomly specified with approximately 50% of trials occurring in each change direction (clockwise versus anticlockwise orientation, high versus low contrast and spikier versus smoother shape)</w:t>
      </w:r>
      <w:r w:rsidR="00C87AA3">
        <w:rPr>
          <w:rFonts w:ascii="Arial" w:hAnsi="Arial" w:cs="Arial"/>
        </w:rPr>
        <w:t xml:space="preserve"> (see Figure 5.1A)</w:t>
      </w:r>
      <w:r w:rsidRPr="00225AB0">
        <w:rPr>
          <w:rFonts w:ascii="Arial" w:hAnsi="Arial" w:cs="Arial"/>
        </w:rPr>
        <w:t xml:space="preserve">. </w:t>
      </w:r>
    </w:p>
    <w:p w14:paraId="74305660" w14:textId="77777777" w:rsidR="006832FB" w:rsidRPr="00225AB0" w:rsidRDefault="006832FB" w:rsidP="006832FB">
      <w:pPr>
        <w:spacing w:line="480" w:lineRule="auto"/>
        <w:rPr>
          <w:rFonts w:ascii="Arial" w:hAnsi="Arial" w:cs="Arial"/>
        </w:rPr>
      </w:pPr>
    </w:p>
    <w:p w14:paraId="7D6E850D" w14:textId="7CFAACD9" w:rsidR="006832FB" w:rsidRPr="00225AB0" w:rsidRDefault="006832FB" w:rsidP="006832FB">
      <w:pPr>
        <w:spacing w:line="480" w:lineRule="auto"/>
        <w:rPr>
          <w:rFonts w:ascii="Arial" w:hAnsi="Arial" w:cs="Arial"/>
        </w:rPr>
      </w:pPr>
      <w:r w:rsidRPr="00225AB0">
        <w:rPr>
          <w:rFonts w:ascii="Arial" w:hAnsi="Arial" w:cs="Arial"/>
        </w:rPr>
        <w:t>Presentation of both the target and the reference stimuli were preceded with an audible beep to help maintain participants</w:t>
      </w:r>
      <w:r w:rsidR="00331B19">
        <w:rPr>
          <w:rFonts w:ascii="Arial" w:hAnsi="Arial" w:cs="Arial"/>
        </w:rPr>
        <w:t>’</w:t>
      </w:r>
      <w:r w:rsidRPr="00225AB0">
        <w:rPr>
          <w:rFonts w:ascii="Arial" w:hAnsi="Arial" w:cs="Arial"/>
        </w:rPr>
        <w:t xml:space="preserve"> directed attention. Participants then made a </w:t>
      </w:r>
      <w:r w:rsidR="00A3496F">
        <w:rPr>
          <w:rFonts w:ascii="Arial" w:hAnsi="Arial" w:cs="Arial"/>
        </w:rPr>
        <w:t>yes/no</w:t>
      </w:r>
      <w:r w:rsidR="00A3496F" w:rsidRPr="00225AB0">
        <w:rPr>
          <w:rFonts w:ascii="Arial" w:hAnsi="Arial" w:cs="Arial"/>
        </w:rPr>
        <w:t xml:space="preserve"> </w:t>
      </w:r>
      <w:r w:rsidRPr="00225AB0">
        <w:rPr>
          <w:rFonts w:ascii="Arial" w:hAnsi="Arial" w:cs="Arial"/>
        </w:rPr>
        <w:t>judgement indicating the direction of change between the reference and the target stimulus (‘U’ or ‘N’ keyboard press). The participant</w:t>
      </w:r>
      <w:r w:rsidR="00843C86">
        <w:rPr>
          <w:rFonts w:ascii="Arial" w:hAnsi="Arial" w:cs="Arial"/>
        </w:rPr>
        <w:t>’</w:t>
      </w:r>
      <w:r w:rsidRPr="00225AB0">
        <w:rPr>
          <w:rFonts w:ascii="Arial" w:hAnsi="Arial" w:cs="Arial"/>
        </w:rPr>
        <w:t xml:space="preserve">s response initiated the next trial. A maximum 900ms ‘wait’ period was included, in which if a response was not recorded, the next trial commenced. Participants were informed via a toned beep if their response was correct or incorrect. At the end of 75 trials, the </w:t>
      </w:r>
      <w:r w:rsidR="00D92D2A">
        <w:rPr>
          <w:rFonts w:ascii="Arial" w:hAnsi="Arial" w:cs="Arial"/>
        </w:rPr>
        <w:t>Bayesian</w:t>
      </w:r>
      <w:r w:rsidRPr="00225AB0">
        <w:rPr>
          <w:rFonts w:ascii="Arial" w:hAnsi="Arial" w:cs="Arial"/>
        </w:rPr>
        <w:t xml:space="preserve"> staircase provided an estimate of each participants</w:t>
      </w:r>
      <w:r w:rsidR="00331B19">
        <w:rPr>
          <w:rFonts w:ascii="Arial" w:hAnsi="Arial" w:cs="Arial"/>
        </w:rPr>
        <w:t>’</w:t>
      </w:r>
      <w:r w:rsidRPr="00225AB0">
        <w:rPr>
          <w:rFonts w:ascii="Arial" w:hAnsi="Arial" w:cs="Arial"/>
        </w:rPr>
        <w:t xml:space="preserve"> 75% correct detection threshold for that visual feature. 9 staircases in total were performed, one for each combination of stimulus chromaticity and low-level visual feature, with each staircase lasting approximately 3 minutes. </w:t>
      </w:r>
    </w:p>
    <w:p w14:paraId="13F33E62" w14:textId="77777777" w:rsidR="006832FB" w:rsidRPr="00225AB0" w:rsidRDefault="006832FB" w:rsidP="006832FB">
      <w:pPr>
        <w:rPr>
          <w:rFonts w:ascii="Arial" w:hAnsi="Arial" w:cs="Arial"/>
          <w:color w:val="000000" w:themeColor="text1"/>
        </w:rPr>
      </w:pPr>
    </w:p>
    <w:p w14:paraId="75ACF669" w14:textId="77777777" w:rsidR="006832FB" w:rsidRDefault="006832FB" w:rsidP="001811CC">
      <w:pPr>
        <w:pStyle w:val="Heading3"/>
        <w:numPr>
          <w:ilvl w:val="2"/>
          <w:numId w:val="6"/>
        </w:numPr>
        <w:rPr>
          <w:rFonts w:ascii="Arial" w:hAnsi="Arial" w:cs="Arial"/>
          <w:b/>
          <w:i/>
          <w:color w:val="000000" w:themeColor="text1"/>
          <w:sz w:val="28"/>
          <w:szCs w:val="28"/>
        </w:rPr>
      </w:pPr>
      <w:bookmarkStart w:id="596" w:name="_Toc11148014"/>
      <w:bookmarkStart w:id="597" w:name="_Toc11153963"/>
      <w:bookmarkStart w:id="598" w:name="_Toc11753663"/>
      <w:bookmarkStart w:id="599" w:name="_Toc11926849"/>
      <w:bookmarkStart w:id="600" w:name="_Toc11930097"/>
      <w:bookmarkStart w:id="601" w:name="_Toc16075413"/>
      <w:bookmarkStart w:id="602" w:name="_Toc16237021"/>
      <w:r w:rsidRPr="00D8518F">
        <w:rPr>
          <w:rFonts w:ascii="Arial" w:hAnsi="Arial" w:cs="Arial"/>
          <w:b/>
          <w:i/>
          <w:color w:val="000000" w:themeColor="text1"/>
          <w:sz w:val="28"/>
          <w:szCs w:val="28"/>
        </w:rPr>
        <w:lastRenderedPageBreak/>
        <w:t>Functional Neuroimaging</w:t>
      </w:r>
      <w:bookmarkEnd w:id="596"/>
      <w:bookmarkEnd w:id="597"/>
      <w:bookmarkEnd w:id="598"/>
      <w:bookmarkEnd w:id="599"/>
      <w:bookmarkEnd w:id="600"/>
      <w:bookmarkEnd w:id="601"/>
      <w:bookmarkEnd w:id="602"/>
    </w:p>
    <w:p w14:paraId="07761EEC" w14:textId="77777777" w:rsidR="00D8518F" w:rsidRPr="00D8518F" w:rsidRDefault="00D8518F" w:rsidP="00D8518F"/>
    <w:p w14:paraId="598CF21D" w14:textId="77777777" w:rsidR="006832FB" w:rsidRPr="00D8518F" w:rsidRDefault="006832FB" w:rsidP="001811CC">
      <w:pPr>
        <w:pStyle w:val="Heading4"/>
        <w:numPr>
          <w:ilvl w:val="3"/>
          <w:numId w:val="6"/>
        </w:numPr>
        <w:rPr>
          <w:rFonts w:ascii="Arial" w:hAnsi="Arial" w:cs="Arial"/>
          <w:color w:val="000000" w:themeColor="text1"/>
          <w:sz w:val="28"/>
          <w:szCs w:val="28"/>
        </w:rPr>
      </w:pPr>
      <w:bookmarkStart w:id="603" w:name="_Toc11148015"/>
      <w:bookmarkStart w:id="604" w:name="_Toc11153964"/>
      <w:bookmarkStart w:id="605" w:name="_Toc11930098"/>
      <w:bookmarkStart w:id="606" w:name="_Toc16075414"/>
      <w:r w:rsidRPr="00D8518F">
        <w:rPr>
          <w:rFonts w:ascii="Arial" w:hAnsi="Arial" w:cs="Arial"/>
          <w:color w:val="000000" w:themeColor="text1"/>
          <w:sz w:val="28"/>
          <w:szCs w:val="28"/>
        </w:rPr>
        <w:t>fMRI stimulus display</w:t>
      </w:r>
      <w:bookmarkEnd w:id="603"/>
      <w:bookmarkEnd w:id="604"/>
      <w:bookmarkEnd w:id="605"/>
      <w:bookmarkEnd w:id="606"/>
    </w:p>
    <w:p w14:paraId="0F312D16" w14:textId="77777777" w:rsidR="006832FB" w:rsidRPr="00225AB0" w:rsidRDefault="006832FB" w:rsidP="006832FB">
      <w:pPr>
        <w:spacing w:line="480" w:lineRule="auto"/>
        <w:rPr>
          <w:rFonts w:ascii="Arial" w:hAnsi="Arial" w:cs="Arial"/>
        </w:rPr>
      </w:pPr>
      <w:r w:rsidRPr="00225AB0">
        <w:rPr>
          <w:rFonts w:ascii="Arial" w:hAnsi="Arial" w:cs="Arial"/>
        </w:rPr>
        <w:t xml:space="preserve">Visual stimuli were presented using a </w:t>
      </w:r>
      <w:proofErr w:type="spellStart"/>
      <w:r w:rsidRPr="00225AB0">
        <w:rPr>
          <w:rFonts w:ascii="Arial" w:hAnsi="Arial" w:cs="Arial"/>
        </w:rPr>
        <w:t>PROpixx</w:t>
      </w:r>
      <w:proofErr w:type="spellEnd"/>
      <w:r w:rsidRPr="00225AB0">
        <w:rPr>
          <w:rFonts w:ascii="Arial" w:hAnsi="Arial" w:cs="Arial"/>
        </w:rPr>
        <w:t xml:space="preserve"> DLP LED projector (</w:t>
      </w:r>
      <w:proofErr w:type="spellStart"/>
      <w:r w:rsidRPr="00225AB0">
        <w:rPr>
          <w:rFonts w:ascii="Arial" w:hAnsi="Arial" w:cs="Arial"/>
        </w:rPr>
        <w:t>Vpixx</w:t>
      </w:r>
      <w:proofErr w:type="spellEnd"/>
      <w:r w:rsidRPr="00225AB0">
        <w:rPr>
          <w:rFonts w:ascii="Arial" w:hAnsi="Arial" w:cs="Arial"/>
        </w:rPr>
        <w:t xml:space="preserve"> Technologies Inc. Saint-Bruno-de-</w:t>
      </w:r>
      <w:proofErr w:type="spellStart"/>
      <w:r w:rsidRPr="00225AB0">
        <w:rPr>
          <w:rFonts w:ascii="Arial" w:hAnsi="Arial" w:cs="Arial"/>
        </w:rPr>
        <w:t>Montarvile</w:t>
      </w:r>
      <w:proofErr w:type="spellEnd"/>
      <w:r w:rsidRPr="00225AB0">
        <w:rPr>
          <w:rFonts w:ascii="Arial" w:hAnsi="Arial" w:cs="Arial"/>
        </w:rPr>
        <w:t xml:space="preserve">, QC, Canada) with a long throw lens which projected the image through a waveguide behind the scanner bore and onto an acrylic screen. Images were presented at 57cm viewing distance with </w:t>
      </w:r>
      <w:r w:rsidR="00D20C1F" w:rsidRPr="00225AB0">
        <w:rPr>
          <w:rFonts w:ascii="Arial" w:hAnsi="Arial" w:cs="Arial"/>
        </w:rPr>
        <w:t>a resolution</w:t>
      </w:r>
      <w:r w:rsidRPr="00225AB0">
        <w:rPr>
          <w:rFonts w:ascii="Arial" w:hAnsi="Arial" w:cs="Arial"/>
        </w:rPr>
        <w:t xml:space="preserve"> of 1920x1080 pixels and a 120Hz refresh rate. </w:t>
      </w:r>
    </w:p>
    <w:p w14:paraId="6C9B63B4" w14:textId="77777777" w:rsidR="006832FB" w:rsidRPr="00225AB0" w:rsidRDefault="006832FB" w:rsidP="006832FB">
      <w:pPr>
        <w:spacing w:line="480" w:lineRule="auto"/>
        <w:rPr>
          <w:rFonts w:ascii="Arial" w:hAnsi="Arial" w:cs="Arial"/>
        </w:rPr>
      </w:pPr>
    </w:p>
    <w:p w14:paraId="204CF1DE" w14:textId="6C075033" w:rsidR="006832FB" w:rsidRPr="00225AB0" w:rsidRDefault="006832FB" w:rsidP="006832FB">
      <w:pPr>
        <w:spacing w:line="480" w:lineRule="auto"/>
        <w:rPr>
          <w:rFonts w:ascii="Arial" w:hAnsi="Arial" w:cs="Arial"/>
        </w:rPr>
      </w:pPr>
      <w:r w:rsidRPr="00225AB0">
        <w:rPr>
          <w:rFonts w:ascii="Arial" w:hAnsi="Arial" w:cs="Arial"/>
        </w:rPr>
        <w:t xml:space="preserve">A Shuttle XPC SZ87RG high-end graphics system with Intel Core i7-4790K processor at 4GHz and a NVIDIA GeForce GTX970 graphics card with 4GB DDR5 memory were used to control the fMRI experiment. All stimuli and experimental procedures were controlled by MATLAB 8.5.0 (2016a) in conjunction with Psychtoolbox 3.0.12 routines </w:t>
      </w:r>
      <w:r w:rsidRPr="00225AB0">
        <w:rPr>
          <w:rFonts w:ascii="Arial" w:hAnsi="Arial" w:cs="Arial"/>
        </w:rPr>
        <w:fldChar w:fldCharType="begin"/>
      </w:r>
      <w:r w:rsidR="005B4361">
        <w:rPr>
          <w:rFonts w:ascii="Arial" w:hAnsi="Arial" w:cs="Arial"/>
        </w:rPr>
        <w:instrText xml:space="preserve"> ADDIN ZOTERO_ITEM CSL_CITATION {"citationID":"w92kPruC","properties":{"formattedCitation":"(Brainard, 1997; Pelli, 1997)","plainCitation":"(Brainard, 1997; Pelli, 1997)","noteIndex":0},"citationItems":[{"id":266,"uris":["http://zotero.org/groups/318634/items/DPFM722D"],"uri":["http://zotero.org/groups/318634/items/DPFM722D"],"itemData":{"id":266,"type":"article-journal","title":"The psychophysics toolbox","container-title":"Spatial vision","page":"433–436","volume":"10","source":"Google Scholar","author":[{"family":"Brainard","given":"David H."}],"issued":{"date-parts":[["1997"]]}}},{"id":235,"uris":["http://zotero.org/groups/318634/items/I9QQF3XD"],"uri":["http://zotero.org/groups/318634/items/I9QQF3XD"],"itemData":{"id":235,"type":"article-journal","title":"The VideoToolbox software for visual psychophysics: Transforming numbers into movies","container-title":"Spatial vision","page":"437–442","volume":"10","issue":"4","source":"Google Scholar","title-short":"The VideoToolbox software for visual psychophysics","author":[{"family":"Pelli","given":"Denis G."}],"issued":{"date-parts":[["1997"]]}}}],"schema":"https://github.com/citation-style-language/schema/raw/master/csl-citation.json"} </w:instrText>
      </w:r>
      <w:r w:rsidRPr="00225AB0">
        <w:rPr>
          <w:rFonts w:ascii="Arial" w:hAnsi="Arial" w:cs="Arial"/>
        </w:rPr>
        <w:fldChar w:fldCharType="separate"/>
      </w:r>
      <w:r w:rsidRPr="00225AB0">
        <w:rPr>
          <w:rFonts w:ascii="Arial" w:hAnsi="Arial" w:cs="Arial"/>
          <w:noProof/>
        </w:rPr>
        <w:t>(Brainard, 1997; Pelli, 1997)</w:t>
      </w:r>
      <w:r w:rsidRPr="00225AB0">
        <w:rPr>
          <w:rFonts w:ascii="Arial" w:hAnsi="Arial" w:cs="Arial"/>
        </w:rPr>
        <w:fldChar w:fldCharType="end"/>
      </w:r>
      <w:r w:rsidRPr="00225AB0">
        <w:rPr>
          <w:rFonts w:ascii="Arial" w:hAnsi="Arial" w:cs="Arial"/>
        </w:rPr>
        <w:t xml:space="preserve">. During scanning, behavioural responses and scanner trigger pulses (used to synchronise stimulus onset) were acquired using a fibre-optic response pad Forp-932 (Current Designs, Philadelphia, PA). </w:t>
      </w:r>
    </w:p>
    <w:p w14:paraId="42E7A6B1" w14:textId="77777777" w:rsidR="006832FB" w:rsidRPr="00225AB0" w:rsidRDefault="006832FB" w:rsidP="006832FB">
      <w:pPr>
        <w:spacing w:line="480" w:lineRule="auto"/>
        <w:rPr>
          <w:rFonts w:ascii="Arial" w:hAnsi="Arial" w:cs="Arial"/>
        </w:rPr>
      </w:pPr>
    </w:p>
    <w:p w14:paraId="4BF2B45C" w14:textId="77777777" w:rsidR="006832FB" w:rsidRPr="00D8518F" w:rsidRDefault="006832FB" w:rsidP="001811CC">
      <w:pPr>
        <w:pStyle w:val="Heading4"/>
        <w:numPr>
          <w:ilvl w:val="3"/>
          <w:numId w:val="6"/>
        </w:numPr>
        <w:rPr>
          <w:rFonts w:ascii="Arial" w:hAnsi="Arial" w:cs="Arial"/>
          <w:color w:val="000000" w:themeColor="text1"/>
          <w:sz w:val="28"/>
          <w:szCs w:val="28"/>
        </w:rPr>
      </w:pPr>
      <w:bookmarkStart w:id="607" w:name="_Toc11148016"/>
      <w:bookmarkStart w:id="608" w:name="_Toc11153965"/>
      <w:bookmarkStart w:id="609" w:name="_Toc11930099"/>
      <w:bookmarkStart w:id="610" w:name="_Toc16075415"/>
      <w:r w:rsidRPr="00D8518F">
        <w:rPr>
          <w:rFonts w:ascii="Arial" w:hAnsi="Arial" w:cs="Arial"/>
          <w:color w:val="000000" w:themeColor="text1"/>
          <w:sz w:val="28"/>
          <w:szCs w:val="28"/>
        </w:rPr>
        <w:t>fMRI data acquisition</w:t>
      </w:r>
      <w:bookmarkEnd w:id="607"/>
      <w:bookmarkEnd w:id="608"/>
      <w:bookmarkEnd w:id="609"/>
      <w:bookmarkEnd w:id="610"/>
      <w:r w:rsidRPr="00D8518F">
        <w:rPr>
          <w:rFonts w:ascii="Arial" w:hAnsi="Arial" w:cs="Arial"/>
          <w:color w:val="000000" w:themeColor="text1"/>
          <w:sz w:val="28"/>
          <w:szCs w:val="28"/>
        </w:rPr>
        <w:t xml:space="preserve"> </w:t>
      </w:r>
    </w:p>
    <w:p w14:paraId="38FE0204" w14:textId="37C5E948" w:rsidR="006832FB" w:rsidRPr="00225AB0" w:rsidRDefault="006832FB" w:rsidP="006832FB">
      <w:pPr>
        <w:spacing w:line="480" w:lineRule="auto"/>
        <w:rPr>
          <w:rFonts w:ascii="Arial" w:hAnsi="Arial" w:cs="Arial"/>
          <w:color w:val="000000" w:themeColor="text1"/>
        </w:rPr>
      </w:pPr>
      <w:r w:rsidRPr="00225AB0">
        <w:rPr>
          <w:rFonts w:ascii="Arial" w:hAnsi="Arial" w:cs="Arial"/>
        </w:rPr>
        <w:t>fMRI data were collected at the York Neuroimaging Centre using a GE 3T Excite MRI scanner (GE Healthcare, Milwaukee, WI). Structural scans were obtained using an 8-channel head coil (MRI Devices Corporation, Waukesha, WI) to minimise magnetic field inhomogeneity (see Chapter 4 for details regarding structural scan acquisition and pre-processing). pRF and attentional modulation scans were instead collected with a 16-channel posterior head coil (Nova Medical, Wilmington, WI) to improve signal-to-</w:t>
      </w:r>
      <w:r w:rsidRPr="00225AB0">
        <w:rPr>
          <w:rFonts w:ascii="Arial" w:hAnsi="Arial" w:cs="Arial"/>
        </w:rPr>
        <w:lastRenderedPageBreak/>
        <w:t>noise in the occipital lobe. At the beginning of both the pRF and attentional modulation scanning sessions, a single 16-channel coil T1-weighted structural scan was acquired with the same spatial prescription as the functional scans was acquired to aid alignment of the functional data to the T1-weighted anatomical scan (TR = 2100ms, TE = 8.6ms, field-of-view = 19.2cm</w:t>
      </w:r>
      <w:r w:rsidRPr="00225AB0">
        <w:rPr>
          <w:rFonts w:ascii="Arial" w:hAnsi="Arial" w:cs="Arial"/>
          <w:vertAlign w:val="superscript"/>
        </w:rPr>
        <w:t>3</w:t>
      </w:r>
      <w:r w:rsidRPr="00225AB0">
        <w:rPr>
          <w:rFonts w:ascii="Arial" w:hAnsi="Arial" w:cs="Arial"/>
        </w:rPr>
        <w:t>, matrix size = 512 x 512, voxel resolution = 0.38 x 0.38 x 2.5mm, flip angle = 90</w:t>
      </w:r>
      <w:r w:rsidRPr="00225AB0">
        <w:rPr>
          <w:rFonts w:ascii="Arial" w:hAnsi="Arial" w:cs="Arial"/>
          <w:color w:val="000000" w:themeColor="text1"/>
        </w:rPr>
        <w:t xml:space="preserve">°, 39 slices). </w:t>
      </w:r>
    </w:p>
    <w:p w14:paraId="03A03012" w14:textId="77777777" w:rsidR="006832FB" w:rsidRPr="00225AB0" w:rsidRDefault="006832FB" w:rsidP="006832FB">
      <w:pPr>
        <w:spacing w:line="480" w:lineRule="auto"/>
        <w:rPr>
          <w:rFonts w:ascii="Arial" w:hAnsi="Arial" w:cs="Arial"/>
          <w:color w:val="000000" w:themeColor="text1"/>
        </w:rPr>
      </w:pPr>
    </w:p>
    <w:p w14:paraId="3360C322" w14:textId="349AA258" w:rsidR="006832FB" w:rsidRPr="00225AB0" w:rsidRDefault="00D92D2A" w:rsidP="006832FB">
      <w:pPr>
        <w:spacing w:line="480" w:lineRule="auto"/>
        <w:rPr>
          <w:rFonts w:ascii="Arial" w:hAnsi="Arial" w:cs="Arial"/>
          <w:color w:val="000000" w:themeColor="text1"/>
        </w:rPr>
      </w:pPr>
      <w:r>
        <w:rPr>
          <w:rFonts w:ascii="Arial" w:hAnsi="Arial" w:cs="Arial"/>
          <w:color w:val="000000" w:themeColor="text1"/>
        </w:rPr>
        <w:t>The same 12 p</w:t>
      </w:r>
      <w:r w:rsidR="006832FB" w:rsidRPr="00225AB0">
        <w:rPr>
          <w:rFonts w:ascii="Arial" w:hAnsi="Arial" w:cs="Arial"/>
          <w:color w:val="000000" w:themeColor="text1"/>
        </w:rPr>
        <w:t>articipants</w:t>
      </w:r>
      <w:r>
        <w:rPr>
          <w:rFonts w:ascii="Arial" w:hAnsi="Arial" w:cs="Arial"/>
          <w:color w:val="000000" w:themeColor="text1"/>
        </w:rPr>
        <w:t xml:space="preserve"> who completed both psychophysical and isoluminance testing also</w:t>
      </w:r>
      <w:r w:rsidR="006832FB" w:rsidRPr="00225AB0">
        <w:rPr>
          <w:rFonts w:ascii="Arial" w:hAnsi="Arial" w:cs="Arial"/>
          <w:color w:val="000000" w:themeColor="text1"/>
        </w:rPr>
        <w:t xml:space="preserve"> completed an average of 8, 5:06 minute attentional modulation runs, containing </w:t>
      </w:r>
      <w:r w:rsidR="0056627D">
        <w:rPr>
          <w:rFonts w:ascii="Arial" w:hAnsi="Arial" w:cs="Arial"/>
          <w:color w:val="000000" w:themeColor="text1"/>
        </w:rPr>
        <w:t>102</w:t>
      </w:r>
      <w:r w:rsidR="006832FB" w:rsidRPr="00225AB0">
        <w:rPr>
          <w:rFonts w:ascii="Arial" w:hAnsi="Arial" w:cs="Arial"/>
          <w:color w:val="000000" w:themeColor="text1"/>
        </w:rPr>
        <w:t xml:space="preserve"> volumes of data, including 3 dummy TRs which were discarded prior to pre-processing, to allow for the scanner magnetisation to reach a steady state. 39 slices were acquired in a bottom-up interleaved acquisition order (TR = 3000ms, TE = 30ms, field-of-view = 19.2cm</w:t>
      </w:r>
      <w:r w:rsidR="006832FB" w:rsidRPr="00225AB0">
        <w:rPr>
          <w:rFonts w:ascii="Arial" w:hAnsi="Arial" w:cs="Arial"/>
          <w:color w:val="000000" w:themeColor="text1"/>
          <w:vertAlign w:val="superscript"/>
        </w:rPr>
        <w:t>3</w:t>
      </w:r>
      <w:r w:rsidR="006832FB" w:rsidRPr="00225AB0">
        <w:rPr>
          <w:rFonts w:ascii="Arial" w:hAnsi="Arial" w:cs="Arial"/>
          <w:color w:val="000000" w:themeColor="text1"/>
        </w:rPr>
        <w:t xml:space="preserve">, matrix size = 96 x 96, voxel size = 2.0 x 2.0 x 2.5 mm, flip angle = 90°). </w:t>
      </w:r>
    </w:p>
    <w:p w14:paraId="222AC9B8" w14:textId="77777777" w:rsidR="006832FB" w:rsidRPr="00225AB0" w:rsidRDefault="006832FB" w:rsidP="006832FB">
      <w:pPr>
        <w:spacing w:line="480" w:lineRule="auto"/>
        <w:rPr>
          <w:rFonts w:ascii="Arial" w:hAnsi="Arial" w:cs="Arial"/>
          <w:color w:val="000000" w:themeColor="text1"/>
        </w:rPr>
      </w:pPr>
    </w:p>
    <w:p w14:paraId="5E894D91" w14:textId="77777777" w:rsidR="006832FB" w:rsidRPr="00734436" w:rsidRDefault="006832FB" w:rsidP="001811CC">
      <w:pPr>
        <w:pStyle w:val="Heading4"/>
        <w:numPr>
          <w:ilvl w:val="3"/>
          <w:numId w:val="6"/>
        </w:numPr>
        <w:rPr>
          <w:rFonts w:ascii="Arial" w:hAnsi="Arial" w:cs="Arial"/>
          <w:color w:val="000000" w:themeColor="text1"/>
          <w:sz w:val="28"/>
          <w:szCs w:val="28"/>
        </w:rPr>
      </w:pPr>
      <w:bookmarkStart w:id="611" w:name="_Toc11148017"/>
      <w:bookmarkStart w:id="612" w:name="_Toc11153966"/>
      <w:bookmarkStart w:id="613" w:name="_Toc11930100"/>
      <w:bookmarkStart w:id="614" w:name="_Toc16075416"/>
      <w:r w:rsidRPr="00734436">
        <w:rPr>
          <w:rFonts w:ascii="Arial" w:hAnsi="Arial" w:cs="Arial"/>
          <w:color w:val="000000" w:themeColor="text1"/>
          <w:sz w:val="28"/>
          <w:szCs w:val="28"/>
        </w:rPr>
        <w:t>Defining regions of interest (ROIs)</w:t>
      </w:r>
      <w:bookmarkEnd w:id="611"/>
      <w:bookmarkEnd w:id="612"/>
      <w:bookmarkEnd w:id="613"/>
      <w:bookmarkEnd w:id="614"/>
    </w:p>
    <w:p w14:paraId="54719695" w14:textId="6DCB1E89" w:rsidR="006832FB" w:rsidRPr="00225AB0" w:rsidRDefault="006832FB" w:rsidP="006832FB">
      <w:pPr>
        <w:spacing w:line="480" w:lineRule="auto"/>
        <w:rPr>
          <w:rFonts w:ascii="Arial" w:hAnsi="Arial" w:cs="Arial"/>
        </w:rPr>
      </w:pPr>
      <w:r w:rsidRPr="00225AB0">
        <w:rPr>
          <w:rFonts w:ascii="Arial" w:hAnsi="Arial" w:cs="Arial"/>
        </w:rPr>
        <w:t xml:space="preserve">Participant ROIs were defined using population receptive field (pRF) mapping data collected prior to the attentional modulation scans. Following </w:t>
      </w:r>
      <w:r w:rsidRPr="00225AB0">
        <w:rPr>
          <w:rFonts w:ascii="Arial" w:hAnsi="Arial" w:cs="Arial"/>
        </w:rPr>
        <w:fldChar w:fldCharType="begin"/>
      </w:r>
      <w:r w:rsidR="005B4361">
        <w:rPr>
          <w:rFonts w:ascii="Arial" w:hAnsi="Arial" w:cs="Arial"/>
        </w:rPr>
        <w:instrText xml:space="preserve"> ADDIN ZOTERO_ITEM CSL_CITATION {"citationID":"aadKlwWd","properties":{"formattedCitation":"(Dumoulin &amp; Wandell, 2008; Wandell, Dumoulin, &amp; Brewer, 2007)","plainCitation":"(Dumoulin &amp; Wandell, 2008; Wandell, Dumoulin, &amp; Brewer, 2007)","dontUpdate":true,"noteIndex":0},"citationItems":[{"id":261,"uris":["http://zotero.org/groups/318634/items/KHNH62CY"],"uri":["http://zotero.org/groups/318634/items/KHNH62CY"],"itemData":{"id":261,"type":"article-journal","title":"Population receptive field estimates in human visual cortex","container-title":"Neuroimage","page":"647–660","volume":"39","issue":"2","source":"Google Scholar","author":[{"family":"Dumoulin","given":"Serge O."},{"family":"Wandell","given":"Brian A."}],"issued":{"date-parts":[["2008"]]}}},{"id":214,"uris":["http://zotero.org/groups/318634/items/Z883U2GA"],"uri":["http://zotero.org/groups/318634/items/Z883U2GA"],"itemData":{"id":214,"type":"article-journal","title":"Visual field maps in human cortex","container-title":"Neuron","page":"366–383","volume":"56","issue":"2","source":"Google Scholar","author":[{"family":"Wandell","given":"Brian A."},{"family":"Dumoulin","given":"Serge O."},{"family":"Brewer","given":"Alyssa A."}],"issued":{"date-parts":[["2007"]]}}}],"schema":"https://github.com/citation-style-language/schema/raw/master/csl-citation.json"} </w:instrText>
      </w:r>
      <w:r w:rsidRPr="00225AB0">
        <w:rPr>
          <w:rFonts w:ascii="Arial" w:hAnsi="Arial" w:cs="Arial"/>
        </w:rPr>
        <w:fldChar w:fldCharType="separate"/>
      </w:r>
      <w:r w:rsidRPr="00225AB0">
        <w:rPr>
          <w:rFonts w:ascii="Arial" w:hAnsi="Arial" w:cs="Arial"/>
          <w:noProof/>
        </w:rPr>
        <w:t>Dumoulin &amp; Wandell, (2008) and Wandell, Dumoulin, &amp; Brewer, (2007)</w:t>
      </w:r>
      <w:r w:rsidRPr="00225AB0">
        <w:rPr>
          <w:rFonts w:ascii="Arial" w:hAnsi="Arial" w:cs="Arial"/>
        </w:rPr>
        <w:fldChar w:fldCharType="end"/>
      </w:r>
      <w:r w:rsidRPr="00225AB0">
        <w:rPr>
          <w:rFonts w:ascii="Arial" w:hAnsi="Arial" w:cs="Arial"/>
        </w:rPr>
        <w:t xml:space="preserve"> we manually delineated 9 bilateral ROIs (V1, V2, V3, V3A</w:t>
      </w:r>
      <w:r w:rsidR="008437FC">
        <w:rPr>
          <w:rFonts w:ascii="Arial" w:hAnsi="Arial" w:cs="Arial"/>
        </w:rPr>
        <w:t>/</w:t>
      </w:r>
      <w:r w:rsidRPr="00225AB0">
        <w:rPr>
          <w:rFonts w:ascii="Arial" w:hAnsi="Arial" w:cs="Arial"/>
        </w:rPr>
        <w:t xml:space="preserve">B, hV4, LO-1, LO-2, MT+ and IPS0) on the basis of polar angle reversals and eccentricity for each participant (see section 2.3.4 and Chapter 4 for a detailed explanation of pRF procedures). </w:t>
      </w:r>
    </w:p>
    <w:p w14:paraId="24AAA2FB" w14:textId="77777777" w:rsidR="006832FB" w:rsidRPr="00225AB0" w:rsidRDefault="006832FB" w:rsidP="006832FB">
      <w:pPr>
        <w:spacing w:line="480" w:lineRule="auto"/>
        <w:rPr>
          <w:rFonts w:ascii="Arial" w:hAnsi="Arial" w:cs="Arial"/>
        </w:rPr>
      </w:pPr>
    </w:p>
    <w:p w14:paraId="413B2A49" w14:textId="77777777" w:rsidR="006832FB" w:rsidRPr="00225AB0" w:rsidRDefault="006832FB" w:rsidP="006832FB">
      <w:pPr>
        <w:spacing w:line="480" w:lineRule="auto"/>
        <w:rPr>
          <w:rFonts w:ascii="Arial" w:hAnsi="Arial" w:cs="Arial"/>
        </w:rPr>
      </w:pPr>
      <w:r w:rsidRPr="00225AB0">
        <w:rPr>
          <w:rFonts w:ascii="Arial" w:hAnsi="Arial" w:cs="Arial"/>
        </w:rPr>
        <w:lastRenderedPageBreak/>
        <w:t xml:space="preserve">Some participants also possessed previously-collected MT+ localiser data, from which MT+ was defined on the basis of responses to motion versus static stimuli (see section 2.3.5). For these participants, we used the motion-defined as oppose to pRF-defined MT+ ROIs. We ensured consistency between these differing ROI specification methods; we created a spherical MT+ ROI from standardised Talairach co-ordinates for each participant and ensured each MT+ ROI overlapped with the standardised control ROI (see Chapter 4 for full description of this process). </w:t>
      </w:r>
    </w:p>
    <w:p w14:paraId="15D207B7" w14:textId="77777777" w:rsidR="006832FB" w:rsidRPr="00225AB0" w:rsidRDefault="006832FB" w:rsidP="006832FB">
      <w:pPr>
        <w:spacing w:line="480" w:lineRule="auto"/>
        <w:rPr>
          <w:rFonts w:ascii="Arial" w:hAnsi="Arial" w:cs="Arial"/>
        </w:rPr>
      </w:pPr>
    </w:p>
    <w:p w14:paraId="357EBF1D" w14:textId="6623A44A" w:rsidR="006832FB" w:rsidRPr="00225AB0" w:rsidRDefault="006832FB" w:rsidP="006832FB">
      <w:pPr>
        <w:spacing w:line="480" w:lineRule="auto"/>
        <w:rPr>
          <w:rFonts w:ascii="Arial" w:hAnsi="Arial" w:cs="Arial"/>
        </w:rPr>
      </w:pPr>
      <w:r w:rsidRPr="00225AB0">
        <w:rPr>
          <w:rFonts w:ascii="Arial" w:hAnsi="Arial" w:cs="Arial"/>
        </w:rPr>
        <w:t xml:space="preserve">Finally, a bilateral primary auditory cortex (A1) ROI was defined, to use as a control region throughout experimental analysis. This was created through the same process as above, defining a 5mm spherical ROI (for each hemisphere) on the basis of standardised Talairach coordinates centred on; LH: 49 -20 9, RH: 48 -21 10 </w:t>
      </w:r>
      <w:r w:rsidRPr="00225AB0">
        <w:rPr>
          <w:rFonts w:ascii="Arial" w:hAnsi="Arial" w:cs="Arial"/>
        </w:rPr>
        <w:fldChar w:fldCharType="begin"/>
      </w:r>
      <w:r w:rsidR="005B4361">
        <w:rPr>
          <w:rFonts w:ascii="Arial" w:hAnsi="Arial" w:cs="Arial"/>
        </w:rPr>
        <w:instrText xml:space="preserve"> ADDIN ZOTERO_ITEM CSL_CITATION {"citationID":"7DpRtlZO","properties":{"formattedCitation":"(Lacadie et al., 2008)","plainCitation":"(Lacadie et al., 2008)","noteIndex":0},"citationItems":[{"id":251,"uris":["http://zotero.org/groups/318634/items/CTPCMJ67"],"uri":["http://zotero.org/groups/318634/items/CTPCMJ67"],"itemData":{"id":251,"type":"paper-conference","title":"Brodmann Areas defined in MNI space using a new Tracing Tool in BioImage Suite","container-title":"Proceedings of the 14th Annual Meeting of the Organization for Human Brain Mapping","volume":"771","source":"Google Scholar","author":[{"family":"Lacadie","given":"C."},{"family":"Fulbright","given":"R."},{"family":"Arora","given":"J."},{"family":"Constable","given":"R."},{"family":"Papademetris","given":"X."}],"issued":{"date-parts":[["2008"]]}}}],"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(Lacadie et al., 2008)</w:t>
      </w:r>
      <w:r w:rsidRPr="00225AB0">
        <w:rPr>
          <w:rFonts w:ascii="Arial" w:hAnsi="Arial" w:cs="Arial"/>
        </w:rPr>
        <w:fldChar w:fldCharType="end"/>
      </w:r>
      <w:r w:rsidRPr="00225AB0">
        <w:rPr>
          <w:rFonts w:ascii="Arial" w:hAnsi="Arial" w:cs="Arial"/>
        </w:rPr>
        <w:t xml:space="preserve">. </w:t>
      </w:r>
    </w:p>
    <w:p w14:paraId="5A7687E3" w14:textId="77777777" w:rsidR="00943820" w:rsidRPr="00225AB0" w:rsidRDefault="00943820" w:rsidP="006832FB">
      <w:pPr>
        <w:spacing w:line="480" w:lineRule="auto"/>
        <w:rPr>
          <w:rFonts w:ascii="Arial" w:hAnsi="Arial" w:cs="Arial"/>
        </w:rPr>
      </w:pPr>
    </w:p>
    <w:p w14:paraId="1047ECD4" w14:textId="77777777" w:rsidR="006832FB" w:rsidRDefault="006832FB" w:rsidP="001811CC">
      <w:pPr>
        <w:pStyle w:val="Heading3"/>
        <w:numPr>
          <w:ilvl w:val="2"/>
          <w:numId w:val="6"/>
        </w:numPr>
        <w:rPr>
          <w:rFonts w:ascii="Arial" w:hAnsi="Arial" w:cs="Arial"/>
          <w:b/>
          <w:i/>
          <w:color w:val="000000" w:themeColor="text1"/>
          <w:sz w:val="28"/>
          <w:szCs w:val="28"/>
        </w:rPr>
      </w:pPr>
      <w:bookmarkStart w:id="615" w:name="_Toc11148018"/>
      <w:bookmarkStart w:id="616" w:name="_Toc11153967"/>
      <w:bookmarkStart w:id="617" w:name="_Toc11753664"/>
      <w:bookmarkStart w:id="618" w:name="_Toc11926850"/>
      <w:bookmarkStart w:id="619" w:name="_Toc11930101"/>
      <w:bookmarkStart w:id="620" w:name="_Toc16075417"/>
      <w:bookmarkStart w:id="621" w:name="_Toc16237022"/>
      <w:r w:rsidRPr="00734436">
        <w:rPr>
          <w:rFonts w:ascii="Arial" w:hAnsi="Arial" w:cs="Arial"/>
          <w:b/>
          <w:i/>
          <w:color w:val="000000" w:themeColor="text1"/>
          <w:sz w:val="28"/>
          <w:szCs w:val="28"/>
        </w:rPr>
        <w:t>Attentional Modulation Scans</w:t>
      </w:r>
      <w:bookmarkEnd w:id="615"/>
      <w:bookmarkEnd w:id="616"/>
      <w:bookmarkEnd w:id="617"/>
      <w:bookmarkEnd w:id="618"/>
      <w:bookmarkEnd w:id="619"/>
      <w:bookmarkEnd w:id="620"/>
      <w:bookmarkEnd w:id="621"/>
    </w:p>
    <w:p w14:paraId="325540EE" w14:textId="77777777" w:rsidR="00734436" w:rsidRPr="00734436" w:rsidRDefault="00734436" w:rsidP="00734436"/>
    <w:p w14:paraId="0BA8C1FB" w14:textId="77777777" w:rsidR="006832FB" w:rsidRPr="00734436" w:rsidRDefault="006832FB" w:rsidP="001811CC">
      <w:pPr>
        <w:pStyle w:val="Heading4"/>
        <w:numPr>
          <w:ilvl w:val="3"/>
          <w:numId w:val="6"/>
        </w:numPr>
        <w:rPr>
          <w:rFonts w:ascii="Arial" w:hAnsi="Arial" w:cs="Arial"/>
          <w:color w:val="000000" w:themeColor="text1"/>
          <w:sz w:val="28"/>
          <w:szCs w:val="28"/>
        </w:rPr>
      </w:pPr>
      <w:bookmarkStart w:id="622" w:name="_Toc11148019"/>
      <w:bookmarkStart w:id="623" w:name="_Toc11153968"/>
      <w:bookmarkStart w:id="624" w:name="_Toc11930102"/>
      <w:bookmarkStart w:id="625" w:name="_Toc16075418"/>
      <w:r w:rsidRPr="00734436">
        <w:rPr>
          <w:rFonts w:ascii="Arial" w:hAnsi="Arial" w:cs="Arial"/>
          <w:color w:val="000000" w:themeColor="text1"/>
          <w:sz w:val="28"/>
          <w:szCs w:val="28"/>
        </w:rPr>
        <w:t>Experimental Design</w:t>
      </w:r>
      <w:bookmarkEnd w:id="622"/>
      <w:bookmarkEnd w:id="623"/>
      <w:bookmarkEnd w:id="624"/>
      <w:bookmarkEnd w:id="625"/>
    </w:p>
    <w:p w14:paraId="642673A7" w14:textId="2B52CC48" w:rsidR="006832FB" w:rsidRPr="00225AB0" w:rsidRDefault="006832FB" w:rsidP="006832FB">
      <w:pPr>
        <w:spacing w:line="480" w:lineRule="auto"/>
        <w:rPr>
          <w:rFonts w:ascii="Arial" w:hAnsi="Arial" w:cs="Arial"/>
        </w:rPr>
      </w:pPr>
      <w:r w:rsidRPr="00225AB0">
        <w:rPr>
          <w:rFonts w:ascii="Arial" w:hAnsi="Arial" w:cs="Arial"/>
        </w:rPr>
        <w:t xml:space="preserve">Prior to attentional modulation scanning, participants completed the same minimum motion isoluminance testing as in the psychophysics session </w:t>
      </w:r>
      <w:r w:rsidR="00D44AC6">
        <w:rPr>
          <w:rFonts w:ascii="Arial" w:hAnsi="Arial" w:cs="Arial"/>
        </w:rPr>
        <w:t>in</w:t>
      </w:r>
      <w:r w:rsidRPr="00225AB0">
        <w:rPr>
          <w:rFonts w:ascii="Arial" w:hAnsi="Arial" w:cs="Arial"/>
        </w:rPr>
        <w:t xml:space="preserve"> the fMRI scanner. This was to ensure participants settings of isoluminance were calibrated to each stimulus display setup. </w:t>
      </w:r>
    </w:p>
    <w:p w14:paraId="322FB3B9" w14:textId="77777777" w:rsidR="006832FB" w:rsidRPr="00225AB0" w:rsidRDefault="006832FB" w:rsidP="006832FB">
      <w:pPr>
        <w:spacing w:line="480" w:lineRule="auto"/>
        <w:rPr>
          <w:rFonts w:ascii="Arial" w:hAnsi="Arial" w:cs="Arial"/>
        </w:rPr>
      </w:pPr>
    </w:p>
    <w:p w14:paraId="6B0E82D1" w14:textId="5CC806F9" w:rsidR="006832FB" w:rsidRPr="00225AB0" w:rsidRDefault="006832FB" w:rsidP="006832FB">
      <w:pPr>
        <w:spacing w:line="480" w:lineRule="auto"/>
        <w:rPr>
          <w:rFonts w:ascii="Arial" w:hAnsi="Arial" w:cs="Arial"/>
        </w:rPr>
      </w:pPr>
      <w:r w:rsidRPr="00225AB0">
        <w:rPr>
          <w:rFonts w:ascii="Arial" w:hAnsi="Arial" w:cs="Arial"/>
        </w:rPr>
        <w:t xml:space="preserve">The fMRI experiment followed a similar procedure as employed in Chapter 4. We used a block design, and </w:t>
      </w:r>
      <w:r w:rsidR="00D44AC6">
        <w:rPr>
          <w:rFonts w:ascii="Arial" w:hAnsi="Arial" w:cs="Arial"/>
        </w:rPr>
        <w:t>in</w:t>
      </w:r>
      <w:r w:rsidRPr="00225AB0">
        <w:rPr>
          <w:rFonts w:ascii="Arial" w:hAnsi="Arial" w:cs="Arial"/>
        </w:rPr>
        <w:t xml:space="preserve"> blocks, cued participants to attend to a specific low-level visual feature (orientation, contrast, shape) or to passively </w:t>
      </w:r>
      <w:r w:rsidRPr="00225AB0">
        <w:rPr>
          <w:rFonts w:ascii="Arial" w:hAnsi="Arial" w:cs="Arial"/>
        </w:rPr>
        <w:lastRenderedPageBreak/>
        <w:t xml:space="preserve">view the stimulus without attention directed towards any specific visual feature. Each 1.5 second trial </w:t>
      </w:r>
      <w:r w:rsidR="00D44AC6">
        <w:rPr>
          <w:rFonts w:ascii="Arial" w:hAnsi="Arial" w:cs="Arial"/>
        </w:rPr>
        <w:t>in</w:t>
      </w:r>
      <w:r w:rsidRPr="00225AB0">
        <w:rPr>
          <w:rFonts w:ascii="Arial" w:hAnsi="Arial" w:cs="Arial"/>
        </w:rPr>
        <w:t xml:space="preserve"> a stimulus block began with a 200ms presentation of the same reference RF pattern as used </w:t>
      </w:r>
      <w:r w:rsidR="00D44AC6">
        <w:rPr>
          <w:rFonts w:ascii="Arial" w:hAnsi="Arial" w:cs="Arial"/>
        </w:rPr>
        <w:t>in</w:t>
      </w:r>
      <w:r w:rsidRPr="00225AB0">
        <w:rPr>
          <w:rFonts w:ascii="Arial" w:hAnsi="Arial" w:cs="Arial"/>
        </w:rPr>
        <w:t xml:space="preserve"> the psychophysics testing session on a mid-grey luminance background. A white central fixation letter directed participants</w:t>
      </w:r>
      <w:r w:rsidR="00331B19">
        <w:rPr>
          <w:rFonts w:ascii="Arial" w:hAnsi="Arial" w:cs="Arial"/>
        </w:rPr>
        <w:t>’</w:t>
      </w:r>
      <w:r w:rsidRPr="00225AB0">
        <w:rPr>
          <w:rFonts w:ascii="Arial" w:hAnsi="Arial" w:cs="Arial"/>
        </w:rPr>
        <w:t xml:space="preserve"> attentional focus towards a single stimulus dimension (O, C, S or P). This was followed by a 200ms inter-stimulus interval, during which the white central fixation letter was presented. </w:t>
      </w:r>
    </w:p>
    <w:p w14:paraId="26BD7820" w14:textId="77777777" w:rsidR="006832FB" w:rsidRPr="00225AB0" w:rsidRDefault="006832FB" w:rsidP="006832FB">
      <w:pPr>
        <w:spacing w:line="480" w:lineRule="auto"/>
        <w:rPr>
          <w:rFonts w:ascii="Arial" w:hAnsi="Arial" w:cs="Arial"/>
        </w:rPr>
      </w:pPr>
    </w:p>
    <w:p w14:paraId="4DB62231" w14:textId="33B1ED0E" w:rsidR="006832FB" w:rsidRPr="00225AB0" w:rsidRDefault="006832FB" w:rsidP="006832FB">
      <w:pPr>
        <w:spacing w:line="480" w:lineRule="auto"/>
        <w:rPr>
          <w:rFonts w:ascii="Arial" w:hAnsi="Arial" w:cs="Arial"/>
          <w:color w:val="0D0D0D" w:themeColor="text1" w:themeTint="F2"/>
        </w:rPr>
      </w:pPr>
      <w:r w:rsidRPr="00225AB0">
        <w:rPr>
          <w:rFonts w:ascii="Arial" w:hAnsi="Arial" w:cs="Arial"/>
        </w:rPr>
        <w:t xml:space="preserve">A target RF pattern was then presented for 200ms, which could vary in any combination of the low-level visual stimuli (orientation, contrast or shape), or have no change.  The extent of change in each of the features was set as double the </w:t>
      </w:r>
      <w:r w:rsidR="00085A82" w:rsidRPr="00225AB0">
        <w:rPr>
          <w:rFonts w:ascii="Arial" w:hAnsi="Arial" w:cs="Arial"/>
        </w:rPr>
        <w:t>participants</w:t>
      </w:r>
      <w:r w:rsidRPr="00225AB0">
        <w:rPr>
          <w:rFonts w:ascii="Arial" w:hAnsi="Arial" w:cs="Arial"/>
        </w:rPr>
        <w:t xml:space="preserve"> previously collected 75% correct detection thresholds for each combination of stimulus chromaticity and low-level visual feature to ensure that task difficulty (and associated levels of attention) was consistent across attentional blocks and also across participants. Each visual feature altered in </w:t>
      </w:r>
      <w:r w:rsidR="00843C86">
        <w:rPr>
          <w:rFonts w:ascii="Arial" w:hAnsi="Arial" w:cs="Arial"/>
        </w:rPr>
        <w:t xml:space="preserve">only </w:t>
      </w:r>
      <w:r w:rsidRPr="00225AB0">
        <w:rPr>
          <w:rFonts w:ascii="Arial" w:hAnsi="Arial" w:cs="Arial"/>
        </w:rPr>
        <w:t xml:space="preserve">one direction to ensure the task remained of a manageable difficulty </w:t>
      </w:r>
      <w:r w:rsidRPr="00225AB0">
        <w:rPr>
          <w:rFonts w:ascii="Arial" w:hAnsi="Arial" w:cs="Arial"/>
          <w:color w:val="0D0D0D" w:themeColor="text1" w:themeTint="F2"/>
        </w:rPr>
        <w:t xml:space="preserve">(anticlockwise orientation, high contrast and spikier shape). For each feature, the target RF pattern differed from the reference on approximately 20% of trials, hence a constant level of visual information was presented across blocks, helping to distinguish attentional modulation effects from any bottom-up stimulus driven activation. </w:t>
      </w:r>
    </w:p>
    <w:p w14:paraId="5F4A7EFA" w14:textId="77777777" w:rsidR="006832FB" w:rsidRPr="00225AB0" w:rsidRDefault="006832FB" w:rsidP="006832FB">
      <w:pPr>
        <w:spacing w:line="480" w:lineRule="auto"/>
        <w:rPr>
          <w:rFonts w:ascii="Arial" w:hAnsi="Arial" w:cs="Arial"/>
          <w:color w:val="0D0D0D" w:themeColor="text1" w:themeTint="F2"/>
        </w:rPr>
      </w:pPr>
    </w:p>
    <w:p w14:paraId="47F61A1B" w14:textId="70A8CF04" w:rsidR="006832FB" w:rsidRDefault="006832FB" w:rsidP="006832FB">
      <w:pPr>
        <w:spacing w:line="480" w:lineRule="auto"/>
        <w:rPr>
          <w:rFonts w:ascii="Arial" w:hAnsi="Arial" w:cs="Arial"/>
        </w:rPr>
      </w:pPr>
      <w:r w:rsidRPr="00225AB0">
        <w:rPr>
          <w:rFonts w:ascii="Arial" w:hAnsi="Arial" w:cs="Arial"/>
        </w:rPr>
        <w:t xml:space="preserve">A central fixation letter was then presented for 800ms, during which participants made a </w:t>
      </w:r>
      <w:r w:rsidR="00A3496F">
        <w:rPr>
          <w:rFonts w:ascii="Arial" w:hAnsi="Arial" w:cs="Arial"/>
        </w:rPr>
        <w:t>yes/no</w:t>
      </w:r>
      <w:r w:rsidR="00A3496F" w:rsidRPr="00225AB0">
        <w:rPr>
          <w:rFonts w:ascii="Arial" w:hAnsi="Arial" w:cs="Arial"/>
        </w:rPr>
        <w:t xml:space="preserve"> </w:t>
      </w:r>
      <w:r w:rsidRPr="00225AB0">
        <w:rPr>
          <w:rFonts w:ascii="Arial" w:hAnsi="Arial" w:cs="Arial"/>
        </w:rPr>
        <w:t xml:space="preserve">response. Participants were instructed to respond ‘different if the target RF pattern has changed in the attended stimulus dimension (with respect to the reference RF pattern), and to </w:t>
      </w:r>
      <w:r w:rsidRPr="00170639">
        <w:rPr>
          <w:rFonts w:ascii="Arial" w:hAnsi="Arial" w:cs="Arial"/>
        </w:rPr>
        <w:lastRenderedPageBreak/>
        <w:t>respon</w:t>
      </w:r>
      <w:r w:rsidR="00D92D2A" w:rsidRPr="00170639">
        <w:rPr>
          <w:rFonts w:ascii="Arial" w:hAnsi="Arial" w:cs="Arial"/>
        </w:rPr>
        <w:t>d</w:t>
      </w:r>
      <w:r w:rsidRPr="00225AB0">
        <w:rPr>
          <w:rFonts w:ascii="Arial" w:hAnsi="Arial" w:cs="Arial"/>
        </w:rPr>
        <w:t xml:space="preserve"> ‘same’ if no change in the attended stimulus feature had occurred (regardless of changes in the other stimulus dimensions)</w:t>
      </w:r>
      <w:r w:rsidR="00C87AA3">
        <w:rPr>
          <w:rFonts w:ascii="Arial" w:hAnsi="Arial" w:cs="Arial"/>
        </w:rPr>
        <w:t xml:space="preserve"> (see Figure 5.1B)</w:t>
      </w:r>
      <w:r w:rsidRPr="00225AB0">
        <w:rPr>
          <w:rFonts w:ascii="Arial" w:hAnsi="Arial" w:cs="Arial"/>
        </w:rPr>
        <w:t xml:space="preserve">. Each trial lasts 1.5 seconds, and each block contained 10 trials. Each block was followed by a black central fixation cross (7.5 seconds), which allowed BOLD signal to return to baseline. The order of block presentation was pseudo-randomised, such that each of the four feature conditions (in a randomised order) were presented before repetition. The order of stimulus chromaticity was randomised. Each fMRI run contained one repetition of every low-level visual feature and stimulus chromaticity combination (12 blocks). </w:t>
      </w:r>
    </w:p>
    <w:p w14:paraId="47545D1E" w14:textId="77777777" w:rsidR="00C87AA3" w:rsidRDefault="00C87AA3" w:rsidP="006832FB">
      <w:pPr>
        <w:spacing w:line="480" w:lineRule="auto"/>
        <w:rPr>
          <w:rFonts w:ascii="Arial" w:hAnsi="Arial" w:cs="Arial"/>
        </w:rPr>
      </w:pPr>
    </w:p>
    <w:p w14:paraId="0A85238A" w14:textId="77777777" w:rsidR="00C87AA3" w:rsidRDefault="00C87AA3" w:rsidP="006832FB">
      <w:pPr>
        <w:spacing w:line="480" w:lineRule="auto"/>
        <w:rPr>
          <w:rFonts w:ascii="Arial" w:hAnsi="Arial" w:cs="Arial"/>
        </w:rPr>
      </w:pPr>
    </w:p>
    <w:p w14:paraId="30B11E3B" w14:textId="77777777" w:rsidR="00C87AA3" w:rsidRDefault="00C87AA3" w:rsidP="006832FB">
      <w:pPr>
        <w:spacing w:line="480" w:lineRule="auto"/>
        <w:rPr>
          <w:rFonts w:ascii="Arial" w:hAnsi="Arial" w:cs="Arial"/>
        </w:rPr>
      </w:pPr>
    </w:p>
    <w:p w14:paraId="15E180A6" w14:textId="77777777" w:rsidR="00C87AA3" w:rsidRDefault="00C87AA3" w:rsidP="006832FB">
      <w:pPr>
        <w:spacing w:line="480" w:lineRule="auto"/>
        <w:rPr>
          <w:rFonts w:ascii="Arial" w:hAnsi="Arial" w:cs="Arial"/>
        </w:rPr>
      </w:pPr>
    </w:p>
    <w:p w14:paraId="07111129" w14:textId="77777777" w:rsidR="00C87AA3" w:rsidRDefault="00C87AA3" w:rsidP="006832FB">
      <w:pPr>
        <w:spacing w:line="480" w:lineRule="auto"/>
        <w:rPr>
          <w:rFonts w:ascii="Arial" w:hAnsi="Arial" w:cs="Arial"/>
        </w:rPr>
      </w:pPr>
    </w:p>
    <w:p w14:paraId="34CC15DB" w14:textId="4A8A1614" w:rsidR="006832FB" w:rsidRPr="00225AB0" w:rsidRDefault="009F3085" w:rsidP="006832FB">
      <w:pPr>
        <w:spacing w:line="480" w:lineRule="auto"/>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820032" behindDoc="0" locked="0" layoutInCell="1" allowOverlap="1" wp14:anchorId="2E7DC8B8" wp14:editId="6CFCE887">
                <wp:simplePos x="0" y="0"/>
                <wp:positionH relativeFrom="column">
                  <wp:posOffset>-1706245</wp:posOffset>
                </wp:positionH>
                <wp:positionV relativeFrom="paragraph">
                  <wp:posOffset>1562100</wp:posOffset>
                </wp:positionV>
                <wp:extent cx="8757285" cy="5638800"/>
                <wp:effectExtent l="0" t="2857" r="15557" b="15558"/>
                <wp:wrapSquare wrapText="bothSides"/>
                <wp:docPr id="18" name="Text Box 18"/>
                <wp:cNvGraphicFramePr/>
                <a:graphic xmlns:a="http://schemas.openxmlformats.org/drawingml/2006/main">
                  <a:graphicData uri="http://schemas.microsoft.com/office/word/2010/wordprocessingShape">
                    <wps:wsp>
                      <wps:cNvSpPr txBox="1"/>
                      <wps:spPr>
                        <a:xfrm rot="16200000">
                          <a:off x="0" y="0"/>
                          <a:ext cx="8757285" cy="5638800"/>
                        </a:xfrm>
                        <a:prstGeom prst="rect">
                          <a:avLst/>
                        </a:prstGeom>
                        <a:solidFill>
                          <a:schemeClr val="bg1"/>
                        </a:solidFill>
                        <a:ln w="6350">
                          <a:solidFill>
                            <a:schemeClr val="bg1"/>
                          </a:solidFill>
                        </a:ln>
                      </wps:spPr>
                      <wps:txbx>
                        <w:txbxContent>
                          <w:p w14:paraId="70E338A0" w14:textId="77777777" w:rsidR="00C93BE0" w:rsidRDefault="00C93BE0" w:rsidP="009F3085">
                            <w:pPr>
                              <w:keepNext/>
                            </w:pPr>
                            <w:r>
                              <w:rPr>
                                <w:noProof/>
                                <w:lang w:eastAsia="en-GB"/>
                              </w:rPr>
                              <w:drawing>
                                <wp:inline distT="0" distB="0" distL="0" distR="0" wp14:anchorId="592E577D" wp14:editId="61DF31E5">
                                  <wp:extent cx="8224630" cy="3740727"/>
                                  <wp:effectExtent l="0" t="0" r="508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5.1-stimuli.png"/>
                                          <pic:cNvPicPr/>
                                        </pic:nvPicPr>
                                        <pic:blipFill rotWithShape="1">
                                          <a:blip r:embed="rId52">
                                            <a:extLst>
                                              <a:ext uri="{28A0092B-C50C-407E-A947-70E740481C1C}">
                                                <a14:useLocalDpi xmlns:a14="http://schemas.microsoft.com/office/drawing/2010/main" val="0"/>
                                              </a:ext>
                                            </a:extLst>
                                          </a:blip>
                                          <a:srcRect l="2359" b="6741"/>
                                          <a:stretch/>
                                        </pic:blipFill>
                                        <pic:spPr bwMode="auto">
                                          <a:xfrm>
                                            <a:off x="0" y="0"/>
                                            <a:ext cx="8263300" cy="3758315"/>
                                          </a:xfrm>
                                          <a:prstGeom prst="rect">
                                            <a:avLst/>
                                          </a:prstGeom>
                                          <a:ln>
                                            <a:noFill/>
                                          </a:ln>
                                          <a:extLst>
                                            <a:ext uri="{53640926-AAD7-44D8-BBD7-CCE9431645EC}">
                                              <a14:shadowObscured xmlns:a14="http://schemas.microsoft.com/office/drawing/2010/main"/>
                                            </a:ext>
                                          </a:extLst>
                                        </pic:spPr>
                                      </pic:pic>
                                    </a:graphicData>
                                  </a:graphic>
                                </wp:inline>
                              </w:drawing>
                            </w:r>
                          </w:p>
                          <w:p w14:paraId="58004EF4" w14:textId="1E0F9CB9" w:rsidR="00C93BE0" w:rsidRPr="00C87AA3" w:rsidRDefault="00C93BE0" w:rsidP="009F3085">
                            <w:pPr>
                              <w:pStyle w:val="Caption"/>
                              <w:spacing w:line="360" w:lineRule="auto"/>
                              <w:jc w:val="both"/>
                              <w:rPr>
                                <w:rFonts w:ascii="Arial" w:hAnsi="Arial" w:cs="Arial"/>
                                <w:i w:val="0"/>
                                <w:color w:val="000000" w:themeColor="text1"/>
                                <w:sz w:val="24"/>
                                <w:szCs w:val="24"/>
                              </w:rPr>
                            </w:pPr>
                            <w:bookmarkStart w:id="626" w:name="_Toc12363354"/>
                            <w:bookmarkStart w:id="627" w:name="_Toc16242711"/>
                            <w:r w:rsidRPr="00C87AA3">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C87AA3">
                              <w:rPr>
                                <w:rFonts w:ascii="Arial" w:hAnsi="Arial" w:cs="Arial"/>
                                <w:i w:val="0"/>
                                <w:color w:val="000000" w:themeColor="text1"/>
                                <w:sz w:val="24"/>
                                <w:szCs w:val="24"/>
                              </w:rPr>
                              <w:t xml:space="preserve"> Chromatic psychophysics and fMRI experimental design. A) demonstrates a single trial timeline within a blue-yellow contrast detection Bayesian staircase procedure. Participants are cued to the onset of the reference and target radial frequency patterns with an audible beep. Participants are instructed to indicate the direction of the change within the target pattern in comparison to the reference stimulus, which can change in one of two directions on each trial. Trial difficulty increases with the number of correct responses. In B) we demonstrate a single trial structure within the fMRI attentional modulation scans. Participants indicate the presence/absence of a change in the attended feature between the target and reference radial frequency patterns. In both experiments, the cued feature of attention is indicated by the central fixation letter.</w:t>
                            </w:r>
                            <w:bookmarkEnd w:id="626"/>
                            <w:bookmarkEnd w:id="627"/>
                            <w:r w:rsidRPr="00C87AA3">
                              <w:rPr>
                                <w:rFonts w:ascii="Arial" w:hAnsi="Arial" w:cs="Arial"/>
                                <w:i w:val="0"/>
                                <w:color w:val="000000" w:themeColor="text1"/>
                                <w:sz w:val="24"/>
                                <w:szCs w:val="24"/>
                              </w:rPr>
                              <w:t xml:space="preserve"> </w:t>
                            </w:r>
                          </w:p>
                          <w:p w14:paraId="1EE1D829" w14:textId="77777777" w:rsidR="00C93BE0" w:rsidRDefault="00C93BE0" w:rsidP="009F30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DC8B8" id="Text Box 18" o:spid="_x0000_s1052" type="#_x0000_t202" style="position:absolute;margin-left:-134.35pt;margin-top:123pt;width:689.55pt;height:444pt;rotation:-9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" fillcolor="white [3212]" strokecolor="white [3212]" strokeweight=".5pt">
                <v:textbox>
                  <w:txbxContent>
                    <w:p w14:paraId="70E338A0" w14:textId="77777777" w:rsidR="00C93BE0" w:rsidRDefault="00C93BE0" w:rsidP="009F3085">
                      <w:pPr>
                        <w:keepNext/>
                      </w:pPr>
                      <w:r>
                        <w:rPr>
                          <w:noProof/>
                          <w:lang w:eastAsia="en-GB"/>
                        </w:rPr>
                        <w:drawing>
                          <wp:inline distT="0" distB="0" distL="0" distR="0" wp14:anchorId="592E577D" wp14:editId="61DF31E5">
                            <wp:extent cx="8224630" cy="3740727"/>
                            <wp:effectExtent l="0" t="0" r="508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5.1-stimuli.png"/>
                                    <pic:cNvPicPr/>
                                  </pic:nvPicPr>
                                  <pic:blipFill rotWithShape="1">
                                    <a:blip r:embed="rId53">
                                      <a:extLst>
                                        <a:ext uri="{28A0092B-C50C-407E-A947-70E740481C1C}">
                                          <a14:useLocalDpi xmlns:a14="http://schemas.microsoft.com/office/drawing/2010/main" val="0"/>
                                        </a:ext>
                                      </a:extLst>
                                    </a:blip>
                                    <a:srcRect l="2359" b="6741"/>
                                    <a:stretch/>
                                  </pic:blipFill>
                                  <pic:spPr bwMode="auto">
                                    <a:xfrm>
                                      <a:off x="0" y="0"/>
                                      <a:ext cx="8263300" cy="3758315"/>
                                    </a:xfrm>
                                    <a:prstGeom prst="rect">
                                      <a:avLst/>
                                    </a:prstGeom>
                                    <a:ln>
                                      <a:noFill/>
                                    </a:ln>
                                    <a:extLst>
                                      <a:ext uri="{53640926-AAD7-44D8-BBD7-CCE9431645EC}">
                                        <a14:shadowObscured xmlns:a14="http://schemas.microsoft.com/office/drawing/2010/main"/>
                                      </a:ext>
                                    </a:extLst>
                                  </pic:spPr>
                                </pic:pic>
                              </a:graphicData>
                            </a:graphic>
                          </wp:inline>
                        </w:drawing>
                      </w:r>
                    </w:p>
                    <w:p w14:paraId="58004EF4" w14:textId="1E0F9CB9" w:rsidR="00C93BE0" w:rsidRPr="00C87AA3" w:rsidRDefault="00C93BE0" w:rsidP="009F3085">
                      <w:pPr>
                        <w:pStyle w:val="Caption"/>
                        <w:spacing w:line="360" w:lineRule="auto"/>
                        <w:jc w:val="both"/>
                        <w:rPr>
                          <w:rFonts w:ascii="Arial" w:hAnsi="Arial" w:cs="Arial"/>
                          <w:i w:val="0"/>
                          <w:color w:val="000000" w:themeColor="text1"/>
                          <w:sz w:val="24"/>
                          <w:szCs w:val="24"/>
                        </w:rPr>
                      </w:pPr>
                      <w:bookmarkStart w:id="671" w:name="_Toc12363354"/>
                      <w:bookmarkStart w:id="672" w:name="_Toc16242711"/>
                      <w:r w:rsidRPr="00C87AA3">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C87AA3">
                        <w:rPr>
                          <w:rFonts w:ascii="Arial" w:hAnsi="Arial" w:cs="Arial"/>
                          <w:i w:val="0"/>
                          <w:color w:val="000000" w:themeColor="text1"/>
                          <w:sz w:val="24"/>
                          <w:szCs w:val="24"/>
                        </w:rPr>
                        <w:t xml:space="preserve"> Chromatic psychophysics and fMRI experimental design. A) demonstrates a single trial timeline within a blue-yellow contrast detection Bayesian staircase procedure. Participants are cued to the onset of the reference and target radial frequency patterns with an audible beep. Participants are instructed to indicate the direction of the change within the target pattern in comparison to the reference stimulus, which can change in one of two directions on each trial. Trial difficulty increases with the number of correct responses. In B) we demonstrate a single trial structure within the fMRI attentional modulation scans. Participants indicate the presence/absence of a change in the attended feature between the target and reference radial frequency patterns. In both experiments, the cued feature of attention is indicated by the central fixation letter.</w:t>
                      </w:r>
                      <w:bookmarkEnd w:id="671"/>
                      <w:bookmarkEnd w:id="672"/>
                      <w:r w:rsidRPr="00C87AA3">
                        <w:rPr>
                          <w:rFonts w:ascii="Arial" w:hAnsi="Arial" w:cs="Arial"/>
                          <w:i w:val="0"/>
                          <w:color w:val="000000" w:themeColor="text1"/>
                          <w:sz w:val="24"/>
                          <w:szCs w:val="24"/>
                        </w:rPr>
                        <w:t xml:space="preserve"> </w:t>
                      </w:r>
                    </w:p>
                    <w:p w14:paraId="1EE1D829" w14:textId="77777777" w:rsidR="00C93BE0" w:rsidRDefault="00C93BE0" w:rsidP="009F3085"/>
                  </w:txbxContent>
                </v:textbox>
                <w10:wrap type="square"/>
              </v:shape>
            </w:pict>
          </mc:Fallback>
        </mc:AlternateContent>
      </w:r>
    </w:p>
    <w:p w14:paraId="146F42BC" w14:textId="77777777" w:rsidR="006832FB" w:rsidRPr="009927A8" w:rsidRDefault="006832FB" w:rsidP="006832FB">
      <w:pPr>
        <w:pStyle w:val="Heading4"/>
        <w:numPr>
          <w:ilvl w:val="3"/>
          <w:numId w:val="6"/>
        </w:numPr>
        <w:rPr>
          <w:rFonts w:ascii="Arial" w:hAnsi="Arial" w:cs="Arial"/>
          <w:color w:val="000000" w:themeColor="text1"/>
          <w:sz w:val="28"/>
          <w:szCs w:val="28"/>
        </w:rPr>
      </w:pPr>
      <w:bookmarkStart w:id="628" w:name="_Toc11148020"/>
      <w:bookmarkStart w:id="629" w:name="_Toc11153969"/>
      <w:bookmarkStart w:id="630" w:name="_Toc11930103"/>
      <w:bookmarkStart w:id="631" w:name="_Toc16075419"/>
      <w:r w:rsidRPr="00734436">
        <w:rPr>
          <w:rFonts w:ascii="Arial" w:hAnsi="Arial" w:cs="Arial"/>
          <w:color w:val="000000" w:themeColor="text1"/>
          <w:sz w:val="28"/>
          <w:szCs w:val="28"/>
        </w:rPr>
        <w:lastRenderedPageBreak/>
        <w:t>Data acquisition and analysis</w:t>
      </w:r>
      <w:bookmarkEnd w:id="628"/>
      <w:bookmarkEnd w:id="629"/>
      <w:bookmarkEnd w:id="630"/>
      <w:bookmarkEnd w:id="631"/>
    </w:p>
    <w:p w14:paraId="0B5FE76A" w14:textId="171AC6F7" w:rsidR="006832FB" w:rsidRPr="00225AB0" w:rsidRDefault="006832FB" w:rsidP="006832FB">
      <w:pPr>
        <w:spacing w:line="480" w:lineRule="auto"/>
        <w:rPr>
          <w:rFonts w:ascii="Arial" w:hAnsi="Arial" w:cs="Arial"/>
          <w:color w:val="000000" w:themeColor="text1"/>
        </w:rPr>
      </w:pPr>
      <w:r w:rsidRPr="00225AB0">
        <w:rPr>
          <w:rFonts w:ascii="Arial" w:hAnsi="Arial" w:cs="Arial"/>
          <w:color w:val="000000" w:themeColor="text1"/>
        </w:rPr>
        <w:t>Functional data were pre-processed using the same procedure as used in Chapter 4, using MATLAB 2016a (</w:t>
      </w:r>
      <w:proofErr w:type="spellStart"/>
      <w:r w:rsidRPr="00225AB0">
        <w:rPr>
          <w:rFonts w:ascii="Arial" w:hAnsi="Arial" w:cs="Arial"/>
          <w:color w:val="000000" w:themeColor="text1"/>
        </w:rPr>
        <w:t>Mathworks</w:t>
      </w:r>
      <w:proofErr w:type="spellEnd"/>
      <w:r w:rsidRPr="00225AB0">
        <w:rPr>
          <w:rFonts w:ascii="Arial" w:hAnsi="Arial" w:cs="Arial"/>
          <w:color w:val="000000" w:themeColor="text1"/>
        </w:rPr>
        <w:t>, MA) and VISTA software (</w:t>
      </w:r>
      <w:hyperlink r:id="rId54" w:tgtFrame="_blank" w:history="1">
        <w:r w:rsidRPr="00225AB0">
          <w:rPr>
            <w:rStyle w:val="Hyperlink"/>
            <w:rFonts w:ascii="Arial" w:eastAsiaTheme="majorEastAsia" w:hAnsi="Arial" w:cs="Arial"/>
          </w:rPr>
          <w:t>https://vistalab.stanford.edu/software/</w:t>
        </w:r>
      </w:hyperlink>
      <w:r w:rsidRPr="00225AB0">
        <w:rPr>
          <w:rFonts w:ascii="Arial" w:hAnsi="Arial" w:cs="Arial"/>
          <w:color w:val="000000" w:themeColor="text1"/>
        </w:rPr>
        <w:t xml:space="preserve">) (Vista Lab, Stanford University). Between- and within-scan motion correction first compensated for any motion artefacts occurring during the scanning session. No run exhibited &gt;3mm movement for any participant. The </w:t>
      </w:r>
      <w:proofErr w:type="spellStart"/>
      <w:r w:rsidRPr="00225AB0">
        <w:rPr>
          <w:rFonts w:ascii="Arial" w:hAnsi="Arial" w:cs="Arial"/>
          <w:color w:val="000000" w:themeColor="text1"/>
        </w:rPr>
        <w:t>mrVista</w:t>
      </w:r>
      <w:proofErr w:type="spellEnd"/>
      <w:r w:rsidRPr="00225AB0">
        <w:rPr>
          <w:rFonts w:ascii="Arial" w:hAnsi="Arial" w:cs="Arial"/>
          <w:color w:val="000000" w:themeColor="text1"/>
        </w:rPr>
        <w:t xml:space="preserve"> </w:t>
      </w:r>
      <w:proofErr w:type="spellStart"/>
      <w:r w:rsidRPr="00225AB0">
        <w:rPr>
          <w:rFonts w:ascii="Arial" w:hAnsi="Arial" w:cs="Arial"/>
          <w:color w:val="000000" w:themeColor="text1"/>
        </w:rPr>
        <w:t>rxAlign</w:t>
      </w:r>
      <w:proofErr w:type="spellEnd"/>
      <w:r w:rsidRPr="00225AB0">
        <w:rPr>
          <w:rFonts w:ascii="Arial" w:hAnsi="Arial" w:cs="Arial"/>
          <w:color w:val="000000" w:themeColor="text1"/>
        </w:rPr>
        <w:t xml:space="preserve"> tool was then used to co-register </w:t>
      </w:r>
      <w:r w:rsidRPr="00B22E1F">
        <w:rPr>
          <w:rFonts w:ascii="Arial" w:hAnsi="Arial" w:cs="Arial"/>
          <w:color w:val="000000" w:themeColor="text1"/>
        </w:rPr>
        <w:t xml:space="preserve">the </w:t>
      </w:r>
      <w:r w:rsidRPr="00170639">
        <w:rPr>
          <w:rFonts w:ascii="Arial" w:hAnsi="Arial" w:cs="Arial"/>
          <w:color w:val="000000" w:themeColor="text1"/>
        </w:rPr>
        <w:t>16</w:t>
      </w:r>
      <w:r w:rsidRPr="00B22E1F">
        <w:rPr>
          <w:rFonts w:ascii="Arial" w:hAnsi="Arial" w:cs="Arial"/>
          <w:color w:val="000000" w:themeColor="text1"/>
        </w:rPr>
        <w:t>-</w:t>
      </w:r>
      <w:r w:rsidRPr="00225AB0">
        <w:rPr>
          <w:rFonts w:ascii="Arial" w:hAnsi="Arial" w:cs="Arial"/>
          <w:color w:val="000000" w:themeColor="text1"/>
        </w:rPr>
        <w:t xml:space="preserve">channel coil T1-weighted structural scan to the 8-channel coil T1-weighted full-brain anatomical scan. A manual alignment was applied using landmark points to position the two volumes in approximate register. We then used a robust EM-based registration algorithm to fine-tune the alignment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{"citationID":"bgL3Zana","properties":{"formattedCitation":"(Nestares &amp; Heeger, 2000)","plainCitation":"(Nestares &amp; Heeger, 2000)","noteIndex":0},"citationItems":[{"id":223,"uris":["http://zotero.org/groups/318634/items/A2LX4I6M"],"uri":["http://zotero.org/groups/318634/items/A2LX4I6M"],"itemData":{"id":223,"type":"article-journal","title":"Robust multiresolution alignment of MRI brain volumes","container-title":"Magnetic Resonance in Medicine: An Official Journal of the International Society for Magnetic Resonance in Medicine","page":"705–715","volume":"43","issue":"5","source":"Google Scholar","author":[{"family":"Nestares","given":"Oscar"},{"family":"Heeger","given":"David J."}],"issued":{"date-parts":[["2000"]]}}}],"schema":"https://github.com/citation-style-language/schema/raw/master/csl-citation.json"}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(Nestares &amp; Heeger, 2000)</w:t>
      </w:r>
      <w:r w:rsidRPr="00225AB0">
        <w:rPr>
          <w:rFonts w:ascii="Arial" w:hAnsi="Arial" w:cs="Arial"/>
          <w:color w:val="000000" w:themeColor="text1"/>
        </w:rPr>
        <w:fldChar w:fldCharType="end"/>
      </w:r>
      <w:r w:rsidRPr="00225AB0">
        <w:rPr>
          <w:rFonts w:ascii="Arial" w:hAnsi="Arial" w:cs="Arial"/>
          <w:color w:val="000000" w:themeColor="text1"/>
        </w:rPr>
        <w:t xml:space="preserve">. The final alignment was checked by eye to ensure the automatic registration procedure optimised the fit. This alignment was used as a reference to then align the functional data to the full-brain anatomical scan, which were then interpolated to the anatomical segmentation of grey and white matter.  </w:t>
      </w:r>
    </w:p>
    <w:p w14:paraId="793D7B10" w14:textId="77777777" w:rsidR="006832FB" w:rsidRPr="00225AB0" w:rsidRDefault="006832FB" w:rsidP="006832FB">
      <w:pPr>
        <w:rPr>
          <w:rFonts w:ascii="Arial" w:hAnsi="Arial" w:cs="Arial"/>
        </w:rPr>
      </w:pPr>
    </w:p>
    <w:p w14:paraId="46A6FF6F" w14:textId="0125610C" w:rsidR="006832FB" w:rsidRPr="00225AB0" w:rsidRDefault="006832FB" w:rsidP="006832FB">
      <w:pPr>
        <w:spacing w:line="480" w:lineRule="auto"/>
        <w:rPr>
          <w:rFonts w:ascii="Arial" w:hAnsi="Arial" w:cs="Arial"/>
        </w:rPr>
      </w:pPr>
      <w:r w:rsidRPr="00225AB0">
        <w:rPr>
          <w:rFonts w:ascii="Arial" w:hAnsi="Arial" w:cs="Arial"/>
        </w:rPr>
        <w:t xml:space="preserve">Multiple General Linear Model (GLM) analyses were then performed to test the contribution of stimulus condition to the BOLD time course </w:t>
      </w:r>
      <w:r w:rsidRPr="00225AB0">
        <w:rPr>
          <w:rFonts w:ascii="Arial" w:hAnsi="Arial" w:cs="Arial"/>
        </w:rPr>
        <w:fldChar w:fldCharType="begin"/>
      </w:r>
      <w:r w:rsidR="005B4361">
        <w:rPr>
          <w:rFonts w:ascii="Arial" w:hAnsi="Arial" w:cs="Arial"/>
        </w:rPr>
        <w:instrText xml:space="preserve"> ADDIN ZOTERO_ITEM CSL_CITATION {"citationID":"2CieftjY","properties":{"formattedCitation":"(Friston et al., 1998)","plainCitation":"(Friston et al., 1998)","noteIndex":0},"citationItems":[{"id":205,"uris":["http://zotero.org/groups/318634/items/CGQBQ9IP"],"uri":["http://zotero.org/groups/318634/items/CGQBQ9IP"],"itemData":{"id":205,"type":"article-journal","title":"Event-related fMRI: characterizing differential responses","container-title":"NeuroImage","page":"30-40","volume":"7","issue":"1","source":"PubMed","abstract":"We present an approach to characterizing the differences among event-related hemodynamic responses in functional magnetic resonance imaging that are evoked by different sorts of stimuli. This approach is predicated on a linear convolution model and standard inferential statistics as employed by statistical parametric mapping. In particular we model evoked responses, and their differences, in terms of basis functions of the peri-stimulus time. This facilitates a characterization of the temporal response profiles that has a high effective temporal resolution relative to the repetition time. To demonstrate the technique we examined differential responses to visually presented words that had been seen prior to scanning or that were novel. The form of these differences involved both the magnitude and the latency of the response components. In this paper we focus on bilateral ventrolateral prefrontal responses that show deactivations for previously seen words and activations for novel words.","DOI":"10.1006/nimg.1997.0306","ISSN":"1053-8119","note":"PMID: 9500830","title-short":"Event-related fMRI","journalAbbreviation":"Neuroimage","language":"eng","author":[{"family":"Friston","given":"K. J."},{"family":"Fletcher","given":"P."},{"family":"Josephs","given":"O."},{"family":"Holmes","given":"A."},{"family":"Rugg","given":"M. D."},{"family":"Turner","given":"R."}],"issued":{"date-parts":[["1998",1]]}}}],"schema":"https://github.com/citation-style-language/schema/raw/master/csl-citation.json"} </w:instrText>
      </w:r>
      <w:r w:rsidRPr="00225AB0">
        <w:rPr>
          <w:rFonts w:ascii="Arial" w:hAnsi="Arial" w:cs="Arial"/>
        </w:rPr>
        <w:fldChar w:fldCharType="separate"/>
      </w:r>
      <w:r w:rsidRPr="00225AB0">
        <w:rPr>
          <w:rFonts w:ascii="Arial" w:hAnsi="Arial" w:cs="Arial"/>
          <w:noProof/>
        </w:rPr>
        <w:t>(Friston et al., 1998)</w:t>
      </w:r>
      <w:r w:rsidRPr="00225AB0">
        <w:rPr>
          <w:rFonts w:ascii="Arial" w:hAnsi="Arial" w:cs="Arial"/>
        </w:rPr>
        <w:fldChar w:fldCharType="end"/>
      </w:r>
      <w:r w:rsidRPr="00225AB0">
        <w:rPr>
          <w:rFonts w:ascii="Arial" w:hAnsi="Arial" w:cs="Arial"/>
        </w:rPr>
        <w:t xml:space="preserve">. We used the </w:t>
      </w:r>
      <w:r w:rsidR="00182859">
        <w:rPr>
          <w:rFonts w:ascii="Arial" w:hAnsi="Arial" w:cs="Arial"/>
        </w:rPr>
        <w:t>double</w:t>
      </w:r>
      <w:r w:rsidRPr="00225AB0">
        <w:rPr>
          <w:rFonts w:ascii="Arial" w:hAnsi="Arial" w:cs="Arial"/>
        </w:rPr>
        <w:t>-gamma HRF from the SPM8 toolbox (</w:t>
      </w:r>
      <w:hyperlink r:id="rId55" w:history="1">
        <w:r w:rsidRPr="00225AB0">
          <w:rPr>
            <w:rStyle w:val="Hyperlink"/>
            <w:rFonts w:ascii="Arial" w:eastAsiaTheme="majorEastAsia" w:hAnsi="Arial" w:cs="Arial"/>
          </w:rPr>
          <w:t>http://www.fil.ion.ucl.ac.uk/spm/</w:t>
        </w:r>
      </w:hyperlink>
      <w:r w:rsidRPr="00225AB0">
        <w:rPr>
          <w:rFonts w:ascii="Arial" w:hAnsi="Arial" w:cs="Arial"/>
          <w:u w:val="single"/>
        </w:rPr>
        <w:t>)</w:t>
      </w:r>
      <w:r w:rsidRPr="00225AB0">
        <w:rPr>
          <w:rFonts w:ascii="Arial" w:hAnsi="Arial" w:cs="Arial"/>
        </w:rPr>
        <w:t xml:space="preserve"> and fit the model to an averaged time course of BOLD signal, changed for each stimulus condition by minimising the sum of squared errors (RSS) between the predicted time series and the measured BOLD response. </w:t>
      </w:r>
    </w:p>
    <w:p w14:paraId="0FA23173" w14:textId="77777777" w:rsidR="006832FB" w:rsidRPr="00225AB0" w:rsidRDefault="006832FB" w:rsidP="006832FB">
      <w:pPr>
        <w:rPr>
          <w:rFonts w:ascii="Arial" w:hAnsi="Arial" w:cs="Arial"/>
          <w:color w:val="000000" w:themeColor="text1"/>
        </w:rPr>
      </w:pPr>
    </w:p>
    <w:p w14:paraId="5C4FC05F" w14:textId="36AD6158" w:rsidR="006832FB" w:rsidRPr="00225AB0" w:rsidRDefault="006832FB" w:rsidP="006832FB">
      <w:pPr>
        <w:spacing w:line="480" w:lineRule="auto"/>
        <w:rPr>
          <w:rFonts w:ascii="Arial" w:hAnsi="Arial" w:cs="Arial"/>
          <w:color w:val="000000" w:themeColor="text1"/>
        </w:rPr>
      </w:pPr>
      <w:r w:rsidRPr="00225AB0">
        <w:rPr>
          <w:rFonts w:ascii="Arial" w:hAnsi="Arial" w:cs="Arial"/>
          <w:color w:val="000000" w:themeColor="text1"/>
        </w:rPr>
        <w:t xml:space="preserve">As in Chapter 4, we performed multiple GLM analyses in order to divide our BOLD timeseries data into multiple sets of conditions in order to investigate a </w:t>
      </w:r>
      <w:r w:rsidRPr="00225AB0">
        <w:rPr>
          <w:rFonts w:ascii="Arial" w:hAnsi="Arial" w:cs="Arial"/>
          <w:color w:val="000000" w:themeColor="text1"/>
        </w:rPr>
        <w:lastRenderedPageBreak/>
        <w:t xml:space="preserve">wide range of hypotheses. Our first GLM analysed bottom-up stimulus feature change events. As in our previous achromatic analysis, events were classified according to the nature of the stimulus change occurring </w:t>
      </w:r>
      <w:r w:rsidR="00D44AC6">
        <w:rPr>
          <w:rFonts w:ascii="Arial" w:hAnsi="Arial" w:cs="Arial"/>
          <w:color w:val="000000" w:themeColor="text1"/>
        </w:rPr>
        <w:t>in</w:t>
      </w:r>
      <w:r w:rsidRPr="00225AB0">
        <w:rPr>
          <w:rFonts w:ascii="Arial" w:hAnsi="Arial" w:cs="Arial"/>
          <w:color w:val="000000" w:themeColor="text1"/>
        </w:rPr>
        <w:t xml:space="preserve"> a 1 TR (3s) period, regardless of attentional focus or stimulus chromaticity (orientation, contrast, shape, no change and multiple change events). Multiple change events reflected two or more different feature stimulus changes occurring </w:t>
      </w:r>
      <w:r w:rsidR="00D44AC6">
        <w:rPr>
          <w:rFonts w:ascii="Arial" w:hAnsi="Arial" w:cs="Arial"/>
          <w:color w:val="000000" w:themeColor="text1"/>
        </w:rPr>
        <w:t>in</w:t>
      </w:r>
      <w:r w:rsidRPr="00225AB0">
        <w:rPr>
          <w:rFonts w:ascii="Arial" w:hAnsi="Arial" w:cs="Arial"/>
          <w:color w:val="000000" w:themeColor="text1"/>
        </w:rPr>
        <w:t xml:space="preserve"> a single TR. Feature change events (orientation, contrast and shape) reflected when both trials </w:t>
      </w:r>
      <w:r w:rsidR="00D44AC6">
        <w:rPr>
          <w:rFonts w:ascii="Arial" w:hAnsi="Arial" w:cs="Arial"/>
          <w:color w:val="000000" w:themeColor="text1"/>
        </w:rPr>
        <w:t>in</w:t>
      </w:r>
      <w:r w:rsidRPr="00225AB0">
        <w:rPr>
          <w:rFonts w:ascii="Arial" w:hAnsi="Arial" w:cs="Arial"/>
          <w:color w:val="000000" w:themeColor="text1"/>
        </w:rPr>
        <w:t xml:space="preserve"> a TR contained a change in the same feature (e.g. both trials contained an orientation change) or a feature change and no feature change. This resulted in 41 to 172 events per feature change condition. </w:t>
      </w:r>
    </w:p>
    <w:p w14:paraId="7A93F42B" w14:textId="77777777" w:rsidR="006832FB" w:rsidRPr="00225AB0" w:rsidRDefault="006832FB" w:rsidP="006832FB">
      <w:pPr>
        <w:spacing w:line="480" w:lineRule="auto"/>
        <w:rPr>
          <w:rFonts w:ascii="Arial" w:hAnsi="Arial" w:cs="Arial"/>
          <w:color w:val="000000" w:themeColor="text1"/>
        </w:rPr>
      </w:pPr>
    </w:p>
    <w:p w14:paraId="190B18E6" w14:textId="77777777" w:rsidR="006832FB" w:rsidRDefault="006832FB" w:rsidP="006832FB">
      <w:pPr>
        <w:spacing w:line="480" w:lineRule="auto"/>
        <w:rPr>
          <w:rFonts w:ascii="Arial" w:hAnsi="Arial" w:cs="Arial"/>
          <w:color w:val="000000" w:themeColor="text1"/>
        </w:rPr>
      </w:pPr>
      <w:r w:rsidRPr="00225AB0">
        <w:rPr>
          <w:rFonts w:ascii="Arial" w:hAnsi="Arial" w:cs="Arial"/>
          <w:color w:val="000000" w:themeColor="text1"/>
        </w:rPr>
        <w:t xml:space="preserve">The second GLM analysed the contribution of featural attentional focus in 15 second blocks, combined across the three chromatic conditions (orientation, contrast, shape and passive). This resulted in an average of 24 beta weight estimates for each voxel at the multivariate level. The third analysed the contribution of stimulus chromaticity, combined across the three feature-specific attentional focus conditions (orientation, contrast and shape) (L+M, L-M and S-(L+M)). This produce an attention and passive dataset for each chromatic condition. This resulted in 48 beta weight estimates for each voxel at the multivariate level. </w:t>
      </w:r>
    </w:p>
    <w:p w14:paraId="59C6EC05" w14:textId="77777777" w:rsidR="009927A8" w:rsidRPr="00225AB0" w:rsidRDefault="009927A8" w:rsidP="006832FB">
      <w:pPr>
        <w:spacing w:line="480" w:lineRule="auto"/>
        <w:rPr>
          <w:rFonts w:ascii="Arial" w:hAnsi="Arial" w:cs="Arial"/>
          <w:color w:val="000000" w:themeColor="text1"/>
        </w:rPr>
      </w:pPr>
    </w:p>
    <w:p w14:paraId="3F596C0F" w14:textId="77777777" w:rsidR="006832FB" w:rsidRPr="00225AB0" w:rsidRDefault="006832FB" w:rsidP="006832FB">
      <w:pPr>
        <w:spacing w:line="480" w:lineRule="auto"/>
        <w:rPr>
          <w:rFonts w:ascii="Arial" w:hAnsi="Arial" w:cs="Arial"/>
          <w:color w:val="000000" w:themeColor="text1"/>
        </w:rPr>
      </w:pPr>
    </w:p>
    <w:p w14:paraId="64935908" w14:textId="77777777" w:rsidR="006832FB" w:rsidRDefault="006832FB" w:rsidP="001811CC">
      <w:pPr>
        <w:pStyle w:val="Heading3"/>
        <w:numPr>
          <w:ilvl w:val="2"/>
          <w:numId w:val="6"/>
        </w:numPr>
        <w:rPr>
          <w:rFonts w:ascii="Arial" w:hAnsi="Arial" w:cs="Arial"/>
          <w:b/>
          <w:i/>
          <w:color w:val="000000" w:themeColor="text1"/>
          <w:sz w:val="28"/>
          <w:szCs w:val="28"/>
        </w:rPr>
      </w:pPr>
      <w:bookmarkStart w:id="632" w:name="_Toc11148021"/>
      <w:bookmarkStart w:id="633" w:name="_Toc11153970"/>
      <w:bookmarkStart w:id="634" w:name="_Toc11753665"/>
      <w:bookmarkStart w:id="635" w:name="_Toc11926851"/>
      <w:bookmarkStart w:id="636" w:name="_Toc11930104"/>
      <w:bookmarkStart w:id="637" w:name="_Toc16075420"/>
      <w:bookmarkStart w:id="638" w:name="_Toc16237023"/>
      <w:r w:rsidRPr="00734436">
        <w:rPr>
          <w:rFonts w:ascii="Arial" w:hAnsi="Arial" w:cs="Arial"/>
          <w:b/>
          <w:i/>
          <w:color w:val="000000" w:themeColor="text1"/>
          <w:sz w:val="28"/>
          <w:szCs w:val="28"/>
        </w:rPr>
        <w:t>Statistical analysis</w:t>
      </w:r>
      <w:bookmarkEnd w:id="632"/>
      <w:bookmarkEnd w:id="633"/>
      <w:bookmarkEnd w:id="634"/>
      <w:bookmarkEnd w:id="635"/>
      <w:bookmarkEnd w:id="636"/>
      <w:bookmarkEnd w:id="637"/>
      <w:bookmarkEnd w:id="638"/>
    </w:p>
    <w:p w14:paraId="03CB8318" w14:textId="77777777" w:rsidR="00734436" w:rsidRPr="00734436" w:rsidRDefault="00734436" w:rsidP="00734436"/>
    <w:p w14:paraId="3170D482" w14:textId="347C37AC" w:rsidR="006832FB" w:rsidRPr="00225AB0" w:rsidRDefault="006832FB" w:rsidP="006832FB">
      <w:pPr>
        <w:spacing w:line="480" w:lineRule="auto"/>
        <w:rPr>
          <w:rFonts w:ascii="Arial" w:hAnsi="Arial" w:cs="Arial"/>
        </w:rPr>
      </w:pPr>
      <w:r w:rsidRPr="00225AB0">
        <w:rPr>
          <w:rFonts w:ascii="Arial" w:hAnsi="Arial" w:cs="Arial"/>
        </w:rPr>
        <w:t xml:space="preserve">Participants with &gt;5% average variance explained across the visual ROIs were retained for further analysis (no participants were discarded on the </w:t>
      </w:r>
      <w:r w:rsidRPr="00225AB0">
        <w:rPr>
          <w:rFonts w:ascii="Arial" w:hAnsi="Arial" w:cs="Arial"/>
        </w:rPr>
        <w:lastRenderedPageBreak/>
        <w:t xml:space="preserve">basis of percentage variance explained). In line with analysis in Chapter 4, only ROIs V1, V3A/B, hV4, LO-1, LO-2, IPS0 and A1 were retained for further analysis on the basis of previous literature providing hypotheses regarding the process of (particularly chromatic) information </w:t>
      </w:r>
      <w:r w:rsidR="00D44AC6">
        <w:rPr>
          <w:rFonts w:ascii="Arial" w:hAnsi="Arial" w:cs="Arial"/>
        </w:rPr>
        <w:t>in</w:t>
      </w:r>
      <w:r w:rsidRPr="00225AB0">
        <w:rPr>
          <w:rFonts w:ascii="Arial" w:hAnsi="Arial" w:cs="Arial"/>
        </w:rPr>
        <w:t xml:space="preserve"> these regions. </w:t>
      </w:r>
    </w:p>
    <w:p w14:paraId="5095602F" w14:textId="77777777" w:rsidR="006832FB" w:rsidRPr="00225AB0" w:rsidRDefault="006832FB" w:rsidP="006832FB">
      <w:pPr>
        <w:rPr>
          <w:rFonts w:ascii="Arial" w:hAnsi="Arial" w:cs="Arial"/>
        </w:rPr>
      </w:pPr>
    </w:p>
    <w:p w14:paraId="0D97C691" w14:textId="77777777" w:rsidR="006832FB" w:rsidRPr="00734436" w:rsidRDefault="006832FB" w:rsidP="001811CC">
      <w:pPr>
        <w:pStyle w:val="Heading4"/>
        <w:numPr>
          <w:ilvl w:val="3"/>
          <w:numId w:val="6"/>
        </w:numPr>
        <w:rPr>
          <w:rFonts w:ascii="Arial" w:hAnsi="Arial" w:cs="Arial"/>
          <w:color w:val="000000" w:themeColor="text1"/>
          <w:sz w:val="28"/>
          <w:szCs w:val="28"/>
        </w:rPr>
      </w:pPr>
      <w:bookmarkStart w:id="639" w:name="_Toc11148022"/>
      <w:bookmarkStart w:id="640" w:name="_Toc11153971"/>
      <w:bookmarkStart w:id="641" w:name="_Toc11930105"/>
      <w:bookmarkStart w:id="642" w:name="_Toc16075421"/>
      <w:r w:rsidRPr="00734436">
        <w:rPr>
          <w:rFonts w:ascii="Arial" w:hAnsi="Arial" w:cs="Arial"/>
          <w:color w:val="000000" w:themeColor="text1"/>
          <w:sz w:val="28"/>
          <w:szCs w:val="28"/>
        </w:rPr>
        <w:t>Univariate attentional modulation</w:t>
      </w:r>
      <w:bookmarkEnd w:id="639"/>
      <w:bookmarkEnd w:id="640"/>
      <w:bookmarkEnd w:id="641"/>
      <w:bookmarkEnd w:id="642"/>
    </w:p>
    <w:p w14:paraId="12A953D6" w14:textId="77777777" w:rsidR="006832FB" w:rsidRPr="00225AB0" w:rsidRDefault="006832FB" w:rsidP="006832FB">
      <w:pPr>
        <w:rPr>
          <w:rFonts w:ascii="Arial" w:hAnsi="Arial" w:cs="Arial"/>
        </w:rPr>
      </w:pPr>
    </w:p>
    <w:p w14:paraId="05020433" w14:textId="2E6AD150" w:rsidR="006832FB" w:rsidRPr="00225AB0" w:rsidRDefault="006832FB" w:rsidP="006832FB">
      <w:pPr>
        <w:spacing w:line="480" w:lineRule="auto"/>
        <w:rPr>
          <w:rFonts w:ascii="Arial" w:hAnsi="Arial" w:cs="Arial"/>
        </w:rPr>
      </w:pPr>
      <w:r w:rsidRPr="00225AB0">
        <w:rPr>
          <w:rFonts w:ascii="Arial" w:hAnsi="Arial" w:cs="Arial"/>
        </w:rPr>
        <w:t xml:space="preserve">For each participant, feature-specific beta weights were averaged (across orientation, contrast and shape), and compared with passive beta weights through a Wilcoxon signed-rank test for each ROI independently. For the chromatic analysis, each set of chromatic attention beta weights were compared with their respective chromatic passive beta weighted through a Wilcoxon signed-rank test for each ROI. Univariate betas (independently for feature and chromatic datasets) were analysed through one-way repeated measures ANOVAs to identify significant differences in BOLD signal modulation between either orientation, contrast and shape, or between L-M, L+M and </w:t>
      </w:r>
      <w:r w:rsidRPr="00170639">
        <w:rPr>
          <w:rFonts w:ascii="Arial" w:hAnsi="Arial" w:cs="Arial"/>
        </w:rPr>
        <w:t>S-</w:t>
      </w:r>
      <w:r w:rsidR="000F7CA8" w:rsidRPr="00170639">
        <w:rPr>
          <w:rFonts w:ascii="Arial" w:hAnsi="Arial" w:cs="Arial"/>
        </w:rPr>
        <w:t>(</w:t>
      </w:r>
      <w:r w:rsidRPr="00170639">
        <w:rPr>
          <w:rFonts w:ascii="Arial" w:hAnsi="Arial" w:cs="Arial"/>
        </w:rPr>
        <w:t>L+M</w:t>
      </w:r>
      <w:r w:rsidR="000F7CA8" w:rsidRPr="000F7CA8">
        <w:rPr>
          <w:rFonts w:ascii="Arial" w:hAnsi="Arial" w:cs="Arial"/>
        </w:rPr>
        <w:t>)</w:t>
      </w:r>
      <w:r w:rsidRPr="00225AB0">
        <w:rPr>
          <w:rFonts w:ascii="Arial" w:hAnsi="Arial" w:cs="Arial"/>
        </w:rPr>
        <w:t xml:space="preserve"> chromatic conditions. </w:t>
      </w:r>
    </w:p>
    <w:p w14:paraId="3967C8A2" w14:textId="77777777" w:rsidR="006832FB" w:rsidRPr="00225AB0" w:rsidRDefault="006832FB" w:rsidP="006832FB">
      <w:pPr>
        <w:spacing w:line="480" w:lineRule="auto"/>
        <w:rPr>
          <w:rFonts w:ascii="Arial" w:hAnsi="Arial" w:cs="Arial"/>
        </w:rPr>
      </w:pPr>
    </w:p>
    <w:p w14:paraId="5D88B9DA" w14:textId="77777777" w:rsidR="006832FB" w:rsidRPr="00734436" w:rsidRDefault="006832FB" w:rsidP="001811CC">
      <w:pPr>
        <w:pStyle w:val="Heading4"/>
        <w:numPr>
          <w:ilvl w:val="3"/>
          <w:numId w:val="6"/>
        </w:numPr>
        <w:rPr>
          <w:rFonts w:ascii="Arial" w:hAnsi="Arial" w:cs="Arial"/>
          <w:color w:val="000000" w:themeColor="text1"/>
          <w:sz w:val="28"/>
          <w:szCs w:val="28"/>
        </w:rPr>
      </w:pPr>
      <w:bookmarkStart w:id="643" w:name="_Toc11148023"/>
      <w:bookmarkStart w:id="644" w:name="_Toc11153972"/>
      <w:bookmarkStart w:id="645" w:name="_Toc11930106"/>
      <w:bookmarkStart w:id="646" w:name="_Toc16075422"/>
      <w:r w:rsidRPr="00734436">
        <w:rPr>
          <w:rFonts w:ascii="Arial" w:hAnsi="Arial" w:cs="Arial"/>
          <w:color w:val="000000" w:themeColor="text1"/>
          <w:sz w:val="28"/>
          <w:szCs w:val="28"/>
        </w:rPr>
        <w:t>Multivariate pattern classification</w:t>
      </w:r>
      <w:bookmarkEnd w:id="643"/>
      <w:bookmarkEnd w:id="644"/>
      <w:bookmarkEnd w:id="645"/>
      <w:bookmarkEnd w:id="646"/>
    </w:p>
    <w:p w14:paraId="614ED994" w14:textId="6A520CAF" w:rsidR="006832FB" w:rsidRPr="00225AB0" w:rsidRDefault="006832FB" w:rsidP="006832FB">
      <w:pPr>
        <w:spacing w:line="480" w:lineRule="auto"/>
        <w:rPr>
          <w:rFonts w:ascii="Arial" w:hAnsi="Arial" w:cs="Arial"/>
        </w:rPr>
      </w:pPr>
      <w:r w:rsidRPr="00225AB0">
        <w:rPr>
          <w:rFonts w:ascii="Arial" w:hAnsi="Arial" w:cs="Arial"/>
        </w:rPr>
        <w:t xml:space="preserve">To investigate patterns of activation </w:t>
      </w:r>
      <w:r w:rsidR="00D44AC6">
        <w:rPr>
          <w:rFonts w:ascii="Arial" w:hAnsi="Arial" w:cs="Arial"/>
        </w:rPr>
        <w:t>in</w:t>
      </w:r>
      <w:r w:rsidRPr="00225AB0">
        <w:rPr>
          <w:rFonts w:ascii="Arial" w:hAnsi="Arial" w:cs="Arial"/>
        </w:rPr>
        <w:t xml:space="preserve"> ROIs, beta weights were calculated for each attentional focus predictor timeseries (for both feature and chromatic analyses respectively), for each voxel, using deconvolution to examine the fit of the HRF to the timeseries data. </w:t>
      </w:r>
      <w:r w:rsidR="000F7CA8" w:rsidRPr="00170639">
        <w:rPr>
          <w:rFonts w:ascii="Arial" w:hAnsi="Arial" w:cs="Arial"/>
        </w:rPr>
        <w:t>This deconvolution involved estimating the haemodynamic response which best predicts a measured fMRI signal, reducing the influence of noise within the data.</w:t>
      </w:r>
      <w:r w:rsidR="000F7CA8">
        <w:rPr>
          <w:rFonts w:ascii="Arial" w:hAnsi="Arial" w:cs="Arial"/>
        </w:rPr>
        <w:t xml:space="preserve"> </w:t>
      </w:r>
      <w:r w:rsidRPr="00225AB0">
        <w:rPr>
          <w:rFonts w:ascii="Arial" w:hAnsi="Arial" w:cs="Arial"/>
        </w:rPr>
        <w:t xml:space="preserve">Voxels </w:t>
      </w:r>
      <w:r w:rsidR="00D44AC6">
        <w:rPr>
          <w:rFonts w:ascii="Arial" w:hAnsi="Arial" w:cs="Arial"/>
        </w:rPr>
        <w:t>in</w:t>
      </w:r>
      <w:r w:rsidRPr="00225AB0">
        <w:rPr>
          <w:rFonts w:ascii="Arial" w:hAnsi="Arial" w:cs="Arial"/>
        </w:rPr>
        <w:t xml:space="preserve"> each ROI were ranged by largest percentage variance explained </w:t>
      </w:r>
      <w:r w:rsidR="00D44AC6">
        <w:rPr>
          <w:rFonts w:ascii="Arial" w:hAnsi="Arial" w:cs="Arial"/>
        </w:rPr>
        <w:t>in</w:t>
      </w:r>
      <w:r w:rsidRPr="00225AB0">
        <w:rPr>
          <w:rFonts w:ascii="Arial" w:hAnsi="Arial" w:cs="Arial"/>
        </w:rPr>
        <w:t xml:space="preserve"> the GLM, and only the </w:t>
      </w:r>
      <w:r w:rsidRPr="00225AB0">
        <w:rPr>
          <w:rFonts w:ascii="Arial" w:hAnsi="Arial" w:cs="Arial"/>
        </w:rPr>
        <w:lastRenderedPageBreak/>
        <w:t xml:space="preserve">top 100 voxels by variance explained per ROI were retained for further analysis to ensure comparable results across ROIs of differing size. </w:t>
      </w:r>
    </w:p>
    <w:p w14:paraId="28FDE67F" w14:textId="77777777" w:rsidR="006832FB" w:rsidRPr="00225AB0" w:rsidRDefault="006832FB" w:rsidP="006832FB">
      <w:pPr>
        <w:spacing w:line="480" w:lineRule="auto"/>
        <w:rPr>
          <w:rFonts w:ascii="Arial" w:hAnsi="Arial" w:cs="Arial"/>
        </w:rPr>
      </w:pPr>
    </w:p>
    <w:p w14:paraId="2F8066E9" w14:textId="68BD7628" w:rsidR="006832FB" w:rsidRPr="00225AB0" w:rsidRDefault="006832FB" w:rsidP="006832FB">
      <w:pPr>
        <w:spacing w:line="480" w:lineRule="auto"/>
        <w:rPr>
          <w:rFonts w:ascii="Arial" w:hAnsi="Arial" w:cs="Arial"/>
        </w:rPr>
      </w:pPr>
      <w:r w:rsidRPr="00225AB0">
        <w:rPr>
          <w:rFonts w:ascii="Arial" w:hAnsi="Arial" w:cs="Arial"/>
        </w:rPr>
        <w:t xml:space="preserve">For each ROI, the 100 top voxel beta weights were z-scored (across voxels) and fed to a ‘LIBSVM’ support vector machine (SVM) classifier </w:t>
      </w:r>
      <w:r w:rsidRPr="00225AB0">
        <w:rPr>
          <w:rFonts w:ascii="Arial" w:hAnsi="Arial" w:cs="Arial"/>
        </w:rPr>
        <w:fldChar w:fldCharType="begin"/>
      </w:r>
      <w:r w:rsidR="005B4361">
        <w:rPr>
          <w:rFonts w:ascii="Arial" w:hAnsi="Arial" w:cs="Arial"/>
        </w:rPr>
        <w:instrText xml:space="preserve"> ADDIN ZOTERO_ITEM CSL_CITATION {"citationID":"ozGoNEMw","properties":{"formattedCitation":"(Chang &amp; Lin, 2011)","plainCitation":"(Chang &amp; Lin, 2011)","noteIndex":0},"citationItems":[{"id":263,"uris":["http://zotero.org/groups/318634/items/ECA2ZDVD"],"uri":["http://zotero.org/groups/318634/items/ECA2ZDVD"],"itemData":{"id":263,"type":"article-journal","title":"\" LIBSVM: a library for support vector machines,\" ACM Transactions on Intelligent Systems and Technology, 2: 27: 1–27: 27, 2011","container-title":"http://www. csie. ntu. edu. tw/</w:instrText>
      </w:r>
      <w:r w:rsidR="005B4361">
        <w:rPr>
          <w:rFonts w:ascii="Cambria Math" w:hAnsi="Cambria Math" w:cs="Cambria Math"/>
        </w:rPr>
        <w:instrText>∼</w:instrText>
      </w:r>
      <w:r w:rsidR="005B4361">
        <w:rPr>
          <w:rFonts w:ascii="Arial" w:hAnsi="Arial" w:cs="Arial"/>
        </w:rPr>
        <w:instrText xml:space="preserve"> cjlin/libsvm","volume":"2","source":"Google Scholar","title-short":"\" LIBSVM","author":[{"family":"Chang","given":"Chih-Chung"},{"family":"Lin","given":"Chih-Jen"}],"issued":{"date-parts":[["2011"]]}}}],"schema":"https://github.com/citation-style-language/schema/raw/master/csl-citation.json"} </w:instrText>
      </w:r>
      <w:r w:rsidRPr="00225AB0">
        <w:rPr>
          <w:rFonts w:ascii="Arial" w:hAnsi="Arial" w:cs="Arial"/>
        </w:rPr>
        <w:fldChar w:fldCharType="separate"/>
      </w:r>
      <w:r w:rsidRPr="00225AB0">
        <w:rPr>
          <w:rFonts w:ascii="Arial" w:hAnsi="Arial" w:cs="Arial"/>
          <w:noProof/>
        </w:rPr>
        <w:t>(Chang &amp; Lin, 2011)</w:t>
      </w:r>
      <w:r w:rsidRPr="00225AB0">
        <w:rPr>
          <w:rFonts w:ascii="Arial" w:hAnsi="Arial" w:cs="Arial"/>
        </w:rPr>
        <w:fldChar w:fldCharType="end"/>
      </w:r>
      <w:r w:rsidRPr="00225AB0">
        <w:rPr>
          <w:rFonts w:ascii="Arial" w:hAnsi="Arial" w:cs="Arial"/>
        </w:rPr>
        <w:t xml:space="preserve">, to decode featural attentional focus or attended stimulus chromaticity. The SVM used a radial basis function kernel and leave-one-out cross-validation procedure (across beta weights for each participant). For both the feature and chromatic analysis, we first assessed three-way decoding accuracy, supplying the classifier with information about all three data classes (orientation, contrast and shape or L-M, L+M and S-(L+M)) simultaneously. The classifier used the ‘one-against-one’ approach to provide a </w:t>
      </w:r>
      <w:r w:rsidR="005E4376">
        <w:rPr>
          <w:rFonts w:ascii="Arial" w:hAnsi="Arial" w:cs="Arial"/>
        </w:rPr>
        <w:t>single</w:t>
      </w:r>
      <w:r w:rsidRPr="00225AB0">
        <w:rPr>
          <w:rFonts w:ascii="Arial" w:hAnsi="Arial" w:cs="Arial"/>
        </w:rPr>
        <w:t xml:space="preserve"> classification accuracy score (across many cross-validations) for each participant </w:t>
      </w:r>
      <w:r w:rsidRPr="00225AB0">
        <w:rPr>
          <w:rFonts w:ascii="Arial" w:hAnsi="Arial" w:cs="Arial"/>
        </w:rPr>
        <w:fldChar w:fldCharType="begin"/>
      </w:r>
      <w:r w:rsidR="005B4361">
        <w:rPr>
          <w:rFonts w:ascii="Arial" w:hAnsi="Arial" w:cs="Arial"/>
        </w:rPr>
        <w:instrText xml:space="preserve"> ADDIN ZOTERO_ITEM CSL_CITATION {"citationID":"U6SbndXd","properties":{"formattedCitation":"(Knerr et al., 1990)","plainCitation":"(Knerr et al., 1990)","noteIndex":0},"citationItems":[{"id":241,"uris":["http://zotero.org/groups/318634/items/A3B3R35H"],"uri":["http://zotero.org/groups/318634/items/A3B3R35H"],"itemData":{"id":241,"type":"chapter","title":"Single-layer learning revisited: a stepwise procedure for building and training a neural network","container-title":"Neurocomputing","publisher":"Springer","page":"41–50","source":"Google Scholar","title-short":"Single-layer learning revisited","author":[{"family":"Knerr","given":"Stefan"},{"family":"Personnaz","given":"Léon"},{"family":"Dreyfus","given":"Gérard"}],"issued":{"date-parts":[["1990"]]}}}],"schema":"https://github.com/citation-style-language/schema/raw/master/csl-citation.json"}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(Knerr et al., 1990)</w:t>
      </w:r>
      <w:r w:rsidRPr="00225AB0">
        <w:rPr>
          <w:rFonts w:ascii="Arial" w:hAnsi="Arial" w:cs="Arial"/>
        </w:rPr>
        <w:fldChar w:fldCharType="end"/>
      </w:r>
      <w:r w:rsidRPr="00225AB0">
        <w:rPr>
          <w:rFonts w:ascii="Arial" w:hAnsi="Arial" w:cs="Arial"/>
        </w:rPr>
        <w:t xml:space="preserve">. We then assessed these multi-class classification accuracies for each participant against change performance through one-sample Wilcoxon signed-rank tests for each ROI. </w:t>
      </w:r>
    </w:p>
    <w:p w14:paraId="6BF8CB23" w14:textId="77777777" w:rsidR="006832FB" w:rsidRPr="00225AB0" w:rsidRDefault="006832FB" w:rsidP="006832FB">
      <w:pPr>
        <w:spacing w:line="480" w:lineRule="auto"/>
        <w:rPr>
          <w:rFonts w:ascii="Arial" w:hAnsi="Arial" w:cs="Arial"/>
        </w:rPr>
      </w:pPr>
    </w:p>
    <w:p w14:paraId="4295FD65" w14:textId="77777777" w:rsidR="006832FB" w:rsidRPr="00225AB0" w:rsidRDefault="006832FB" w:rsidP="006832FB">
      <w:pPr>
        <w:spacing w:line="480" w:lineRule="auto"/>
        <w:rPr>
          <w:rFonts w:ascii="Arial" w:hAnsi="Arial" w:cs="Arial"/>
        </w:rPr>
      </w:pPr>
      <w:r w:rsidRPr="00225AB0">
        <w:rPr>
          <w:rFonts w:ascii="Arial" w:hAnsi="Arial" w:cs="Arial"/>
        </w:rPr>
        <w:t xml:space="preserve">Following this, we also performed pairwise classification, to pin-point the differences in patterns of BOLD signal modulation between particular classes of attentional focus. This pairwise classification assessed decoding accuracy between two conditions at a time. For the feature analysis we compared decoding of orientation versus contrast, orientation versus shape and contrast versus shape respectively. For the chromatic analysis we compared voxel-level patterns of activation between red-green versus blue-yellow, red-green versus achromatic and blue-yellow versus achromatic. </w:t>
      </w:r>
    </w:p>
    <w:p w14:paraId="0F26D2F4" w14:textId="77777777" w:rsidR="006832FB" w:rsidRPr="00225AB0" w:rsidRDefault="006832FB" w:rsidP="006832FB">
      <w:pPr>
        <w:spacing w:line="480" w:lineRule="auto"/>
        <w:rPr>
          <w:rFonts w:ascii="Arial" w:hAnsi="Arial" w:cs="Arial"/>
        </w:rPr>
      </w:pPr>
    </w:p>
    <w:p w14:paraId="5F778426" w14:textId="77777777" w:rsidR="006832FB" w:rsidRPr="00734436" w:rsidRDefault="006832FB" w:rsidP="001811CC">
      <w:pPr>
        <w:pStyle w:val="Heading4"/>
        <w:numPr>
          <w:ilvl w:val="3"/>
          <w:numId w:val="6"/>
        </w:numPr>
        <w:rPr>
          <w:rFonts w:ascii="Arial" w:hAnsi="Arial" w:cs="Arial"/>
          <w:color w:val="000000" w:themeColor="text1"/>
          <w:sz w:val="28"/>
          <w:szCs w:val="28"/>
        </w:rPr>
      </w:pPr>
      <w:bookmarkStart w:id="647" w:name="_Toc11148024"/>
      <w:bookmarkStart w:id="648" w:name="_Toc11153973"/>
      <w:bookmarkStart w:id="649" w:name="_Toc11930107"/>
      <w:bookmarkStart w:id="650" w:name="_Toc16075423"/>
      <w:r w:rsidRPr="00734436">
        <w:rPr>
          <w:rFonts w:ascii="Arial" w:hAnsi="Arial" w:cs="Arial"/>
          <w:color w:val="000000" w:themeColor="text1"/>
          <w:sz w:val="28"/>
          <w:szCs w:val="28"/>
        </w:rPr>
        <w:lastRenderedPageBreak/>
        <w:t>Multivariate spatial back-projection</w:t>
      </w:r>
      <w:bookmarkEnd w:id="647"/>
      <w:bookmarkEnd w:id="648"/>
      <w:bookmarkEnd w:id="649"/>
      <w:bookmarkEnd w:id="650"/>
    </w:p>
    <w:p w14:paraId="071597C6" w14:textId="476ABB8A" w:rsidR="006832FB" w:rsidRPr="00225AB0" w:rsidRDefault="006832FB" w:rsidP="006832FB">
      <w:pPr>
        <w:spacing w:line="480" w:lineRule="auto"/>
        <w:rPr>
          <w:rFonts w:ascii="Arial" w:hAnsi="Arial" w:cs="Arial"/>
        </w:rPr>
      </w:pPr>
      <w:r w:rsidRPr="00225AB0">
        <w:rPr>
          <w:rFonts w:ascii="Arial" w:hAnsi="Arial" w:cs="Arial"/>
        </w:rPr>
        <w:t xml:space="preserve">In addition to examining voxel-level patterns of response with changing attentional focus, we also wished to examine the spatial localisation of these attentional effects across feature- or chromatic-specific conditions. To achieve this, we ran an additional set of SVM classifications, assessing decoding accuracy between each attentional focus condition and passive viewing data. For the chromatic analysis, each chromatic attentional condition was compared with its chromatic passive counterpart. From these classifications, we calculated the weighted mean of the support vectors to provide an attention-specific ‘preference’ for each stimulus feature or chromaticity for each voxel </w:t>
      </w:r>
      <w:r w:rsidR="00D44AC6">
        <w:rPr>
          <w:rFonts w:ascii="Arial" w:hAnsi="Arial" w:cs="Arial"/>
        </w:rPr>
        <w:t>in</w:t>
      </w:r>
      <w:r w:rsidRPr="00225AB0">
        <w:rPr>
          <w:rFonts w:ascii="Arial" w:hAnsi="Arial" w:cs="Arial"/>
        </w:rPr>
        <w:t xml:space="preserve"> an ROI. </w:t>
      </w:r>
    </w:p>
    <w:p w14:paraId="626C44F8" w14:textId="77777777" w:rsidR="006832FB" w:rsidRPr="00225AB0" w:rsidRDefault="006832FB" w:rsidP="006832FB">
      <w:pPr>
        <w:rPr>
          <w:rFonts w:ascii="Arial" w:hAnsi="Arial" w:cs="Arial"/>
        </w:rPr>
      </w:pPr>
    </w:p>
    <w:p w14:paraId="6E9EC737" w14:textId="77777777" w:rsidR="006832FB" w:rsidRPr="00225AB0" w:rsidRDefault="006832FB" w:rsidP="006832FB">
      <w:pPr>
        <w:spacing w:line="480" w:lineRule="auto"/>
        <w:rPr>
          <w:rFonts w:ascii="Arial" w:hAnsi="Arial" w:cs="Arial"/>
        </w:rPr>
      </w:pPr>
      <w:r w:rsidRPr="00225AB0">
        <w:rPr>
          <w:rFonts w:ascii="Arial" w:hAnsi="Arial" w:cs="Arial"/>
        </w:rPr>
        <w:t xml:space="preserve">Following the same strategy as implemented in Chapter 4, these support vector weighted means were then back-projected onto an interpolated grid (6° eccentricity, 360° polar angle across 500 samples) representing voxel activation as a function of each voxels visual angle and eccentricity preference in visual space, extracted from pRF data. We additionally plotted an annulus of activation, which was formed from an average of voxel activations between 1.5-3.5° eccentricity, across all polar angles, to provide a clear summary of the locations of any spatially-focused attention. For reference, a standard RF pattern (0° orientation, 0.2 amplitude) was overlain. These back-projection analyses were performed for V1, V2, V3 and hV4 ROIs, as other regions of interest lacked a rich representation of the entire visual field. </w:t>
      </w:r>
    </w:p>
    <w:p w14:paraId="5C4D831D" w14:textId="77777777" w:rsidR="006832FB" w:rsidRPr="00225AB0" w:rsidRDefault="006832FB" w:rsidP="006832FB">
      <w:pPr>
        <w:spacing w:line="480" w:lineRule="auto"/>
        <w:rPr>
          <w:rFonts w:ascii="Arial" w:hAnsi="Arial" w:cs="Arial"/>
        </w:rPr>
      </w:pPr>
    </w:p>
    <w:p w14:paraId="24ABCC60" w14:textId="77777777" w:rsidR="006832FB" w:rsidRPr="00734436" w:rsidRDefault="006832FB" w:rsidP="001811CC">
      <w:pPr>
        <w:pStyle w:val="Heading4"/>
        <w:numPr>
          <w:ilvl w:val="3"/>
          <w:numId w:val="6"/>
        </w:numPr>
        <w:rPr>
          <w:rFonts w:ascii="Arial" w:hAnsi="Arial" w:cs="Arial"/>
          <w:color w:val="000000" w:themeColor="text1"/>
          <w:sz w:val="28"/>
          <w:szCs w:val="28"/>
        </w:rPr>
      </w:pPr>
      <w:bookmarkStart w:id="651" w:name="_Toc11148025"/>
      <w:bookmarkStart w:id="652" w:name="_Toc11153974"/>
      <w:bookmarkStart w:id="653" w:name="_Toc11930108"/>
      <w:bookmarkStart w:id="654" w:name="_Toc16075424"/>
      <w:r w:rsidRPr="00734436">
        <w:rPr>
          <w:rFonts w:ascii="Arial" w:hAnsi="Arial" w:cs="Arial"/>
          <w:color w:val="000000" w:themeColor="text1"/>
          <w:sz w:val="28"/>
          <w:szCs w:val="28"/>
        </w:rPr>
        <w:lastRenderedPageBreak/>
        <w:t>Timeseries connectivity analysis</w:t>
      </w:r>
      <w:bookmarkEnd w:id="651"/>
      <w:bookmarkEnd w:id="652"/>
      <w:bookmarkEnd w:id="653"/>
      <w:bookmarkEnd w:id="654"/>
    </w:p>
    <w:p w14:paraId="6DCC345F" w14:textId="64A98342" w:rsidR="006832FB" w:rsidRPr="00225AB0" w:rsidRDefault="006832FB" w:rsidP="006832FB">
      <w:pPr>
        <w:spacing w:line="480" w:lineRule="auto"/>
        <w:rPr>
          <w:rFonts w:ascii="Arial" w:hAnsi="Arial" w:cs="Arial"/>
        </w:rPr>
      </w:pPr>
      <w:r w:rsidRPr="00225AB0">
        <w:rPr>
          <w:rFonts w:ascii="Arial" w:hAnsi="Arial" w:cs="Arial"/>
        </w:rPr>
        <w:t xml:space="preserve">To quantify feature- or chromatic-specific connectivity between ROIs, participant-specific multivariate timeseries data (grouping TRs by attentional focus condition) and underwent noise removal (the fitting and removal of a grand-mean) to eliminate scan-to-scan differences in raw amplitude intensity.  These data were then averaged across all voxels </w:t>
      </w:r>
      <w:r w:rsidR="00D44AC6">
        <w:rPr>
          <w:rFonts w:ascii="Arial" w:hAnsi="Arial" w:cs="Arial"/>
        </w:rPr>
        <w:t>in</w:t>
      </w:r>
      <w:r w:rsidRPr="00225AB0">
        <w:rPr>
          <w:rFonts w:ascii="Arial" w:hAnsi="Arial" w:cs="Arial"/>
        </w:rPr>
        <w:t xml:space="preserve"> an ROI to provide a single univariate timeseries for each attentional condition. Non-parametric Kendall’s tau correlations were then performed for all pairwise combinations of ROI (V1, V3A/B, hV4, LO-1, LO-2 and IPS0), generating a correlation matrix for each attentional condition. </w:t>
      </w:r>
    </w:p>
    <w:p w14:paraId="4E0214E0" w14:textId="77777777" w:rsidR="006832FB" w:rsidRPr="00225AB0" w:rsidRDefault="006832FB" w:rsidP="006832FB">
      <w:pPr>
        <w:spacing w:line="480" w:lineRule="auto"/>
        <w:rPr>
          <w:rFonts w:ascii="Arial" w:hAnsi="Arial" w:cs="Arial"/>
        </w:rPr>
      </w:pPr>
    </w:p>
    <w:p w14:paraId="40E7B2A9" w14:textId="7036977F" w:rsidR="006832FB" w:rsidRPr="00225AB0" w:rsidRDefault="006832FB" w:rsidP="006832FB">
      <w:pPr>
        <w:spacing w:line="480" w:lineRule="auto"/>
        <w:rPr>
          <w:rFonts w:ascii="Arial" w:hAnsi="Arial" w:cs="Arial"/>
        </w:rPr>
      </w:pPr>
      <w:r w:rsidRPr="00225AB0">
        <w:rPr>
          <w:rFonts w:ascii="Arial" w:hAnsi="Arial" w:cs="Arial"/>
        </w:rPr>
        <w:t xml:space="preserve">To assess the similarity of connectivity patterns, for each attentional focus condition, the correlation matrix was </w:t>
      </w:r>
      <w:r w:rsidRPr="000F7CA8">
        <w:rPr>
          <w:rFonts w:ascii="Arial" w:hAnsi="Arial" w:cs="Arial"/>
        </w:rPr>
        <w:t>vectorised</w:t>
      </w:r>
      <w:r w:rsidR="000F7CA8" w:rsidRPr="00AF7F70">
        <w:rPr>
          <w:rFonts w:ascii="Arial" w:hAnsi="Arial" w:cs="Arial"/>
        </w:rPr>
        <w:t>.</w:t>
      </w:r>
      <w:r w:rsidR="000F7CA8" w:rsidRPr="00D4752B">
        <w:rPr>
          <w:rFonts w:ascii="Arial" w:hAnsi="Arial" w:cs="Arial"/>
        </w:rPr>
        <w:t xml:space="preserve"> </w:t>
      </w:r>
      <w:r w:rsidR="000F7CA8" w:rsidRPr="00170639">
        <w:rPr>
          <w:rFonts w:ascii="Arial" w:hAnsi="Arial" w:cs="Arial"/>
        </w:rPr>
        <w:t>This involved removing self-to-self correlations, and ‘stacking’ ROI-to-ROI correlations such that we produce a single column of correlation data as oppose to a matrix, without altering the correlation values previously computed. This vector of correlation values was then</w:t>
      </w:r>
      <w:r w:rsidR="000F7CA8">
        <w:rPr>
          <w:rFonts w:ascii="Arial" w:hAnsi="Arial" w:cs="Arial"/>
        </w:rPr>
        <w:t xml:space="preserve"> </w:t>
      </w:r>
      <w:r w:rsidRPr="00225AB0">
        <w:rPr>
          <w:rFonts w:ascii="Arial" w:hAnsi="Arial" w:cs="Arial"/>
        </w:rPr>
        <w:t xml:space="preserve">normalised through participant-specific global mean extraction and Fisher-z transformation. The average (Fisher-z transformed) correlation coefficient was then computed to produce a </w:t>
      </w:r>
      <w:r w:rsidR="005E4376">
        <w:rPr>
          <w:rFonts w:ascii="Arial" w:hAnsi="Arial" w:cs="Arial"/>
        </w:rPr>
        <w:t>single</w:t>
      </w:r>
      <w:r w:rsidRPr="00225AB0">
        <w:rPr>
          <w:rFonts w:ascii="Arial" w:hAnsi="Arial" w:cs="Arial"/>
        </w:rPr>
        <w:t xml:space="preserve"> number, which summarised connectivity across all ROIs </w:t>
      </w:r>
      <w:r w:rsidR="00D44AC6">
        <w:rPr>
          <w:rFonts w:ascii="Arial" w:hAnsi="Arial" w:cs="Arial"/>
        </w:rPr>
        <w:t>in</w:t>
      </w:r>
      <w:r w:rsidRPr="00225AB0">
        <w:rPr>
          <w:rFonts w:ascii="Arial" w:hAnsi="Arial" w:cs="Arial"/>
        </w:rPr>
        <w:t xml:space="preserve"> each attentional condition. The difference in correlations between conditions was then analysed via one-way repeated measures ANOVA with Bonferroni-corrected post-hoc tests for the feature- and chromatic-specific analysis pipelines respectively. </w:t>
      </w:r>
    </w:p>
    <w:p w14:paraId="13BDDCB5" w14:textId="77777777" w:rsidR="006832FB" w:rsidRPr="00225AB0" w:rsidRDefault="006832FB" w:rsidP="006832FB">
      <w:pPr>
        <w:spacing w:line="480" w:lineRule="auto"/>
        <w:rPr>
          <w:rFonts w:ascii="Arial" w:hAnsi="Arial" w:cs="Arial"/>
        </w:rPr>
      </w:pPr>
    </w:p>
    <w:p w14:paraId="75C8C106" w14:textId="795ED22D" w:rsidR="006832FB" w:rsidRPr="00225AB0" w:rsidRDefault="006832FB" w:rsidP="006832FB">
      <w:pPr>
        <w:spacing w:line="480" w:lineRule="auto"/>
        <w:rPr>
          <w:rFonts w:ascii="Arial" w:hAnsi="Arial" w:cs="Arial"/>
        </w:rPr>
      </w:pPr>
      <w:r w:rsidRPr="00225AB0">
        <w:rPr>
          <w:rFonts w:ascii="Arial" w:hAnsi="Arial" w:cs="Arial"/>
        </w:rPr>
        <w:t xml:space="preserve">We further investigated ROI-specific connectivity patterns as a function of attentional focus. For each of the ROIs, we extracted data reflecting the </w:t>
      </w:r>
      <w:r w:rsidRPr="00225AB0">
        <w:rPr>
          <w:rFonts w:ascii="Arial" w:hAnsi="Arial" w:cs="Arial"/>
        </w:rPr>
        <w:lastRenderedPageBreak/>
        <w:t xml:space="preserve">correlation of this ROI with all others for every participant. From all participants, data was then sampled with replacement, with a sample reflecting a full complement of ROI-specific correlation data for each attentional condition, and we calculated the mean across these samples. In order to simulate noise </w:t>
      </w:r>
      <w:r w:rsidR="00D44AC6">
        <w:rPr>
          <w:rFonts w:ascii="Arial" w:hAnsi="Arial" w:cs="Arial"/>
        </w:rPr>
        <w:t>in</w:t>
      </w:r>
      <w:r w:rsidRPr="00225AB0">
        <w:rPr>
          <w:rFonts w:ascii="Arial" w:hAnsi="Arial" w:cs="Arial"/>
        </w:rPr>
        <w:t xml:space="preserve"> this analysis, we took the same 12 samples selected with replacement for each condition, and for each pairwise comparison of conditions, we switched the condition labels approximately 50% of the time, keeping ROI-ROI relationships constant and calculated the average across these scrambled condition-specific datasets. </w:t>
      </w:r>
    </w:p>
    <w:p w14:paraId="31A20901" w14:textId="77777777" w:rsidR="006832FB" w:rsidRPr="00225AB0" w:rsidRDefault="006832FB" w:rsidP="006832FB">
      <w:pPr>
        <w:spacing w:line="480" w:lineRule="auto"/>
        <w:rPr>
          <w:rFonts w:ascii="Arial" w:hAnsi="Arial" w:cs="Arial"/>
        </w:rPr>
      </w:pPr>
    </w:p>
    <w:p w14:paraId="294D545D" w14:textId="45B2100B" w:rsidR="009927A8" w:rsidRPr="00225AB0" w:rsidRDefault="006832FB" w:rsidP="006832FB">
      <w:pPr>
        <w:spacing w:line="480" w:lineRule="auto"/>
        <w:rPr>
          <w:rFonts w:ascii="Arial" w:hAnsi="Arial" w:cs="Arial"/>
        </w:rPr>
      </w:pPr>
      <w:r w:rsidRPr="00225AB0">
        <w:rPr>
          <w:rFonts w:ascii="Arial" w:hAnsi="Arial" w:cs="Arial"/>
        </w:rPr>
        <w:t>For both the observed and noise data, we calculated the root mean squared error (RMSE) distance between each pairwise combination of condition vectors as a measure of difference in patterns of connectivity across the ROI profile of interest between different attentional modulation conditions. This process was repeated across 10,000 iterations for each ROI comparison (5 comparisons). Across all iterations, we then calculated the percentage of observed RMSEs for a pairwise comparison falling below the RMSE of the comparable simulated noise distribution. Any percentile below 5% indicated a difference in ROI-specific patterns of connectivity between two attentional modulation conditions which was significantly larger than predicted by chance (</w:t>
      </w:r>
      <w:r w:rsidRPr="00225AB0">
        <w:rPr>
          <w:rFonts w:ascii="Arial" w:hAnsi="Arial" w:cs="Arial"/>
          <w:i/>
        </w:rPr>
        <w:t>p</w:t>
      </w:r>
      <w:r w:rsidRPr="00225AB0">
        <w:rPr>
          <w:rFonts w:ascii="Arial" w:hAnsi="Arial" w:cs="Arial"/>
        </w:rPr>
        <w:t xml:space="preserve"> &lt;.05).  </w:t>
      </w:r>
    </w:p>
    <w:p w14:paraId="16AA2F81" w14:textId="77777777" w:rsidR="006832FB" w:rsidRPr="00225AB0" w:rsidRDefault="006832FB" w:rsidP="006832FB">
      <w:pPr>
        <w:rPr>
          <w:rFonts w:ascii="Arial" w:hAnsi="Arial" w:cs="Arial"/>
        </w:rPr>
      </w:pPr>
    </w:p>
    <w:p w14:paraId="19ED38CA" w14:textId="77777777" w:rsidR="006832FB" w:rsidRDefault="006832FB" w:rsidP="001811CC">
      <w:pPr>
        <w:pStyle w:val="Heading2"/>
        <w:numPr>
          <w:ilvl w:val="1"/>
          <w:numId w:val="6"/>
        </w:numPr>
        <w:rPr>
          <w:rFonts w:ascii="Arial" w:hAnsi="Arial" w:cs="Arial"/>
          <w:b/>
          <w:color w:val="000000" w:themeColor="text1"/>
          <w:sz w:val="28"/>
          <w:szCs w:val="28"/>
        </w:rPr>
      </w:pPr>
      <w:bookmarkStart w:id="655" w:name="_Toc11148026"/>
      <w:bookmarkStart w:id="656" w:name="_Toc11153975"/>
      <w:bookmarkStart w:id="657" w:name="_Toc11753666"/>
      <w:bookmarkStart w:id="658" w:name="_Toc11926852"/>
      <w:bookmarkStart w:id="659" w:name="_Toc11930109"/>
      <w:bookmarkStart w:id="660" w:name="_Toc16075425"/>
      <w:bookmarkStart w:id="661" w:name="_Toc16237024"/>
      <w:r w:rsidRPr="00734436">
        <w:rPr>
          <w:rFonts w:ascii="Arial" w:hAnsi="Arial" w:cs="Arial"/>
          <w:b/>
          <w:color w:val="000000" w:themeColor="text1"/>
          <w:sz w:val="28"/>
          <w:szCs w:val="28"/>
        </w:rPr>
        <w:t>Results</w:t>
      </w:r>
      <w:bookmarkEnd w:id="655"/>
      <w:bookmarkEnd w:id="656"/>
      <w:bookmarkEnd w:id="657"/>
      <w:bookmarkEnd w:id="658"/>
      <w:bookmarkEnd w:id="659"/>
      <w:bookmarkEnd w:id="660"/>
      <w:bookmarkEnd w:id="661"/>
    </w:p>
    <w:p w14:paraId="3CA85774" w14:textId="77777777" w:rsidR="00734436" w:rsidRPr="00734436" w:rsidRDefault="00734436" w:rsidP="00734436"/>
    <w:p w14:paraId="212FCE37" w14:textId="77777777" w:rsidR="006832FB" w:rsidRDefault="006832FB" w:rsidP="001811CC">
      <w:pPr>
        <w:pStyle w:val="Heading3"/>
        <w:numPr>
          <w:ilvl w:val="2"/>
          <w:numId w:val="6"/>
        </w:numPr>
        <w:rPr>
          <w:rFonts w:ascii="Arial" w:hAnsi="Arial" w:cs="Arial"/>
          <w:b/>
          <w:i/>
          <w:color w:val="000000" w:themeColor="text1"/>
          <w:sz w:val="28"/>
          <w:szCs w:val="28"/>
        </w:rPr>
      </w:pPr>
      <w:bookmarkStart w:id="662" w:name="_Toc11148027"/>
      <w:bookmarkStart w:id="663" w:name="_Toc11153976"/>
      <w:bookmarkStart w:id="664" w:name="_Toc11753667"/>
      <w:bookmarkStart w:id="665" w:name="_Toc11926853"/>
      <w:bookmarkStart w:id="666" w:name="_Toc11930110"/>
      <w:bookmarkStart w:id="667" w:name="_Toc16075426"/>
      <w:bookmarkStart w:id="668" w:name="_Toc16237025"/>
      <w:r w:rsidRPr="00734436">
        <w:rPr>
          <w:rFonts w:ascii="Arial" w:hAnsi="Arial" w:cs="Arial"/>
          <w:b/>
          <w:i/>
          <w:color w:val="000000" w:themeColor="text1"/>
          <w:sz w:val="28"/>
          <w:szCs w:val="28"/>
        </w:rPr>
        <w:t>Univariate: Stimulus-Driven and Attentional Modulation Analyses</w:t>
      </w:r>
      <w:bookmarkEnd w:id="662"/>
      <w:bookmarkEnd w:id="663"/>
      <w:bookmarkEnd w:id="664"/>
      <w:bookmarkEnd w:id="665"/>
      <w:bookmarkEnd w:id="666"/>
      <w:bookmarkEnd w:id="667"/>
      <w:bookmarkEnd w:id="668"/>
    </w:p>
    <w:p w14:paraId="4206DBFD" w14:textId="77777777" w:rsidR="00734436" w:rsidRPr="00734436" w:rsidRDefault="00734436" w:rsidP="00734436"/>
    <w:p w14:paraId="1C3241BE" w14:textId="77777777" w:rsidR="006832FB" w:rsidRPr="00734436" w:rsidRDefault="006832FB" w:rsidP="001811CC">
      <w:pPr>
        <w:pStyle w:val="Heading4"/>
        <w:numPr>
          <w:ilvl w:val="3"/>
          <w:numId w:val="6"/>
        </w:numPr>
        <w:rPr>
          <w:rFonts w:ascii="Arial" w:hAnsi="Arial" w:cs="Arial"/>
          <w:color w:val="000000" w:themeColor="text1"/>
          <w:sz w:val="28"/>
          <w:szCs w:val="28"/>
        </w:rPr>
      </w:pPr>
      <w:bookmarkStart w:id="669" w:name="_Toc11148028"/>
      <w:bookmarkStart w:id="670" w:name="_Toc11153977"/>
      <w:bookmarkStart w:id="671" w:name="_Toc11930111"/>
      <w:bookmarkStart w:id="672" w:name="_Toc16075427"/>
      <w:r w:rsidRPr="00734436">
        <w:rPr>
          <w:rFonts w:ascii="Arial" w:hAnsi="Arial" w:cs="Arial"/>
          <w:color w:val="000000" w:themeColor="text1"/>
          <w:sz w:val="28"/>
          <w:szCs w:val="28"/>
        </w:rPr>
        <w:lastRenderedPageBreak/>
        <w:t>Feature Analysis</w:t>
      </w:r>
      <w:bookmarkEnd w:id="669"/>
      <w:bookmarkEnd w:id="670"/>
      <w:bookmarkEnd w:id="671"/>
      <w:bookmarkEnd w:id="672"/>
    </w:p>
    <w:p w14:paraId="0E17A062" w14:textId="5B1E4E09" w:rsidR="007B68C2" w:rsidRPr="00225AB0" w:rsidRDefault="006832FB" w:rsidP="006832FB">
      <w:pPr>
        <w:spacing w:line="480" w:lineRule="auto"/>
        <w:rPr>
          <w:rFonts w:ascii="Arial" w:hAnsi="Arial" w:cs="Arial"/>
        </w:rPr>
      </w:pPr>
      <w:r w:rsidRPr="00225AB0">
        <w:rPr>
          <w:rFonts w:ascii="Arial" w:hAnsi="Arial" w:cs="Arial"/>
        </w:rPr>
        <w:t xml:space="preserve">We first asked whether BOLD modulation dependent on bottom-up stimulus-driven changes in low-level visual feature. As noted in Chapter 4, BOLD signal changes in many visual areas have been reported in response to bottom-up stimulus driven changes in low-level visual features such as orientation and shape, however, these stimulus manipulations are typically far larger than the near-threshold changes used in this study. </w:t>
      </w:r>
    </w:p>
    <w:p w14:paraId="553F6071" w14:textId="77777777" w:rsidR="006832FB" w:rsidRPr="00225AB0" w:rsidRDefault="006832FB" w:rsidP="006832FB">
      <w:pPr>
        <w:spacing w:line="480" w:lineRule="auto"/>
        <w:rPr>
          <w:rFonts w:ascii="Arial" w:hAnsi="Arial" w:cs="Arial"/>
        </w:rPr>
      </w:pPr>
    </w:p>
    <w:p w14:paraId="7B63BB52" w14:textId="77777777" w:rsidR="006832FB" w:rsidRPr="00225AB0" w:rsidRDefault="006832FB" w:rsidP="006832FB">
      <w:pPr>
        <w:spacing w:line="480" w:lineRule="auto"/>
        <w:rPr>
          <w:rFonts w:ascii="Arial" w:hAnsi="Arial" w:cs="Arial"/>
        </w:rPr>
      </w:pPr>
      <w:r w:rsidRPr="00225AB0">
        <w:rPr>
          <w:rFonts w:ascii="Arial" w:hAnsi="Arial" w:cs="Arial"/>
        </w:rPr>
        <w:t>Multiple one-way repeated measures ANOVAs, Benjamini-Hochberg corrected for the number of ROIs revealed no significant differences in univariate BOLD modulation between stimulus-driven changes in orientation, contrast or shape in any ROI examined, including our control auditory cortex region (</w:t>
      </w:r>
      <w:r w:rsidRPr="00225AB0">
        <w:rPr>
          <w:rFonts w:ascii="Arial" w:hAnsi="Arial" w:cs="Arial"/>
          <w:i/>
        </w:rPr>
        <w:t>p</w:t>
      </w:r>
      <w:r w:rsidRPr="00225AB0">
        <w:rPr>
          <w:rFonts w:ascii="Arial" w:hAnsi="Arial" w:cs="Arial"/>
        </w:rPr>
        <w:t xml:space="preserve"> &gt; .05) (see Figure</w:t>
      </w:r>
      <w:r w:rsidR="0068545F">
        <w:rPr>
          <w:rFonts w:ascii="Arial" w:hAnsi="Arial" w:cs="Arial"/>
        </w:rPr>
        <w:t xml:space="preserve"> 5.</w:t>
      </w:r>
      <w:r w:rsidRPr="00225AB0">
        <w:rPr>
          <w:rFonts w:ascii="Arial" w:hAnsi="Arial" w:cs="Arial"/>
        </w:rPr>
        <w:t xml:space="preserve">2B). </w:t>
      </w:r>
    </w:p>
    <w:p w14:paraId="3C1624B0" w14:textId="77777777" w:rsidR="006832FB" w:rsidRPr="00225AB0" w:rsidRDefault="006832FB" w:rsidP="006832FB">
      <w:pPr>
        <w:rPr>
          <w:rFonts w:ascii="Arial" w:hAnsi="Arial" w:cs="Arial"/>
        </w:rPr>
      </w:pPr>
    </w:p>
    <w:p w14:paraId="388A3CFE" w14:textId="29A24C86" w:rsidR="006832FB" w:rsidRPr="00225AB0" w:rsidRDefault="006832FB" w:rsidP="006832FB">
      <w:pPr>
        <w:spacing w:line="480" w:lineRule="auto"/>
        <w:rPr>
          <w:rFonts w:ascii="Arial" w:hAnsi="Arial" w:cs="Arial"/>
        </w:rPr>
      </w:pPr>
      <w:r w:rsidRPr="00225AB0">
        <w:rPr>
          <w:rFonts w:ascii="Arial" w:hAnsi="Arial" w:cs="Arial"/>
        </w:rPr>
        <w:t xml:space="preserve">As we identified no clear differential BOLD signal modulation in response to bottom-up changes in stimulus feature, we then sought to examine effects of feature-specific attention on modulation of fMRI activity. Whilst previous research has demonstrated the effectiveness of RF stimuli in probing attentional modulation effects </w:t>
      </w:r>
      <w:r w:rsidR="00D44AC6">
        <w:rPr>
          <w:rFonts w:ascii="Arial" w:hAnsi="Arial" w:cs="Arial"/>
        </w:rPr>
        <w:t>in</w:t>
      </w:r>
      <w:r w:rsidRPr="00225AB0">
        <w:rPr>
          <w:rFonts w:ascii="Arial" w:hAnsi="Arial" w:cs="Arial"/>
        </w:rPr>
        <w:t xml:space="preserve"> the visual cortex (see Chapters 3 and 4), </w:t>
      </w:r>
      <w:r w:rsidR="009B08FB" w:rsidRPr="00225AB0">
        <w:rPr>
          <w:rFonts w:ascii="Arial" w:hAnsi="Arial" w:cs="Arial"/>
        </w:rPr>
        <w:t>we first</w:t>
      </w:r>
      <w:r w:rsidRPr="00225AB0">
        <w:rPr>
          <w:rFonts w:ascii="Arial" w:hAnsi="Arial" w:cs="Arial"/>
        </w:rPr>
        <w:t xml:space="preserve"> asked whether our chromatic RF stimuli were also effective in eliciting robust attentional modulation effects. To assess this, we compared averaged attentional activation (across orientation, contrast and shape stimuli of all chromaticities) with activation in the passive condition though paired-sample Wilcoxon signed-rank tests, Benjamini-Hochberg corrected across ROIs. These comparisons revealed averaged attention BOLD signal was significantly greater than activation during passive viewing of the same visual </w:t>
      </w:r>
      <w:r w:rsidRPr="00225AB0">
        <w:rPr>
          <w:rFonts w:ascii="Arial" w:hAnsi="Arial" w:cs="Arial"/>
        </w:rPr>
        <w:lastRenderedPageBreak/>
        <w:t xml:space="preserve">stimulus in all visual ROIs examined (V1: Z(11) = 2.83, </w:t>
      </w:r>
      <w:r w:rsidRPr="00225AB0">
        <w:rPr>
          <w:rFonts w:ascii="Arial" w:hAnsi="Arial" w:cs="Arial"/>
          <w:i/>
        </w:rPr>
        <w:t>p</w:t>
      </w:r>
      <w:r w:rsidRPr="00225AB0">
        <w:rPr>
          <w:rFonts w:ascii="Arial" w:hAnsi="Arial" w:cs="Arial"/>
        </w:rPr>
        <w:t xml:space="preserve"> = .010, V3A/B: Z(11) = 2.20, </w:t>
      </w:r>
      <w:r w:rsidRPr="00225AB0">
        <w:rPr>
          <w:rFonts w:ascii="Arial" w:hAnsi="Arial" w:cs="Arial"/>
          <w:i/>
        </w:rPr>
        <w:t>p</w:t>
      </w:r>
      <w:r w:rsidRPr="00225AB0">
        <w:rPr>
          <w:rFonts w:ascii="Arial" w:hAnsi="Arial" w:cs="Arial"/>
        </w:rPr>
        <w:t xml:space="preserve"> = .034, hV4: Z(11)= 2.51, </w:t>
      </w:r>
      <w:r w:rsidRPr="00225AB0">
        <w:rPr>
          <w:rFonts w:ascii="Arial" w:hAnsi="Arial" w:cs="Arial"/>
          <w:i/>
        </w:rPr>
        <w:t>p</w:t>
      </w:r>
      <w:r w:rsidRPr="00225AB0">
        <w:rPr>
          <w:rFonts w:ascii="Arial" w:hAnsi="Arial" w:cs="Arial"/>
        </w:rPr>
        <w:t xml:space="preserve"> = .018, LO-1: Z(11) = 2.82, </w:t>
      </w:r>
      <w:r w:rsidRPr="00225AB0">
        <w:rPr>
          <w:rFonts w:ascii="Arial" w:hAnsi="Arial" w:cs="Arial"/>
          <w:i/>
        </w:rPr>
        <w:t>p</w:t>
      </w:r>
      <w:r w:rsidRPr="00225AB0">
        <w:rPr>
          <w:rFonts w:ascii="Arial" w:hAnsi="Arial" w:cs="Arial"/>
        </w:rPr>
        <w:t xml:space="preserve"> = .010, LO-2: Z(11) = 2.90, </w:t>
      </w:r>
      <w:r w:rsidRPr="00225AB0">
        <w:rPr>
          <w:rFonts w:ascii="Arial" w:hAnsi="Arial" w:cs="Arial"/>
          <w:i/>
        </w:rPr>
        <w:t>p</w:t>
      </w:r>
      <w:r w:rsidRPr="00225AB0">
        <w:rPr>
          <w:rFonts w:ascii="Arial" w:hAnsi="Arial" w:cs="Arial"/>
        </w:rPr>
        <w:t xml:space="preserve"> = .010). No significant difference in BOLD signal modulation between directed attention and passive viewing was identified </w:t>
      </w:r>
      <w:r w:rsidR="00D44AC6">
        <w:rPr>
          <w:rFonts w:ascii="Arial" w:hAnsi="Arial" w:cs="Arial"/>
        </w:rPr>
        <w:t>in</w:t>
      </w:r>
      <w:r w:rsidRPr="00225AB0">
        <w:rPr>
          <w:rFonts w:ascii="Arial" w:hAnsi="Arial" w:cs="Arial"/>
        </w:rPr>
        <w:t xml:space="preserve"> the control auditory cortex ROI (</w:t>
      </w:r>
      <w:proofErr w:type="gramStart"/>
      <w:r w:rsidRPr="00225AB0">
        <w:rPr>
          <w:rFonts w:ascii="Arial" w:hAnsi="Arial" w:cs="Arial"/>
        </w:rPr>
        <w:t>Z(</w:t>
      </w:r>
      <w:proofErr w:type="gramEnd"/>
      <w:r w:rsidRPr="00225AB0">
        <w:rPr>
          <w:rFonts w:ascii="Arial" w:hAnsi="Arial" w:cs="Arial"/>
        </w:rPr>
        <w:t xml:space="preserve">11) = 0.55, </w:t>
      </w:r>
      <w:r w:rsidRPr="00225AB0">
        <w:rPr>
          <w:rFonts w:ascii="Arial" w:hAnsi="Arial" w:cs="Arial"/>
          <w:i/>
        </w:rPr>
        <w:t>p</w:t>
      </w:r>
      <w:r w:rsidRPr="00225AB0">
        <w:rPr>
          <w:rFonts w:ascii="Arial" w:hAnsi="Arial" w:cs="Arial"/>
        </w:rPr>
        <w:t xml:space="preserve"> = .583) (see Figure</w:t>
      </w:r>
      <w:r w:rsidR="0068545F">
        <w:rPr>
          <w:rFonts w:ascii="Arial" w:hAnsi="Arial" w:cs="Arial"/>
        </w:rPr>
        <w:t xml:space="preserve"> 5.</w:t>
      </w:r>
      <w:r w:rsidRPr="00225AB0">
        <w:rPr>
          <w:rFonts w:ascii="Arial" w:hAnsi="Arial" w:cs="Arial"/>
        </w:rPr>
        <w:t xml:space="preserve">2A). </w:t>
      </w:r>
    </w:p>
    <w:p w14:paraId="2A52B9EF" w14:textId="77777777" w:rsidR="006832FB" w:rsidRPr="00225AB0" w:rsidRDefault="006832FB" w:rsidP="006832FB">
      <w:pPr>
        <w:spacing w:line="480" w:lineRule="auto"/>
        <w:rPr>
          <w:rFonts w:ascii="Arial" w:hAnsi="Arial" w:cs="Arial"/>
        </w:rPr>
      </w:pPr>
    </w:p>
    <w:p w14:paraId="42B3E19D" w14:textId="2AE2B070" w:rsidR="006832FB" w:rsidRPr="00225AB0" w:rsidRDefault="006832FB" w:rsidP="006832FB">
      <w:pPr>
        <w:spacing w:line="480" w:lineRule="auto"/>
        <w:rPr>
          <w:rFonts w:ascii="Arial" w:hAnsi="Arial" w:cs="Arial"/>
        </w:rPr>
      </w:pPr>
      <w:r w:rsidRPr="00225AB0">
        <w:rPr>
          <w:rFonts w:ascii="Arial" w:hAnsi="Arial" w:cs="Arial"/>
        </w:rPr>
        <w:t xml:space="preserve">We next sought to examine any feature-specific differences in attentional modulation </w:t>
      </w:r>
      <w:r w:rsidR="00D44AC6">
        <w:rPr>
          <w:rFonts w:ascii="Arial" w:hAnsi="Arial" w:cs="Arial"/>
        </w:rPr>
        <w:t>in</w:t>
      </w:r>
      <w:r w:rsidRPr="00225AB0">
        <w:rPr>
          <w:rFonts w:ascii="Arial" w:hAnsi="Arial" w:cs="Arial"/>
        </w:rPr>
        <w:t xml:space="preserve"> our visual ROIs. Our previous analysis, averaging across feature-specific attentional focus conditions demonstrated a robust attentional modulation effect, but revealed nothing regarding the specificity of an attentional response versus a global mechanism boosting activation </w:t>
      </w:r>
      <w:r w:rsidR="00D44AC6">
        <w:rPr>
          <w:rFonts w:ascii="Arial" w:hAnsi="Arial" w:cs="Arial"/>
        </w:rPr>
        <w:t>in</w:t>
      </w:r>
      <w:r w:rsidRPr="00225AB0">
        <w:rPr>
          <w:rFonts w:ascii="Arial" w:hAnsi="Arial" w:cs="Arial"/>
        </w:rPr>
        <w:t xml:space="preserve"> individual areas. To examine differences in BOLD signal across featural attention task, we performed multiple one-way repeated measures ANOVAs, Benjamini-Hochberg corrected for the number of ROIs. These analyses revealed no significant difference in attentional modulation between orientation, contrast and shape conditions in V1, LO-1 and A1 ROIs (</w:t>
      </w:r>
      <w:r w:rsidRPr="00225AB0">
        <w:rPr>
          <w:rFonts w:ascii="Arial" w:hAnsi="Arial" w:cs="Arial"/>
          <w:i/>
        </w:rPr>
        <w:t>p</w:t>
      </w:r>
      <w:r w:rsidRPr="00225AB0">
        <w:rPr>
          <w:rFonts w:ascii="Arial" w:hAnsi="Arial" w:cs="Arial"/>
        </w:rPr>
        <w:t xml:space="preserve"> &gt; .05). </w:t>
      </w:r>
      <w:r w:rsidR="00D44AC6">
        <w:rPr>
          <w:rFonts w:ascii="Arial" w:hAnsi="Arial" w:cs="Arial"/>
        </w:rPr>
        <w:t>In</w:t>
      </w:r>
      <w:r w:rsidRPr="00225AB0">
        <w:rPr>
          <w:rFonts w:ascii="Arial" w:hAnsi="Arial" w:cs="Arial"/>
        </w:rPr>
        <w:t xml:space="preserve"> V3A/B, </w:t>
      </w:r>
      <w:r w:rsidR="00765711">
        <w:rPr>
          <w:rFonts w:ascii="Arial" w:hAnsi="Arial" w:cs="Arial"/>
        </w:rPr>
        <w:t>we</w:t>
      </w:r>
      <w:r w:rsidR="00765711" w:rsidRPr="00225AB0">
        <w:rPr>
          <w:rFonts w:ascii="Arial" w:hAnsi="Arial" w:cs="Arial"/>
        </w:rPr>
        <w:t xml:space="preserve"> </w:t>
      </w:r>
      <w:r w:rsidRPr="00225AB0">
        <w:rPr>
          <w:rFonts w:ascii="Arial" w:hAnsi="Arial" w:cs="Arial"/>
        </w:rPr>
        <w:t>identified a significant main effect of attentional modulation across conditions (</w:t>
      </w:r>
      <w:proofErr w:type="gramStart"/>
      <w:r w:rsidRPr="00225AB0">
        <w:rPr>
          <w:rFonts w:ascii="Arial" w:hAnsi="Arial" w:cs="Arial"/>
        </w:rPr>
        <w:t>F(</w:t>
      </w:r>
      <w:proofErr w:type="gramEnd"/>
      <w:r w:rsidRPr="00225AB0">
        <w:rPr>
          <w:rFonts w:ascii="Arial" w:hAnsi="Arial" w:cs="Arial"/>
        </w:rPr>
        <w:t xml:space="preserve">2,22) = 5.29, </w:t>
      </w:r>
      <w:r w:rsidRPr="00225AB0">
        <w:rPr>
          <w:rFonts w:ascii="Arial" w:hAnsi="Arial" w:cs="Arial"/>
          <w:i/>
        </w:rPr>
        <w:t>p</w:t>
      </w:r>
      <w:r w:rsidRPr="00225AB0">
        <w:rPr>
          <w:rFonts w:ascii="Arial" w:hAnsi="Arial" w:cs="Arial"/>
        </w:rPr>
        <w:t xml:space="preserve"> = .027), however, no significant differences between conditions were identified in Bonferroni-corrected post-hoc tests. </w:t>
      </w:r>
      <w:r w:rsidR="00D44AC6">
        <w:rPr>
          <w:rFonts w:ascii="Arial" w:hAnsi="Arial" w:cs="Arial"/>
        </w:rPr>
        <w:t>In</w:t>
      </w:r>
      <w:r w:rsidRPr="00225AB0">
        <w:rPr>
          <w:rFonts w:ascii="Arial" w:hAnsi="Arial" w:cs="Arial"/>
        </w:rPr>
        <w:t xml:space="preserve"> hV4, analysis revealed significantly reduced BOLD signal modulation during attention to orientation, in comparison to contrast and shape conditions (</w:t>
      </w:r>
      <w:proofErr w:type="gramStart"/>
      <w:r w:rsidRPr="00225AB0">
        <w:rPr>
          <w:rFonts w:ascii="Arial" w:hAnsi="Arial" w:cs="Arial"/>
        </w:rPr>
        <w:t>F(</w:t>
      </w:r>
      <w:proofErr w:type="gramEnd"/>
      <w:r w:rsidRPr="00225AB0">
        <w:rPr>
          <w:rFonts w:ascii="Arial" w:hAnsi="Arial" w:cs="Arial"/>
        </w:rPr>
        <w:t xml:space="preserve">2,22) = 5.51, </w:t>
      </w:r>
      <w:r w:rsidRPr="00225AB0">
        <w:rPr>
          <w:rFonts w:ascii="Arial" w:hAnsi="Arial" w:cs="Arial"/>
          <w:i/>
        </w:rPr>
        <w:t>p</w:t>
      </w:r>
      <w:r w:rsidRPr="00225AB0">
        <w:rPr>
          <w:rFonts w:ascii="Arial" w:hAnsi="Arial" w:cs="Arial"/>
        </w:rPr>
        <w:t xml:space="preserve"> = .027, post-hoc </w:t>
      </w:r>
      <w:r w:rsidRPr="00225AB0">
        <w:rPr>
          <w:rFonts w:ascii="Arial" w:hAnsi="Arial" w:cs="Arial"/>
          <w:i/>
        </w:rPr>
        <w:t>p</w:t>
      </w:r>
      <w:r w:rsidRPr="00225AB0">
        <w:rPr>
          <w:rFonts w:ascii="Arial" w:hAnsi="Arial" w:cs="Arial"/>
        </w:rPr>
        <w:t xml:space="preserve"> = .037 and </w:t>
      </w:r>
      <w:r w:rsidRPr="00225AB0">
        <w:rPr>
          <w:rFonts w:ascii="Arial" w:hAnsi="Arial" w:cs="Arial"/>
          <w:i/>
        </w:rPr>
        <w:t>p</w:t>
      </w:r>
      <w:r w:rsidRPr="00225AB0">
        <w:rPr>
          <w:rFonts w:ascii="Arial" w:hAnsi="Arial" w:cs="Arial"/>
        </w:rPr>
        <w:t xml:space="preserve"> = .047 respectively). In LO-2, directed attention toward shape elicited significantly greater BOLD signal modulation than attention directed towards orientation or contrast (</w:t>
      </w:r>
      <w:proofErr w:type="gramStart"/>
      <w:r w:rsidRPr="00225AB0">
        <w:rPr>
          <w:rFonts w:ascii="Arial" w:hAnsi="Arial" w:cs="Arial"/>
        </w:rPr>
        <w:t>F(</w:t>
      </w:r>
      <w:proofErr w:type="gramEnd"/>
      <w:r w:rsidRPr="00225AB0">
        <w:rPr>
          <w:rFonts w:ascii="Arial" w:hAnsi="Arial" w:cs="Arial"/>
        </w:rPr>
        <w:t xml:space="preserve">2,22) = 10.22, </w:t>
      </w:r>
      <w:r w:rsidRPr="00225AB0">
        <w:rPr>
          <w:rFonts w:ascii="Arial" w:hAnsi="Arial" w:cs="Arial"/>
          <w:i/>
        </w:rPr>
        <w:t>p</w:t>
      </w:r>
      <w:r w:rsidRPr="00225AB0">
        <w:rPr>
          <w:rFonts w:ascii="Arial" w:hAnsi="Arial" w:cs="Arial"/>
        </w:rPr>
        <w:t xml:space="preserve"> = .004, post-hoc </w:t>
      </w:r>
      <w:r w:rsidRPr="00225AB0">
        <w:rPr>
          <w:rFonts w:ascii="Arial" w:hAnsi="Arial" w:cs="Arial"/>
          <w:i/>
        </w:rPr>
        <w:t>p</w:t>
      </w:r>
      <w:r w:rsidRPr="00225AB0">
        <w:rPr>
          <w:rFonts w:ascii="Arial" w:hAnsi="Arial" w:cs="Arial"/>
        </w:rPr>
        <w:t xml:space="preserve"> = .015 and </w:t>
      </w:r>
      <w:r w:rsidRPr="00225AB0">
        <w:rPr>
          <w:rFonts w:ascii="Arial" w:hAnsi="Arial" w:cs="Arial"/>
          <w:i/>
        </w:rPr>
        <w:t>p</w:t>
      </w:r>
      <w:r w:rsidRPr="00225AB0">
        <w:rPr>
          <w:rFonts w:ascii="Arial" w:hAnsi="Arial" w:cs="Arial"/>
        </w:rPr>
        <w:t xml:space="preserve"> = .009 respectively) (see Figure</w:t>
      </w:r>
      <w:r w:rsidR="0068545F">
        <w:rPr>
          <w:rFonts w:ascii="Arial" w:hAnsi="Arial" w:cs="Arial"/>
        </w:rPr>
        <w:t xml:space="preserve"> 5.</w:t>
      </w:r>
      <w:r w:rsidRPr="00225AB0">
        <w:rPr>
          <w:rFonts w:ascii="Arial" w:hAnsi="Arial" w:cs="Arial"/>
        </w:rPr>
        <w:t xml:space="preserve">2C). </w:t>
      </w:r>
    </w:p>
    <w:p w14:paraId="09E30B12" w14:textId="77777777" w:rsidR="006832FB" w:rsidRPr="00225AB0" w:rsidRDefault="006832FB" w:rsidP="006832FB">
      <w:pPr>
        <w:spacing w:line="480" w:lineRule="auto"/>
        <w:rPr>
          <w:rFonts w:ascii="Arial" w:hAnsi="Arial" w:cs="Arial"/>
        </w:rPr>
      </w:pPr>
    </w:p>
    <w:p w14:paraId="662C6C81" w14:textId="55978DCE" w:rsidR="006832FB" w:rsidRDefault="006832FB" w:rsidP="006832FB">
      <w:pPr>
        <w:spacing w:line="480" w:lineRule="auto"/>
        <w:rPr>
          <w:rFonts w:ascii="Arial" w:hAnsi="Arial" w:cs="Arial"/>
        </w:rPr>
      </w:pPr>
      <w:r w:rsidRPr="00225AB0">
        <w:rPr>
          <w:rFonts w:ascii="Arial" w:hAnsi="Arial" w:cs="Arial"/>
        </w:rPr>
        <w:t xml:space="preserve">In summary, our feature-specific univariate analyses demonstrated neither bottom-up stimulus manipulations nor top-down attentional demands had strong </w:t>
      </w:r>
      <w:r w:rsidRPr="00225AB0">
        <w:rPr>
          <w:rFonts w:ascii="Arial" w:hAnsi="Arial" w:cs="Arial"/>
          <w:i/>
        </w:rPr>
        <w:t xml:space="preserve">differential </w:t>
      </w:r>
      <w:r w:rsidRPr="00225AB0">
        <w:rPr>
          <w:rFonts w:ascii="Arial" w:hAnsi="Arial" w:cs="Arial"/>
        </w:rPr>
        <w:t xml:space="preserve">effects on BOLD signal modulation </w:t>
      </w:r>
      <w:r w:rsidR="00D44AC6">
        <w:rPr>
          <w:rFonts w:ascii="Arial" w:hAnsi="Arial" w:cs="Arial"/>
        </w:rPr>
        <w:t>in</w:t>
      </w:r>
      <w:r w:rsidRPr="00225AB0">
        <w:rPr>
          <w:rFonts w:ascii="Arial" w:hAnsi="Arial" w:cs="Arial"/>
        </w:rPr>
        <w:t xml:space="preserve"> the visual cortex. However, areas hV4 and LO-2 demonstrate relatively weak, but significant differential responses for attention to orientation (hV4) and to shape (LO-2) compared to other task conditions. </w:t>
      </w:r>
    </w:p>
    <w:p w14:paraId="514B8F31" w14:textId="77777777" w:rsidR="00643362" w:rsidRPr="00225AB0" w:rsidRDefault="00643362" w:rsidP="006832FB">
      <w:pPr>
        <w:spacing w:line="480" w:lineRule="auto"/>
        <w:rPr>
          <w:rFonts w:ascii="Arial" w:hAnsi="Arial" w:cs="Arial"/>
        </w:rPr>
      </w:pPr>
    </w:p>
    <w:p w14:paraId="5AC12E14" w14:textId="77777777" w:rsidR="006832FB" w:rsidRDefault="006832FB" w:rsidP="006832FB">
      <w:pPr>
        <w:rPr>
          <w:rFonts w:ascii="Arial" w:hAnsi="Arial" w:cs="Arial"/>
        </w:rPr>
      </w:pPr>
    </w:p>
    <w:p w14:paraId="4011A8F5" w14:textId="77777777" w:rsidR="00643362" w:rsidRDefault="00643362" w:rsidP="006832FB">
      <w:pPr>
        <w:rPr>
          <w:rFonts w:ascii="Arial" w:hAnsi="Arial" w:cs="Arial"/>
        </w:rPr>
      </w:pPr>
    </w:p>
    <w:p w14:paraId="008B83DE" w14:textId="77777777" w:rsidR="00643362" w:rsidRDefault="00643362" w:rsidP="006832FB">
      <w:pPr>
        <w:rPr>
          <w:rFonts w:ascii="Arial" w:hAnsi="Arial" w:cs="Arial"/>
        </w:rPr>
      </w:pPr>
    </w:p>
    <w:p w14:paraId="034E8C5B" w14:textId="77777777" w:rsidR="00643362" w:rsidRDefault="00643362" w:rsidP="006832FB">
      <w:pPr>
        <w:rPr>
          <w:rFonts w:ascii="Arial" w:hAnsi="Arial" w:cs="Arial"/>
        </w:rPr>
      </w:pPr>
    </w:p>
    <w:p w14:paraId="776B3514" w14:textId="77777777" w:rsidR="00643362" w:rsidRDefault="00643362" w:rsidP="006832FB">
      <w:pPr>
        <w:rPr>
          <w:rFonts w:ascii="Arial" w:hAnsi="Arial" w:cs="Arial"/>
        </w:rPr>
      </w:pPr>
    </w:p>
    <w:p w14:paraId="66E04A8B" w14:textId="77777777" w:rsidR="00643362" w:rsidRDefault="00643362" w:rsidP="006832FB">
      <w:pPr>
        <w:rPr>
          <w:rFonts w:ascii="Arial" w:hAnsi="Arial" w:cs="Arial"/>
        </w:rPr>
      </w:pPr>
    </w:p>
    <w:p w14:paraId="459894FB" w14:textId="77777777" w:rsidR="00643362" w:rsidRDefault="00643362" w:rsidP="006832FB">
      <w:pPr>
        <w:rPr>
          <w:rFonts w:ascii="Arial" w:hAnsi="Arial" w:cs="Arial"/>
        </w:rPr>
      </w:pPr>
    </w:p>
    <w:p w14:paraId="09983CE6" w14:textId="77777777" w:rsidR="00643362" w:rsidRDefault="00643362" w:rsidP="006832FB">
      <w:pPr>
        <w:rPr>
          <w:rFonts w:ascii="Arial" w:hAnsi="Arial" w:cs="Arial"/>
        </w:rPr>
      </w:pPr>
    </w:p>
    <w:p w14:paraId="3065039F" w14:textId="77777777" w:rsidR="00643362" w:rsidRDefault="00643362" w:rsidP="006832FB">
      <w:pPr>
        <w:rPr>
          <w:rFonts w:ascii="Arial" w:hAnsi="Arial" w:cs="Arial"/>
        </w:rPr>
      </w:pPr>
    </w:p>
    <w:p w14:paraId="2E48A9DA" w14:textId="77777777" w:rsidR="00643362" w:rsidRDefault="00643362" w:rsidP="006832FB">
      <w:pPr>
        <w:rPr>
          <w:rFonts w:ascii="Arial" w:hAnsi="Arial" w:cs="Arial"/>
        </w:rPr>
      </w:pPr>
    </w:p>
    <w:p w14:paraId="34A8E7CA" w14:textId="77777777" w:rsidR="00643362" w:rsidRDefault="00643362" w:rsidP="006832FB">
      <w:pPr>
        <w:rPr>
          <w:rFonts w:ascii="Arial" w:hAnsi="Arial" w:cs="Arial"/>
        </w:rPr>
      </w:pPr>
    </w:p>
    <w:p w14:paraId="4ED0F0D2" w14:textId="77777777" w:rsidR="00643362" w:rsidRDefault="00643362" w:rsidP="006832FB">
      <w:pPr>
        <w:rPr>
          <w:rFonts w:ascii="Arial" w:hAnsi="Arial" w:cs="Arial"/>
        </w:rPr>
      </w:pPr>
    </w:p>
    <w:p w14:paraId="40B38A38" w14:textId="77777777" w:rsidR="00643362" w:rsidRDefault="00643362" w:rsidP="006832FB">
      <w:pPr>
        <w:rPr>
          <w:rFonts w:ascii="Arial" w:hAnsi="Arial" w:cs="Arial"/>
        </w:rPr>
      </w:pPr>
    </w:p>
    <w:p w14:paraId="42CA6FB1" w14:textId="77777777" w:rsidR="00643362" w:rsidRDefault="00643362" w:rsidP="006832FB">
      <w:pPr>
        <w:rPr>
          <w:rFonts w:ascii="Arial" w:hAnsi="Arial" w:cs="Arial"/>
        </w:rPr>
      </w:pPr>
    </w:p>
    <w:p w14:paraId="6B2BC1F9" w14:textId="77777777" w:rsidR="00643362" w:rsidRDefault="00643362" w:rsidP="006832FB">
      <w:pPr>
        <w:rPr>
          <w:rFonts w:ascii="Arial" w:hAnsi="Arial" w:cs="Arial"/>
        </w:rPr>
      </w:pPr>
    </w:p>
    <w:p w14:paraId="08BD6426" w14:textId="77777777" w:rsidR="00643362" w:rsidRDefault="00643362" w:rsidP="006832FB">
      <w:pPr>
        <w:rPr>
          <w:rFonts w:ascii="Arial" w:hAnsi="Arial" w:cs="Arial"/>
        </w:rPr>
      </w:pPr>
    </w:p>
    <w:p w14:paraId="64B7AE7D" w14:textId="77777777" w:rsidR="00643362" w:rsidRDefault="00643362" w:rsidP="006832FB">
      <w:pPr>
        <w:rPr>
          <w:rFonts w:ascii="Arial" w:hAnsi="Arial" w:cs="Arial"/>
        </w:rPr>
      </w:pPr>
    </w:p>
    <w:p w14:paraId="75ADE373" w14:textId="77777777" w:rsidR="00643362" w:rsidRDefault="00643362" w:rsidP="006832FB">
      <w:pPr>
        <w:rPr>
          <w:rFonts w:ascii="Arial" w:hAnsi="Arial" w:cs="Arial"/>
        </w:rPr>
      </w:pPr>
    </w:p>
    <w:p w14:paraId="2AFB9E27" w14:textId="77777777" w:rsidR="00643362" w:rsidRDefault="00643362" w:rsidP="006832FB">
      <w:pPr>
        <w:rPr>
          <w:rFonts w:ascii="Arial" w:hAnsi="Arial" w:cs="Arial"/>
        </w:rPr>
      </w:pPr>
    </w:p>
    <w:p w14:paraId="538E32AE" w14:textId="22D360B1" w:rsidR="007B68C2" w:rsidRPr="007B68C2" w:rsidRDefault="007B68C2" w:rsidP="00170639">
      <w:pPr>
        <w:tabs>
          <w:tab w:val="left" w:pos="2554"/>
        </w:tabs>
        <w:rPr>
          <w:rFonts w:ascii="Arial" w:hAnsi="Arial" w:cs="Arial"/>
        </w:rPr>
      </w:pPr>
    </w:p>
    <w:p w14:paraId="001DCA78" w14:textId="21B3F6B4" w:rsidR="00643362" w:rsidRPr="00225AB0" w:rsidRDefault="009F3085" w:rsidP="006832FB">
      <w:pPr>
        <w:rPr>
          <w:rFonts w:ascii="Arial" w:hAnsi="Arial" w:cs="Arial"/>
        </w:rPr>
      </w:pPr>
      <w:r w:rsidRPr="00225AB0">
        <w:rPr>
          <w:rFonts w:ascii="Arial" w:hAnsi="Arial" w:cs="Arial"/>
          <w:noProof/>
          <w:lang w:eastAsia="en-GB"/>
        </w:rPr>
        <w:lastRenderedPageBreak/>
        <mc:AlternateContent>
          <mc:Choice Requires="wps">
            <w:drawing>
              <wp:anchor distT="0" distB="0" distL="114300" distR="114300" simplePos="0" relativeHeight="251822080" behindDoc="0" locked="0" layoutInCell="1" allowOverlap="1" wp14:anchorId="78F0C8E1" wp14:editId="7B1FE93E">
                <wp:simplePos x="0" y="0"/>
                <wp:positionH relativeFrom="column">
                  <wp:posOffset>-1520190</wp:posOffset>
                </wp:positionH>
                <wp:positionV relativeFrom="paragraph">
                  <wp:posOffset>1457325</wp:posOffset>
                </wp:positionV>
                <wp:extent cx="8373110" cy="5459095"/>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rot="16200000">
                          <a:off x="0" y="0"/>
                          <a:ext cx="8373110" cy="5459095"/>
                        </a:xfrm>
                        <a:prstGeom prst="rect">
                          <a:avLst/>
                        </a:prstGeom>
                        <a:noFill/>
                        <a:ln w="6350">
                          <a:noFill/>
                        </a:ln>
                      </wps:spPr>
                      <wps:txbx>
                        <w:txbxContent>
                          <w:p w14:paraId="67E282D4" w14:textId="77777777" w:rsidR="00C93BE0" w:rsidRPr="0013064A" w:rsidRDefault="00C93BE0" w:rsidP="009F3085">
                            <w:pPr>
                              <w:keepNext/>
                              <w:rPr>
                                <w:color w:val="000000" w:themeColor="text1"/>
                                <w:sz w:val="18"/>
                                <w:szCs w:val="18"/>
                              </w:rPr>
                            </w:pPr>
                            <w:r w:rsidRPr="0013064A">
                              <w:rPr>
                                <w:noProof/>
                                <w:color w:val="000000" w:themeColor="text1"/>
                                <w:sz w:val="18"/>
                                <w:szCs w:val="18"/>
                                <w:lang w:eastAsia="en-GB"/>
                              </w:rPr>
                              <w:drawing>
                                <wp:inline distT="0" distB="0" distL="0" distR="0" wp14:anchorId="47819C24" wp14:editId="524FE3B9">
                                  <wp:extent cx="7826655" cy="3158836"/>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ivariate_colour_feature_combined.png"/>
                                          <pic:cNvPicPr/>
                                        </pic:nvPicPr>
                                        <pic:blipFill>
                                          <a:blip r:embed="rId56">
                                            <a:extLst>
                                              <a:ext uri="{28A0092B-C50C-407E-A947-70E740481C1C}">
                                                <a14:useLocalDpi xmlns:a14="http://schemas.microsoft.com/office/drawing/2010/main" val="0"/>
                                              </a:ext>
                                            </a:extLst>
                                          </a:blip>
                                          <a:stretch>
                                            <a:fillRect/>
                                          </a:stretch>
                                        </pic:blipFill>
                                        <pic:spPr>
                                          <a:xfrm>
                                            <a:off x="0" y="0"/>
                                            <a:ext cx="7833707" cy="3161682"/>
                                          </a:xfrm>
                                          <a:prstGeom prst="rect">
                                            <a:avLst/>
                                          </a:prstGeom>
                                        </pic:spPr>
                                      </pic:pic>
                                    </a:graphicData>
                                  </a:graphic>
                                </wp:inline>
                              </w:drawing>
                            </w:r>
                          </w:p>
                          <w:p w14:paraId="77C1F6F9" w14:textId="289F244F" w:rsidR="00C93BE0" w:rsidRPr="00E97A0F" w:rsidRDefault="00C93BE0" w:rsidP="009F3085">
                            <w:pPr>
                              <w:pStyle w:val="Caption"/>
                              <w:spacing w:line="360" w:lineRule="auto"/>
                              <w:jc w:val="both"/>
                              <w:rPr>
                                <w:i w:val="0"/>
                                <w:color w:val="000000" w:themeColor="text1"/>
                                <w:sz w:val="24"/>
                                <w:szCs w:val="24"/>
                              </w:rPr>
                            </w:pPr>
                            <w:bookmarkStart w:id="673" w:name="_Toc12363355"/>
                            <w:bookmarkStart w:id="674" w:name="_Toc16242712"/>
                            <w:r w:rsidRPr="00E97A0F">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E97A0F">
                              <w:rPr>
                                <w:rFonts w:ascii="Arial" w:hAnsi="Arial" w:cs="Arial"/>
                                <w:i w:val="0"/>
                                <w:color w:val="000000" w:themeColor="text1"/>
                                <w:sz w:val="24"/>
                                <w:szCs w:val="24"/>
                              </w:rPr>
                              <w:t xml:space="preserve"> </w:t>
                            </w:r>
                            <w:r w:rsidRPr="00E97A0F">
                              <w:rPr>
                                <w:rFonts w:ascii="Arial" w:hAnsi="Arial" w:cs="Arial"/>
                                <w:i w:val="0"/>
                                <w:iCs w:val="0"/>
                                <w:color w:val="000000" w:themeColor="text1"/>
                                <w:sz w:val="24"/>
                                <w:szCs w:val="24"/>
                                <w:lang w:val="en-US"/>
                              </w:rPr>
                              <w:t>Univariate responses to both attention and stimulus modulation are weak. A) Mean BOLD modulation due to attention: positive values reflect greater BOLD amplitude during directed attention (averaged across orientation, contrast and shape attentional conditions). Data are shown for 5 visual ROIs: V1, V3A/B, hV4, LO-1 and LO-2 as well as a control area (auditory area A1). No areas exhibit a significant increase in activity in the attend vs passive comparison. B) Mean bottom-up stimulus responses to individual modulation events averaged over all attentional conditions. No areas exhibit differential responses to stimulus modulations. C) Feature-specific attentional modulations averaged over all modulation types. Areas hV4 and LO-2 show significant differences in BOLD amplitude when directing attention toward different visual features. All error bars are +/- 1 SEM and significance asterisks indicate Benjamini-Hochberg corrected values.</w:t>
                            </w:r>
                            <w:bookmarkEnd w:id="673"/>
                            <w:bookmarkEnd w:id="674"/>
                          </w:p>
                          <w:p w14:paraId="672CA73D" w14:textId="77777777" w:rsidR="00C93BE0" w:rsidRPr="0013064A" w:rsidRDefault="00C93BE0" w:rsidP="009F3085">
                            <w:pPr>
                              <w:rPr>
                                <w:color w:val="000000" w:themeColor="text1"/>
                                <w:sz w:val="18"/>
                                <w:szCs w:val="18"/>
                              </w:rPr>
                            </w:pPr>
                          </w:p>
                          <w:p w14:paraId="3718C7DF" w14:textId="77777777" w:rsidR="00C93BE0" w:rsidRPr="0013064A" w:rsidRDefault="00C93BE0" w:rsidP="009F3085">
                            <w:pPr>
                              <w:rPr>
                                <w:color w:val="000000" w:themeColor="text1"/>
                                <w:sz w:val="18"/>
                                <w:szCs w:val="18"/>
                              </w:rPr>
                            </w:pPr>
                          </w:p>
                          <w:p w14:paraId="4CB88164" w14:textId="77777777" w:rsidR="00C93BE0" w:rsidRPr="0013064A" w:rsidRDefault="00C93BE0" w:rsidP="009F3085">
                            <w:pPr>
                              <w:rPr>
                                <w:color w:val="000000" w:themeColor="text1"/>
                                <w:sz w:val="18"/>
                                <w:szCs w:val="18"/>
                              </w:rPr>
                            </w:pPr>
                          </w:p>
                          <w:p w14:paraId="5D48A8D3" w14:textId="77777777" w:rsidR="00C93BE0" w:rsidRPr="0013064A" w:rsidRDefault="00C93BE0" w:rsidP="009F3085">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0C8E1" id="Text Box 22" o:spid="_x0000_s1053" type="#_x0000_t202" style="position:absolute;margin-left:-119.7pt;margin-top:114.75pt;width:659.3pt;height:429.85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" filled="f" stroked="f" strokeweight=".5pt">
                <v:textbox>
                  <w:txbxContent>
                    <w:p w14:paraId="67E282D4" w14:textId="77777777" w:rsidR="00C93BE0" w:rsidRPr="0013064A" w:rsidRDefault="00C93BE0" w:rsidP="009F3085">
                      <w:pPr>
                        <w:keepNext/>
                        <w:rPr>
                          <w:color w:val="000000" w:themeColor="text1"/>
                          <w:sz w:val="18"/>
                          <w:szCs w:val="18"/>
                        </w:rPr>
                      </w:pPr>
                      <w:r w:rsidRPr="0013064A">
                        <w:rPr>
                          <w:noProof/>
                          <w:color w:val="000000" w:themeColor="text1"/>
                          <w:sz w:val="18"/>
                          <w:szCs w:val="18"/>
                          <w:lang w:eastAsia="en-GB"/>
                        </w:rPr>
                        <w:drawing>
                          <wp:inline distT="0" distB="0" distL="0" distR="0" wp14:anchorId="47819C24" wp14:editId="524FE3B9">
                            <wp:extent cx="7826655" cy="3158836"/>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ivariate_colour_feature_combined.png"/>
                                    <pic:cNvPicPr/>
                                  </pic:nvPicPr>
                                  <pic:blipFill>
                                    <a:blip r:embed="rId57">
                                      <a:extLst>
                                        <a:ext uri="{28A0092B-C50C-407E-A947-70E740481C1C}">
                                          <a14:useLocalDpi xmlns:a14="http://schemas.microsoft.com/office/drawing/2010/main" val="0"/>
                                        </a:ext>
                                      </a:extLst>
                                    </a:blip>
                                    <a:stretch>
                                      <a:fillRect/>
                                    </a:stretch>
                                  </pic:blipFill>
                                  <pic:spPr>
                                    <a:xfrm>
                                      <a:off x="0" y="0"/>
                                      <a:ext cx="7833707" cy="3161682"/>
                                    </a:xfrm>
                                    <a:prstGeom prst="rect">
                                      <a:avLst/>
                                    </a:prstGeom>
                                  </pic:spPr>
                                </pic:pic>
                              </a:graphicData>
                            </a:graphic>
                          </wp:inline>
                        </w:drawing>
                      </w:r>
                    </w:p>
                    <w:p w14:paraId="77C1F6F9" w14:textId="289F244F" w:rsidR="00C93BE0" w:rsidRPr="00E97A0F" w:rsidRDefault="00C93BE0" w:rsidP="009F3085">
                      <w:pPr>
                        <w:pStyle w:val="Caption"/>
                        <w:spacing w:line="360" w:lineRule="auto"/>
                        <w:jc w:val="both"/>
                        <w:rPr>
                          <w:i w:val="0"/>
                          <w:color w:val="000000" w:themeColor="text1"/>
                          <w:sz w:val="24"/>
                          <w:szCs w:val="24"/>
                        </w:rPr>
                      </w:pPr>
                      <w:bookmarkStart w:id="720" w:name="_Toc12363355"/>
                      <w:bookmarkStart w:id="721" w:name="_Toc16242712"/>
                      <w:r w:rsidRPr="00E97A0F">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E97A0F">
                        <w:rPr>
                          <w:rFonts w:ascii="Arial" w:hAnsi="Arial" w:cs="Arial"/>
                          <w:i w:val="0"/>
                          <w:color w:val="000000" w:themeColor="text1"/>
                          <w:sz w:val="24"/>
                          <w:szCs w:val="24"/>
                        </w:rPr>
                        <w:t xml:space="preserve"> </w:t>
                      </w:r>
                      <w:r w:rsidRPr="00E97A0F">
                        <w:rPr>
                          <w:rFonts w:ascii="Arial" w:hAnsi="Arial" w:cs="Arial"/>
                          <w:i w:val="0"/>
                          <w:iCs w:val="0"/>
                          <w:color w:val="000000" w:themeColor="text1"/>
                          <w:sz w:val="24"/>
                          <w:szCs w:val="24"/>
                          <w:lang w:val="en-US"/>
                        </w:rPr>
                        <w:t>Univariate responses to both attention and stimulus modulation are weak. A) Mean BOLD modulation due to attention: positive values reflect greater BOLD amplitude during directed attention (averaged across orientation, contrast and shape attentional conditions). Data are shown for 5 visual ROIs: V1, V3A/B, hV4, LO-1 and LO-2 as well as a control area (auditory area A1). No areas exhibit a significant increase in activity in the attend vs passive comparison. B) Mean bottom-up stimulus responses to individual modulation events averaged over all attentional conditions. No areas exhibit differential responses to stimulus modulations. C) Feature-specific attentional modulations averaged over all modulation types. Areas hV4 and LO-2 show significant differences in BOLD amplitude when directing attention toward different visual features. All error bars are +/- 1 SEM and significance asterisks indicate Benjamini-Hochberg corrected values.</w:t>
                      </w:r>
                      <w:bookmarkEnd w:id="720"/>
                      <w:bookmarkEnd w:id="721"/>
                    </w:p>
                    <w:p w14:paraId="672CA73D" w14:textId="77777777" w:rsidR="00C93BE0" w:rsidRPr="0013064A" w:rsidRDefault="00C93BE0" w:rsidP="009F3085">
                      <w:pPr>
                        <w:rPr>
                          <w:color w:val="000000" w:themeColor="text1"/>
                          <w:sz w:val="18"/>
                          <w:szCs w:val="18"/>
                        </w:rPr>
                      </w:pPr>
                    </w:p>
                    <w:p w14:paraId="3718C7DF" w14:textId="77777777" w:rsidR="00C93BE0" w:rsidRPr="0013064A" w:rsidRDefault="00C93BE0" w:rsidP="009F3085">
                      <w:pPr>
                        <w:rPr>
                          <w:color w:val="000000" w:themeColor="text1"/>
                          <w:sz w:val="18"/>
                          <w:szCs w:val="18"/>
                        </w:rPr>
                      </w:pPr>
                    </w:p>
                    <w:p w14:paraId="4CB88164" w14:textId="77777777" w:rsidR="00C93BE0" w:rsidRPr="0013064A" w:rsidRDefault="00C93BE0" w:rsidP="009F3085">
                      <w:pPr>
                        <w:rPr>
                          <w:color w:val="000000" w:themeColor="text1"/>
                          <w:sz w:val="18"/>
                          <w:szCs w:val="18"/>
                        </w:rPr>
                      </w:pPr>
                    </w:p>
                    <w:p w14:paraId="5D48A8D3" w14:textId="77777777" w:rsidR="00C93BE0" w:rsidRPr="0013064A" w:rsidRDefault="00C93BE0" w:rsidP="009F3085">
                      <w:pPr>
                        <w:rPr>
                          <w:color w:val="000000" w:themeColor="text1"/>
                          <w:sz w:val="18"/>
                          <w:szCs w:val="18"/>
                        </w:rPr>
                      </w:pPr>
                    </w:p>
                  </w:txbxContent>
                </v:textbox>
                <w10:wrap type="square"/>
              </v:shape>
            </w:pict>
          </mc:Fallback>
        </mc:AlternateContent>
      </w:r>
    </w:p>
    <w:p w14:paraId="11ED1C50" w14:textId="1EC5B4C0" w:rsidR="00F72546" w:rsidRDefault="006832FB" w:rsidP="00F72546">
      <w:pPr>
        <w:rPr>
          <w:rFonts w:ascii="Arial" w:hAnsi="Arial" w:cs="Arial"/>
        </w:rPr>
      </w:pPr>
      <w:r w:rsidRPr="00225AB0">
        <w:rPr>
          <w:rFonts w:ascii="Arial" w:hAnsi="Arial" w:cs="Arial"/>
        </w:rPr>
        <w:t xml:space="preserve"> </w:t>
      </w:r>
      <w:bookmarkStart w:id="675" w:name="_Toc11148029"/>
      <w:bookmarkStart w:id="676" w:name="_Toc11153978"/>
    </w:p>
    <w:p w14:paraId="5063DDD0" w14:textId="77777777" w:rsidR="006832FB" w:rsidRPr="00734436" w:rsidRDefault="006832FB" w:rsidP="001811CC">
      <w:pPr>
        <w:pStyle w:val="Heading4"/>
        <w:numPr>
          <w:ilvl w:val="3"/>
          <w:numId w:val="6"/>
        </w:numPr>
        <w:rPr>
          <w:rFonts w:ascii="Arial" w:hAnsi="Arial" w:cs="Arial"/>
          <w:color w:val="000000" w:themeColor="text1"/>
          <w:sz w:val="28"/>
          <w:szCs w:val="28"/>
        </w:rPr>
      </w:pPr>
      <w:bookmarkStart w:id="677" w:name="_Toc11930112"/>
      <w:bookmarkStart w:id="678" w:name="_Toc16075428"/>
      <w:r w:rsidRPr="00734436">
        <w:rPr>
          <w:rFonts w:ascii="Arial" w:hAnsi="Arial" w:cs="Arial"/>
          <w:color w:val="000000" w:themeColor="text1"/>
          <w:sz w:val="28"/>
          <w:szCs w:val="28"/>
        </w:rPr>
        <w:lastRenderedPageBreak/>
        <w:t>Chromatic Analysis</w:t>
      </w:r>
      <w:bookmarkEnd w:id="675"/>
      <w:bookmarkEnd w:id="676"/>
      <w:bookmarkEnd w:id="677"/>
      <w:bookmarkEnd w:id="678"/>
    </w:p>
    <w:p w14:paraId="224157FA" w14:textId="17D23FAB" w:rsidR="006832FB" w:rsidRPr="00225AB0" w:rsidRDefault="006832FB" w:rsidP="006832FB">
      <w:pPr>
        <w:spacing w:line="480" w:lineRule="auto"/>
        <w:rPr>
          <w:rFonts w:ascii="Arial" w:hAnsi="Arial" w:cs="Arial"/>
        </w:rPr>
      </w:pPr>
      <w:r w:rsidRPr="00225AB0">
        <w:rPr>
          <w:rFonts w:ascii="Arial" w:hAnsi="Arial" w:cs="Arial"/>
        </w:rPr>
        <w:t xml:space="preserve">In addition to analysing feature-specific attentional modulation effects, we also wished to investigate the effects of attending to stimuli of different chromaticies to examine the extent of segregation of chromatic information </w:t>
      </w:r>
      <w:r w:rsidR="00D44AC6">
        <w:rPr>
          <w:rFonts w:ascii="Arial" w:hAnsi="Arial" w:cs="Arial"/>
        </w:rPr>
        <w:t>in</w:t>
      </w:r>
      <w:r w:rsidRPr="00225AB0">
        <w:rPr>
          <w:rFonts w:ascii="Arial" w:hAnsi="Arial" w:cs="Arial"/>
        </w:rPr>
        <w:t xml:space="preserve"> the visual cortex. Initially, to ensure our chromatic stimuli produced clear modulation of the BOLD signal, we repeated the same analysis pipeline as used for the feature-specific attention analysis. We conducted multiple paired-sample Wilcoxon comparing averaged attentional modulation (averaged across orientation, contrast and shape) with the chromatic-specific passive viewing condition, Benjamini-Hochberg corrected for the number of ROIs, independently for each stimulus chromaticity condition. </w:t>
      </w:r>
    </w:p>
    <w:p w14:paraId="3FD8CE96" w14:textId="77777777" w:rsidR="006832FB" w:rsidRPr="00225AB0" w:rsidRDefault="006832FB" w:rsidP="006832FB">
      <w:pPr>
        <w:rPr>
          <w:rFonts w:ascii="Arial" w:hAnsi="Arial" w:cs="Arial"/>
        </w:rPr>
      </w:pPr>
    </w:p>
    <w:p w14:paraId="7B7A363E" w14:textId="77E148E0" w:rsidR="006832FB" w:rsidRPr="00225AB0" w:rsidRDefault="006832FB" w:rsidP="006832FB">
      <w:pPr>
        <w:spacing w:line="480" w:lineRule="auto"/>
        <w:rPr>
          <w:rFonts w:ascii="Arial" w:hAnsi="Arial" w:cs="Arial"/>
        </w:rPr>
      </w:pPr>
      <w:r w:rsidRPr="00225AB0">
        <w:rPr>
          <w:rFonts w:ascii="Arial" w:hAnsi="Arial" w:cs="Arial"/>
        </w:rPr>
        <w:t xml:space="preserve">For the red-green and achromatic stimulus conditions, we identify significantly greater BOLD modulation during directed attentional focus than in passive viewing in all visual ROIs (red-green: Z(11) = 2.43, </w:t>
      </w:r>
      <w:r w:rsidRPr="00225AB0">
        <w:rPr>
          <w:rFonts w:ascii="Arial" w:hAnsi="Arial" w:cs="Arial"/>
          <w:i/>
        </w:rPr>
        <w:t>p</w:t>
      </w:r>
      <w:r w:rsidRPr="00225AB0">
        <w:rPr>
          <w:rFonts w:ascii="Arial" w:hAnsi="Arial" w:cs="Arial"/>
        </w:rPr>
        <w:t xml:space="preserve"> = .027, V3A/B: Z(11) = 2.28, </w:t>
      </w:r>
      <w:r w:rsidRPr="00225AB0">
        <w:rPr>
          <w:rFonts w:ascii="Arial" w:hAnsi="Arial" w:cs="Arial"/>
          <w:i/>
        </w:rPr>
        <w:t>p</w:t>
      </w:r>
      <w:r w:rsidRPr="00225AB0">
        <w:rPr>
          <w:rFonts w:ascii="Arial" w:hAnsi="Arial" w:cs="Arial"/>
        </w:rPr>
        <w:t xml:space="preserve"> = .034, hV4: Z(11) = 2.51, </w:t>
      </w:r>
      <w:r w:rsidRPr="00225AB0">
        <w:rPr>
          <w:rFonts w:ascii="Arial" w:hAnsi="Arial" w:cs="Arial"/>
          <w:i/>
        </w:rPr>
        <w:t>p</w:t>
      </w:r>
      <w:r w:rsidRPr="00225AB0">
        <w:rPr>
          <w:rFonts w:ascii="Arial" w:hAnsi="Arial" w:cs="Arial"/>
        </w:rPr>
        <w:t xml:space="preserve"> = .024, LO-1: Z(11) = 2.35, </w:t>
      </w:r>
      <w:r w:rsidRPr="00225AB0">
        <w:rPr>
          <w:rFonts w:ascii="Arial" w:hAnsi="Arial" w:cs="Arial"/>
          <w:i/>
        </w:rPr>
        <w:t>p</w:t>
      </w:r>
      <w:r w:rsidRPr="00225AB0">
        <w:rPr>
          <w:rFonts w:ascii="Arial" w:hAnsi="Arial" w:cs="Arial"/>
        </w:rPr>
        <w:t xml:space="preserve"> = .030, LO-2: Z(11) = 2.67, </w:t>
      </w:r>
      <w:r w:rsidRPr="00225AB0">
        <w:rPr>
          <w:rFonts w:ascii="Arial" w:hAnsi="Arial" w:cs="Arial"/>
          <w:i/>
        </w:rPr>
        <w:t>p</w:t>
      </w:r>
      <w:r w:rsidRPr="00225AB0">
        <w:rPr>
          <w:rFonts w:ascii="Arial" w:hAnsi="Arial" w:cs="Arial"/>
        </w:rPr>
        <w:t xml:space="preserve"> = .024, achromatic: V1: Z(11) = 2.60,</w:t>
      </w:r>
      <w:r w:rsidRPr="00225AB0">
        <w:rPr>
          <w:rFonts w:ascii="Arial" w:hAnsi="Arial" w:cs="Arial"/>
          <w:i/>
        </w:rPr>
        <w:t xml:space="preserve"> p</w:t>
      </w:r>
      <w:r w:rsidRPr="00225AB0">
        <w:rPr>
          <w:rFonts w:ascii="Arial" w:hAnsi="Arial" w:cs="Arial"/>
        </w:rPr>
        <w:t xml:space="preserve"> = .024, V3A/B: Z(11) = 2.51, </w:t>
      </w:r>
      <w:r w:rsidRPr="00225AB0">
        <w:rPr>
          <w:rFonts w:ascii="Arial" w:hAnsi="Arial" w:cs="Arial"/>
          <w:i/>
        </w:rPr>
        <w:t>p</w:t>
      </w:r>
      <w:r w:rsidRPr="00225AB0">
        <w:rPr>
          <w:rFonts w:ascii="Arial" w:hAnsi="Arial" w:cs="Arial"/>
        </w:rPr>
        <w:t xml:space="preserve"> = .024, hV4: Z(11) = 2.60, </w:t>
      </w:r>
      <w:r w:rsidRPr="00225AB0">
        <w:rPr>
          <w:rFonts w:ascii="Arial" w:hAnsi="Arial" w:cs="Arial"/>
          <w:i/>
        </w:rPr>
        <w:t>p</w:t>
      </w:r>
      <w:r w:rsidRPr="00225AB0">
        <w:rPr>
          <w:rFonts w:ascii="Arial" w:hAnsi="Arial" w:cs="Arial"/>
        </w:rPr>
        <w:t xml:space="preserve"> = .024, LO-1: Z(11) = 2.82, </w:t>
      </w:r>
      <w:r w:rsidRPr="00225AB0">
        <w:rPr>
          <w:rFonts w:ascii="Arial" w:hAnsi="Arial" w:cs="Arial"/>
          <w:i/>
        </w:rPr>
        <w:t>p</w:t>
      </w:r>
      <w:r w:rsidRPr="00225AB0">
        <w:rPr>
          <w:rFonts w:ascii="Arial" w:hAnsi="Arial" w:cs="Arial"/>
        </w:rPr>
        <w:t xml:space="preserve"> = .021, LO-2: Z(11) = 2.98, </w:t>
      </w:r>
      <w:r w:rsidRPr="00225AB0">
        <w:rPr>
          <w:rFonts w:ascii="Arial" w:hAnsi="Arial" w:cs="Arial"/>
          <w:i/>
        </w:rPr>
        <w:t>p</w:t>
      </w:r>
      <w:r w:rsidRPr="00225AB0">
        <w:rPr>
          <w:rFonts w:ascii="Arial" w:hAnsi="Arial" w:cs="Arial"/>
        </w:rPr>
        <w:t xml:space="preserve"> = .021). In all three stimulus conditions, the control auditory cortex ROI reveals no significant difference in level of BOLD modulation between attention and passive viewing conditions (</w:t>
      </w:r>
      <w:r w:rsidRPr="00225AB0">
        <w:rPr>
          <w:rFonts w:ascii="Arial" w:hAnsi="Arial" w:cs="Arial"/>
          <w:i/>
        </w:rPr>
        <w:t>p</w:t>
      </w:r>
      <w:r w:rsidRPr="00225AB0">
        <w:rPr>
          <w:rFonts w:ascii="Arial" w:hAnsi="Arial" w:cs="Arial"/>
        </w:rPr>
        <w:t xml:space="preserve"> &gt; .05). </w:t>
      </w:r>
      <w:r w:rsidR="00D44AC6">
        <w:rPr>
          <w:rFonts w:ascii="Arial" w:hAnsi="Arial" w:cs="Arial"/>
        </w:rPr>
        <w:t>In</w:t>
      </w:r>
      <w:r w:rsidRPr="00225AB0">
        <w:rPr>
          <w:rFonts w:ascii="Arial" w:hAnsi="Arial" w:cs="Arial"/>
        </w:rPr>
        <w:t xml:space="preserve"> the blue-yellow stimulus condition, paired-sample Wilcoxon signed-rank tests revealed significantly greater BOLD signal modulation during directed attention versus passive viewing in V1 (Z(11) = 2.12, </w:t>
      </w:r>
      <w:r w:rsidRPr="00225AB0">
        <w:rPr>
          <w:rFonts w:ascii="Arial" w:hAnsi="Arial" w:cs="Arial"/>
          <w:i/>
        </w:rPr>
        <w:t>p</w:t>
      </w:r>
      <w:r w:rsidRPr="00225AB0">
        <w:rPr>
          <w:rFonts w:ascii="Arial" w:hAnsi="Arial" w:cs="Arial"/>
        </w:rPr>
        <w:t xml:space="preserve"> = .047), LO-1 (Z(11) = 2.90, </w:t>
      </w:r>
      <w:r w:rsidRPr="00225AB0">
        <w:rPr>
          <w:rFonts w:ascii="Arial" w:hAnsi="Arial" w:cs="Arial"/>
          <w:i/>
        </w:rPr>
        <w:t>p</w:t>
      </w:r>
      <w:r w:rsidRPr="00225AB0">
        <w:rPr>
          <w:rFonts w:ascii="Arial" w:hAnsi="Arial" w:cs="Arial"/>
        </w:rPr>
        <w:t xml:space="preserve"> =.021) and LO-2 (Z(11) = 2.82, </w:t>
      </w:r>
      <w:r w:rsidRPr="00225AB0">
        <w:rPr>
          <w:rFonts w:ascii="Arial" w:hAnsi="Arial" w:cs="Arial"/>
          <w:i/>
        </w:rPr>
        <w:t>p</w:t>
      </w:r>
      <w:r w:rsidRPr="00225AB0">
        <w:rPr>
          <w:rFonts w:ascii="Arial" w:hAnsi="Arial" w:cs="Arial"/>
        </w:rPr>
        <w:t xml:space="preserve"> = .021). However, we identify no significant difference in BOLD signal modulation </w:t>
      </w:r>
      <w:r w:rsidRPr="00225AB0">
        <w:rPr>
          <w:rFonts w:ascii="Arial" w:hAnsi="Arial" w:cs="Arial"/>
        </w:rPr>
        <w:lastRenderedPageBreak/>
        <w:t>during directed attention versus passive viewing in V3A/B or hV4 (</w:t>
      </w:r>
      <w:r w:rsidRPr="00225AB0">
        <w:rPr>
          <w:rFonts w:ascii="Arial" w:hAnsi="Arial" w:cs="Arial"/>
          <w:i/>
        </w:rPr>
        <w:t>p</w:t>
      </w:r>
      <w:r w:rsidRPr="00225AB0">
        <w:rPr>
          <w:rFonts w:ascii="Arial" w:hAnsi="Arial" w:cs="Arial"/>
        </w:rPr>
        <w:t xml:space="preserve"> &gt; .05) (see Figure</w:t>
      </w:r>
      <w:r w:rsidR="0068545F">
        <w:rPr>
          <w:rFonts w:ascii="Arial" w:hAnsi="Arial" w:cs="Arial"/>
        </w:rPr>
        <w:t xml:space="preserve"> 5.</w:t>
      </w:r>
      <w:r w:rsidRPr="00225AB0">
        <w:rPr>
          <w:rFonts w:ascii="Arial" w:hAnsi="Arial" w:cs="Arial"/>
        </w:rPr>
        <w:t xml:space="preserve">3A). </w:t>
      </w:r>
    </w:p>
    <w:p w14:paraId="1A7FDBFE" w14:textId="77777777" w:rsidR="006832FB" w:rsidRPr="00225AB0" w:rsidRDefault="006832FB" w:rsidP="006832FB">
      <w:pPr>
        <w:rPr>
          <w:rFonts w:ascii="Arial" w:hAnsi="Arial" w:cs="Arial"/>
        </w:rPr>
      </w:pPr>
    </w:p>
    <w:p w14:paraId="36274F4E" w14:textId="18B5BDB3" w:rsidR="006832FB" w:rsidRPr="00225AB0" w:rsidRDefault="006832FB" w:rsidP="006832FB">
      <w:pPr>
        <w:spacing w:line="480" w:lineRule="auto"/>
        <w:rPr>
          <w:rFonts w:ascii="Arial" w:hAnsi="Arial" w:cs="Arial"/>
        </w:rPr>
      </w:pPr>
      <w:r w:rsidRPr="00225AB0">
        <w:rPr>
          <w:rFonts w:ascii="Arial" w:hAnsi="Arial" w:cs="Arial"/>
        </w:rPr>
        <w:t xml:space="preserve">We then sought to identify differences in BOLD signal modulation with attention directed to different stimulus chromaticity. As in the feature-specific analysis, we conducted multiple one-way repeated measures ANOVAs, comparing BOLD signal during attention toward red-green, blue-yellow and achromatic stimuli, Benjamini-Hochberg corrected across the number of ROIs. This analysis revealed significantly greater BOLD signal modulation during attention to red-green versus blue-yellow stimuli in all visual ROIs examined V1: F(2,22) = 7.86, </w:t>
      </w:r>
      <w:r w:rsidRPr="00225AB0">
        <w:rPr>
          <w:rFonts w:ascii="Arial" w:hAnsi="Arial" w:cs="Arial"/>
          <w:i/>
        </w:rPr>
        <w:t>p</w:t>
      </w:r>
      <w:r w:rsidRPr="00225AB0">
        <w:rPr>
          <w:rFonts w:ascii="Arial" w:hAnsi="Arial" w:cs="Arial"/>
        </w:rPr>
        <w:t xml:space="preserve"> = .013, post-hoc </w:t>
      </w:r>
      <w:r w:rsidRPr="00225AB0">
        <w:rPr>
          <w:rFonts w:ascii="Arial" w:hAnsi="Arial" w:cs="Arial"/>
          <w:i/>
        </w:rPr>
        <w:t>p</w:t>
      </w:r>
      <w:r w:rsidRPr="00225AB0">
        <w:rPr>
          <w:rFonts w:ascii="Arial" w:hAnsi="Arial" w:cs="Arial"/>
        </w:rPr>
        <w:t xml:space="preserve"> = .024 V3A/B: F(2,22) = 5.84, post-hoc </w:t>
      </w:r>
      <w:r w:rsidRPr="00225AB0">
        <w:rPr>
          <w:rFonts w:ascii="Arial" w:hAnsi="Arial" w:cs="Arial"/>
          <w:i/>
        </w:rPr>
        <w:t>p</w:t>
      </w:r>
      <w:r w:rsidRPr="00225AB0">
        <w:rPr>
          <w:rFonts w:ascii="Arial" w:hAnsi="Arial" w:cs="Arial"/>
        </w:rPr>
        <w:t xml:space="preserve"> = .040, </w:t>
      </w:r>
      <w:r w:rsidRPr="00225AB0">
        <w:rPr>
          <w:rFonts w:ascii="Arial" w:hAnsi="Arial" w:cs="Arial"/>
          <w:i/>
        </w:rPr>
        <w:t>p</w:t>
      </w:r>
      <w:r w:rsidRPr="00225AB0">
        <w:rPr>
          <w:rFonts w:ascii="Arial" w:hAnsi="Arial" w:cs="Arial"/>
        </w:rPr>
        <w:t xml:space="preserve"> = .032, hV4: F(2,22) = 5.34, </w:t>
      </w:r>
      <w:r w:rsidRPr="00225AB0">
        <w:rPr>
          <w:rFonts w:ascii="Arial" w:hAnsi="Arial" w:cs="Arial"/>
          <w:i/>
        </w:rPr>
        <w:t>p</w:t>
      </w:r>
      <w:r w:rsidRPr="00225AB0">
        <w:rPr>
          <w:rFonts w:ascii="Arial" w:hAnsi="Arial" w:cs="Arial"/>
        </w:rPr>
        <w:t xml:space="preserve"> = .037, post-hoc </w:t>
      </w:r>
      <w:r w:rsidRPr="00225AB0">
        <w:rPr>
          <w:rFonts w:ascii="Arial" w:hAnsi="Arial" w:cs="Arial"/>
          <w:i/>
        </w:rPr>
        <w:t>p</w:t>
      </w:r>
      <w:r w:rsidRPr="00225AB0">
        <w:rPr>
          <w:rFonts w:ascii="Arial" w:hAnsi="Arial" w:cs="Arial"/>
        </w:rPr>
        <w:t xml:space="preserve"> = .026, LO-1: F(2,22) = 8.25, </w:t>
      </w:r>
      <w:r w:rsidRPr="00225AB0">
        <w:rPr>
          <w:rFonts w:ascii="Arial" w:hAnsi="Arial" w:cs="Arial"/>
          <w:i/>
        </w:rPr>
        <w:t xml:space="preserve">p </w:t>
      </w:r>
      <w:r w:rsidRPr="00225AB0">
        <w:rPr>
          <w:rFonts w:ascii="Arial" w:hAnsi="Arial" w:cs="Arial"/>
        </w:rPr>
        <w:t xml:space="preserve">= .020, post-hoc </w:t>
      </w:r>
      <w:r w:rsidRPr="00225AB0">
        <w:rPr>
          <w:rFonts w:ascii="Arial" w:hAnsi="Arial" w:cs="Arial"/>
          <w:i/>
        </w:rPr>
        <w:t>p</w:t>
      </w:r>
      <w:r w:rsidRPr="00225AB0">
        <w:rPr>
          <w:rFonts w:ascii="Arial" w:hAnsi="Arial" w:cs="Arial"/>
        </w:rPr>
        <w:t xml:space="preserve"> = .020, LO-2: F(2,22) = 10.58, </w:t>
      </w:r>
      <w:r w:rsidRPr="00225AB0">
        <w:rPr>
          <w:rFonts w:ascii="Arial" w:hAnsi="Arial" w:cs="Arial"/>
          <w:i/>
        </w:rPr>
        <w:t>p</w:t>
      </w:r>
      <w:r w:rsidRPr="00225AB0">
        <w:rPr>
          <w:rFonts w:ascii="Arial" w:hAnsi="Arial" w:cs="Arial"/>
        </w:rPr>
        <w:t xml:space="preserve"> = .013 post-hoc </w:t>
      </w:r>
      <w:r w:rsidRPr="00225AB0">
        <w:rPr>
          <w:rFonts w:ascii="Arial" w:hAnsi="Arial" w:cs="Arial"/>
          <w:i/>
        </w:rPr>
        <w:t>p</w:t>
      </w:r>
      <w:r w:rsidRPr="00225AB0">
        <w:rPr>
          <w:rFonts w:ascii="Arial" w:hAnsi="Arial" w:cs="Arial"/>
        </w:rPr>
        <w:t xml:space="preserve"> = .013). </w:t>
      </w:r>
      <w:r w:rsidR="00D44AC6">
        <w:rPr>
          <w:rFonts w:ascii="Arial" w:hAnsi="Arial" w:cs="Arial"/>
        </w:rPr>
        <w:t>In</w:t>
      </w:r>
      <w:r w:rsidRPr="00225AB0">
        <w:rPr>
          <w:rFonts w:ascii="Arial" w:hAnsi="Arial" w:cs="Arial"/>
        </w:rPr>
        <w:t xml:space="preserve"> LO-2, we also identify significantly greater BOLD signal modulation during attention to achromatic stimuli versus blue-yellow stimuli (post-hoc </w:t>
      </w:r>
      <w:r w:rsidRPr="00225AB0">
        <w:rPr>
          <w:rFonts w:ascii="Arial" w:hAnsi="Arial" w:cs="Arial"/>
          <w:i/>
        </w:rPr>
        <w:t xml:space="preserve">p = </w:t>
      </w:r>
      <w:r w:rsidRPr="00225AB0">
        <w:rPr>
          <w:rFonts w:ascii="Arial" w:hAnsi="Arial" w:cs="Arial"/>
        </w:rPr>
        <w:t>.032) (see Figure</w:t>
      </w:r>
      <w:r w:rsidR="0068545F">
        <w:rPr>
          <w:rFonts w:ascii="Arial" w:hAnsi="Arial" w:cs="Arial"/>
        </w:rPr>
        <w:t xml:space="preserve"> 5.</w:t>
      </w:r>
      <w:r w:rsidRPr="00225AB0">
        <w:rPr>
          <w:rFonts w:ascii="Arial" w:hAnsi="Arial" w:cs="Arial"/>
        </w:rPr>
        <w:t xml:space="preserve">3B). Here, our analysis reveals robust evidence of attentional modulation versus passive viewing for all three stimulus chromaticities, and a relatively weaker attentional modulation to blue-yellow versus red-green stimuli across the visual hierarchy. </w:t>
      </w:r>
    </w:p>
    <w:p w14:paraId="1D1A2760" w14:textId="07315251" w:rsidR="00F72546" w:rsidRPr="00225AB0" w:rsidRDefault="009F3085" w:rsidP="00F72546">
      <w:pPr>
        <w:spacing w:line="480" w:lineRule="auto"/>
        <w:rPr>
          <w:rFonts w:ascii="Arial" w:hAnsi="Arial" w:cs="Arial"/>
        </w:rPr>
      </w:pPr>
      <w:r w:rsidRPr="00225AB0">
        <w:rPr>
          <w:rFonts w:ascii="Arial" w:hAnsi="Arial" w:cs="Arial"/>
          <w:noProof/>
          <w:lang w:eastAsia="en-GB"/>
        </w:rPr>
        <w:lastRenderedPageBreak/>
        <mc:AlternateContent>
          <mc:Choice Requires="wps">
            <w:drawing>
              <wp:anchor distT="0" distB="0" distL="114300" distR="114300" simplePos="0" relativeHeight="251824128" behindDoc="0" locked="0" layoutInCell="1" allowOverlap="1" wp14:anchorId="0A2F9059" wp14:editId="5B9F2EAC">
                <wp:simplePos x="0" y="0"/>
                <wp:positionH relativeFrom="column">
                  <wp:posOffset>-1879600</wp:posOffset>
                </wp:positionH>
                <wp:positionV relativeFrom="paragraph">
                  <wp:posOffset>1369695</wp:posOffset>
                </wp:positionV>
                <wp:extent cx="8915400" cy="617601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rot="16200000">
                          <a:off x="0" y="0"/>
                          <a:ext cx="8915400" cy="6176010"/>
                        </a:xfrm>
                        <a:prstGeom prst="rect">
                          <a:avLst/>
                        </a:prstGeom>
                        <a:noFill/>
                        <a:ln w="6350">
                          <a:noFill/>
                        </a:ln>
                      </wps:spPr>
                      <wps:txbx>
                        <w:txbxContent>
                          <w:p w14:paraId="4B550092" w14:textId="77777777" w:rsidR="00C93BE0" w:rsidRDefault="00C93BE0" w:rsidP="009F3085">
                            <w:pPr>
                              <w:keepNext/>
                              <w:jc w:val="center"/>
                            </w:pPr>
                            <w:r>
                              <w:rPr>
                                <w:noProof/>
                                <w:lang w:eastAsia="en-GB"/>
                              </w:rPr>
                              <w:drawing>
                                <wp:inline distT="0" distB="0" distL="0" distR="0" wp14:anchorId="2E921975" wp14:editId="35E75840">
                                  <wp:extent cx="7050188" cy="400472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ivariate_colour_combined.png"/>
                                          <pic:cNvPicPr/>
                                        </pic:nvPicPr>
                                        <pic:blipFill rotWithShape="1">
                                          <a:blip r:embed="rId58">
                                            <a:extLst>
                                              <a:ext uri="{28A0092B-C50C-407E-A947-70E740481C1C}">
                                                <a14:useLocalDpi xmlns:a14="http://schemas.microsoft.com/office/drawing/2010/main" val="0"/>
                                              </a:ext>
                                            </a:extLst>
                                          </a:blip>
                                          <a:srcRect l="2896" r="8311" b="5100"/>
                                          <a:stretch/>
                                        </pic:blipFill>
                                        <pic:spPr bwMode="auto">
                                          <a:xfrm>
                                            <a:off x="0" y="0"/>
                                            <a:ext cx="7057731" cy="4009011"/>
                                          </a:xfrm>
                                          <a:prstGeom prst="rect">
                                            <a:avLst/>
                                          </a:prstGeom>
                                          <a:ln>
                                            <a:noFill/>
                                          </a:ln>
                                          <a:extLst>
                                            <a:ext uri="{53640926-AAD7-44D8-BBD7-CCE9431645EC}">
                                              <a14:shadowObscured xmlns:a14="http://schemas.microsoft.com/office/drawing/2010/main"/>
                                            </a:ext>
                                          </a:extLst>
                                        </pic:spPr>
                                      </pic:pic>
                                    </a:graphicData>
                                  </a:graphic>
                                </wp:inline>
                              </w:drawing>
                            </w:r>
                          </w:p>
                          <w:p w14:paraId="1703BB7B" w14:textId="7350703A" w:rsidR="00C93BE0" w:rsidRPr="00E97A0F" w:rsidRDefault="00C93BE0" w:rsidP="009F3085">
                            <w:pPr>
                              <w:pStyle w:val="Caption"/>
                              <w:spacing w:line="360" w:lineRule="auto"/>
                              <w:jc w:val="both"/>
                              <w:rPr>
                                <w:rFonts w:ascii="Arial" w:hAnsi="Arial" w:cs="Arial"/>
                                <w:i w:val="0"/>
                                <w:color w:val="000000" w:themeColor="text1"/>
                                <w:sz w:val="24"/>
                                <w:szCs w:val="24"/>
                              </w:rPr>
                            </w:pPr>
                            <w:bookmarkStart w:id="679" w:name="_Toc12363356"/>
                            <w:bookmarkStart w:id="680" w:name="_Toc16242713"/>
                            <w:r w:rsidRPr="00E97A0F">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E97A0F">
                              <w:rPr>
                                <w:rFonts w:ascii="Arial" w:hAnsi="Arial" w:cs="Arial"/>
                                <w:i w:val="0"/>
                                <w:color w:val="000000" w:themeColor="text1"/>
                                <w:sz w:val="24"/>
                                <w:szCs w:val="24"/>
                              </w:rPr>
                              <w:t xml:space="preserve"> </w:t>
                            </w:r>
                            <w:r w:rsidRPr="00E97A0F">
                              <w:rPr>
                                <w:rFonts w:ascii="Arial" w:hAnsi="Arial" w:cs="Arial"/>
                                <w:i w:val="0"/>
                                <w:iCs w:val="0"/>
                                <w:color w:val="000000" w:themeColor="text1"/>
                                <w:sz w:val="24"/>
                                <w:szCs w:val="24"/>
                                <w:lang w:val="en-US"/>
                              </w:rPr>
                              <w:t>Univariate responses to chromatic stimuli exhibit attentional modulation, and BOLD signal modulation is significantly weaker with attention to blue-yellow stimuli than red-green. A) Mean BOLD modulation due to attention: positive values reflect greater BOLD amplitude during directed attention (averaged across orientation, contrast and shape attentional conditions). Data are shown for 5 visual ROIs: V1, V3A/B, hV4, LO-1 and LO-2 as well as a control area (auditory area A1). Almost all visual ROIs in every comparison exhibit significant increases in activity in the attend vs passive comparison. B) Colour-specific attentional modulations averaged over all low-level visual feature modulation types. All visual ROIs show significantly lower signal modulation with blue-yellow stimulus chromaticies. All error bars are +/- 1 SEM and significance asterisks indicate Benjamini-Hochberg corrected values.</w:t>
                            </w:r>
                            <w:bookmarkEnd w:id="679"/>
                            <w:bookmarkEnd w:id="680"/>
                          </w:p>
                          <w:p w14:paraId="053C1A61" w14:textId="77777777" w:rsidR="00C93BE0" w:rsidRDefault="00C93BE0" w:rsidP="009F3085"/>
                          <w:p w14:paraId="6DCCB3A8" w14:textId="77777777" w:rsidR="00C93BE0" w:rsidRDefault="00C93BE0" w:rsidP="009F3085"/>
                          <w:p w14:paraId="61152B9D" w14:textId="77777777" w:rsidR="00C93BE0" w:rsidRDefault="00C93BE0" w:rsidP="009F3085"/>
                          <w:p w14:paraId="04372258" w14:textId="77777777" w:rsidR="00C93BE0" w:rsidRDefault="00C93BE0" w:rsidP="009F3085"/>
                          <w:p w14:paraId="522D4A8E" w14:textId="77777777" w:rsidR="00C93BE0" w:rsidRDefault="00C93BE0" w:rsidP="009F30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F9059" id="Text Box 23" o:spid="_x0000_s1054" type="#_x0000_t202" style="position:absolute;margin-left:-148pt;margin-top:107.85pt;width:702pt;height:486.3pt;rotation:-9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" filled="f" stroked="f" strokeweight=".5pt">
                <v:textbox>
                  <w:txbxContent>
                    <w:p w14:paraId="4B550092" w14:textId="77777777" w:rsidR="00C93BE0" w:rsidRDefault="00C93BE0" w:rsidP="009F3085">
                      <w:pPr>
                        <w:keepNext/>
                        <w:jc w:val="center"/>
                      </w:pPr>
                      <w:r>
                        <w:rPr>
                          <w:noProof/>
                          <w:lang w:eastAsia="en-GB"/>
                        </w:rPr>
                        <w:drawing>
                          <wp:inline distT="0" distB="0" distL="0" distR="0" wp14:anchorId="2E921975" wp14:editId="35E75840">
                            <wp:extent cx="7050188" cy="400472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ivariate_colour_combined.png"/>
                                    <pic:cNvPicPr/>
                                  </pic:nvPicPr>
                                  <pic:blipFill rotWithShape="1">
                                    <a:blip r:embed="rId59">
                                      <a:extLst>
                                        <a:ext uri="{28A0092B-C50C-407E-A947-70E740481C1C}">
                                          <a14:useLocalDpi xmlns:a14="http://schemas.microsoft.com/office/drawing/2010/main" val="0"/>
                                        </a:ext>
                                      </a:extLst>
                                    </a:blip>
                                    <a:srcRect l="2896" r="8311" b="5100"/>
                                    <a:stretch/>
                                  </pic:blipFill>
                                  <pic:spPr bwMode="auto">
                                    <a:xfrm>
                                      <a:off x="0" y="0"/>
                                      <a:ext cx="7057731" cy="4009011"/>
                                    </a:xfrm>
                                    <a:prstGeom prst="rect">
                                      <a:avLst/>
                                    </a:prstGeom>
                                    <a:ln>
                                      <a:noFill/>
                                    </a:ln>
                                    <a:extLst>
                                      <a:ext uri="{53640926-AAD7-44D8-BBD7-CCE9431645EC}">
                                        <a14:shadowObscured xmlns:a14="http://schemas.microsoft.com/office/drawing/2010/main"/>
                                      </a:ext>
                                    </a:extLst>
                                  </pic:spPr>
                                </pic:pic>
                              </a:graphicData>
                            </a:graphic>
                          </wp:inline>
                        </w:drawing>
                      </w:r>
                    </w:p>
                    <w:p w14:paraId="1703BB7B" w14:textId="7350703A" w:rsidR="00C93BE0" w:rsidRPr="00E97A0F" w:rsidRDefault="00C93BE0" w:rsidP="009F3085">
                      <w:pPr>
                        <w:pStyle w:val="Caption"/>
                        <w:spacing w:line="360" w:lineRule="auto"/>
                        <w:jc w:val="both"/>
                        <w:rPr>
                          <w:rFonts w:ascii="Arial" w:hAnsi="Arial" w:cs="Arial"/>
                          <w:i w:val="0"/>
                          <w:color w:val="000000" w:themeColor="text1"/>
                          <w:sz w:val="24"/>
                          <w:szCs w:val="24"/>
                        </w:rPr>
                      </w:pPr>
                      <w:bookmarkStart w:id="728" w:name="_Toc12363356"/>
                      <w:bookmarkStart w:id="729" w:name="_Toc16242713"/>
                      <w:r w:rsidRPr="00E97A0F">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E97A0F">
                        <w:rPr>
                          <w:rFonts w:ascii="Arial" w:hAnsi="Arial" w:cs="Arial"/>
                          <w:i w:val="0"/>
                          <w:color w:val="000000" w:themeColor="text1"/>
                          <w:sz w:val="24"/>
                          <w:szCs w:val="24"/>
                        </w:rPr>
                        <w:t xml:space="preserve"> </w:t>
                      </w:r>
                      <w:r w:rsidRPr="00E97A0F">
                        <w:rPr>
                          <w:rFonts w:ascii="Arial" w:hAnsi="Arial" w:cs="Arial"/>
                          <w:i w:val="0"/>
                          <w:iCs w:val="0"/>
                          <w:color w:val="000000" w:themeColor="text1"/>
                          <w:sz w:val="24"/>
                          <w:szCs w:val="24"/>
                          <w:lang w:val="en-US"/>
                        </w:rPr>
                        <w:t>Univariate responses to chromatic stimuli exhibit attentional modulation, and BOLD signal modulation is significantly weaker with attention to blue-yellow stimuli than red-green. A) Mean BOLD modulation due to attention: positive values reflect greater BOLD amplitude during directed attention (averaged across orientation, contrast and shape attentional conditions). Data are shown for 5 visual ROIs: V1, V3A/B, hV4, LO-1 and LO-2 as well as a control area (auditory area A1). Almost all visual ROIs in every comparison exhibit significant increases in activity in the attend vs passive comparison. B) Colour-specific attentional modulations averaged over all low-level visual feature modulation types. All visual ROIs show significantly lower signal modulation with blue-yellow stimulus chromaticies. All error bars are +/- 1 SEM and significance asterisks indicate Benjamini-Hochberg corrected values.</w:t>
                      </w:r>
                      <w:bookmarkEnd w:id="728"/>
                      <w:bookmarkEnd w:id="729"/>
                    </w:p>
                    <w:p w14:paraId="053C1A61" w14:textId="77777777" w:rsidR="00C93BE0" w:rsidRDefault="00C93BE0" w:rsidP="009F3085"/>
                    <w:p w14:paraId="6DCCB3A8" w14:textId="77777777" w:rsidR="00C93BE0" w:rsidRDefault="00C93BE0" w:rsidP="009F3085"/>
                    <w:p w14:paraId="61152B9D" w14:textId="77777777" w:rsidR="00C93BE0" w:rsidRDefault="00C93BE0" w:rsidP="009F3085"/>
                    <w:p w14:paraId="04372258" w14:textId="77777777" w:rsidR="00C93BE0" w:rsidRDefault="00C93BE0" w:rsidP="009F3085"/>
                    <w:p w14:paraId="522D4A8E" w14:textId="77777777" w:rsidR="00C93BE0" w:rsidRDefault="00C93BE0" w:rsidP="009F3085"/>
                  </w:txbxContent>
                </v:textbox>
                <w10:wrap type="square"/>
              </v:shape>
            </w:pict>
          </mc:Fallback>
        </mc:AlternateContent>
      </w:r>
    </w:p>
    <w:p w14:paraId="0F653EA8" w14:textId="77777777" w:rsidR="006832FB" w:rsidRDefault="006832FB" w:rsidP="001811CC">
      <w:pPr>
        <w:pStyle w:val="Heading3"/>
        <w:numPr>
          <w:ilvl w:val="2"/>
          <w:numId w:val="6"/>
        </w:numPr>
        <w:rPr>
          <w:rFonts w:ascii="Arial" w:hAnsi="Arial" w:cs="Arial"/>
          <w:b/>
          <w:i/>
          <w:color w:val="000000" w:themeColor="text1"/>
          <w:sz w:val="28"/>
          <w:szCs w:val="28"/>
        </w:rPr>
      </w:pPr>
      <w:bookmarkStart w:id="681" w:name="_Toc11148030"/>
      <w:bookmarkStart w:id="682" w:name="_Toc11153979"/>
      <w:bookmarkStart w:id="683" w:name="_Toc11753668"/>
      <w:bookmarkStart w:id="684" w:name="_Toc11926854"/>
      <w:bookmarkStart w:id="685" w:name="_Toc11930113"/>
      <w:bookmarkStart w:id="686" w:name="_Toc16075429"/>
      <w:bookmarkStart w:id="687" w:name="_Toc16237026"/>
      <w:r w:rsidRPr="00734436">
        <w:rPr>
          <w:rFonts w:ascii="Arial" w:hAnsi="Arial" w:cs="Arial"/>
          <w:b/>
          <w:i/>
          <w:color w:val="000000" w:themeColor="text1"/>
          <w:sz w:val="28"/>
          <w:szCs w:val="28"/>
        </w:rPr>
        <w:lastRenderedPageBreak/>
        <w:t>Multivariate Analysis</w:t>
      </w:r>
      <w:bookmarkEnd w:id="681"/>
      <w:bookmarkEnd w:id="682"/>
      <w:bookmarkEnd w:id="683"/>
      <w:bookmarkEnd w:id="684"/>
      <w:bookmarkEnd w:id="685"/>
      <w:bookmarkEnd w:id="686"/>
      <w:bookmarkEnd w:id="687"/>
    </w:p>
    <w:p w14:paraId="3A217006" w14:textId="77777777" w:rsidR="00734436" w:rsidRPr="00734436" w:rsidRDefault="00734436" w:rsidP="00734436"/>
    <w:p w14:paraId="2FD36A7A" w14:textId="77777777" w:rsidR="006832FB" w:rsidRPr="00734436" w:rsidRDefault="006832FB" w:rsidP="001811CC">
      <w:pPr>
        <w:pStyle w:val="Heading4"/>
        <w:numPr>
          <w:ilvl w:val="3"/>
          <w:numId w:val="6"/>
        </w:numPr>
        <w:rPr>
          <w:rFonts w:ascii="Arial" w:hAnsi="Arial" w:cs="Arial"/>
          <w:color w:val="000000" w:themeColor="text1"/>
          <w:sz w:val="28"/>
          <w:szCs w:val="28"/>
        </w:rPr>
      </w:pPr>
      <w:bookmarkStart w:id="688" w:name="_Toc11148031"/>
      <w:bookmarkStart w:id="689" w:name="_Toc11153980"/>
      <w:bookmarkStart w:id="690" w:name="_Toc11930114"/>
      <w:bookmarkStart w:id="691" w:name="_Toc16075430"/>
      <w:r w:rsidRPr="00734436">
        <w:rPr>
          <w:rFonts w:ascii="Arial" w:hAnsi="Arial" w:cs="Arial"/>
          <w:color w:val="000000" w:themeColor="text1"/>
          <w:sz w:val="28"/>
          <w:szCs w:val="28"/>
        </w:rPr>
        <w:t>Feature Analysis</w:t>
      </w:r>
      <w:bookmarkEnd w:id="688"/>
      <w:bookmarkEnd w:id="689"/>
      <w:bookmarkEnd w:id="690"/>
      <w:bookmarkEnd w:id="691"/>
    </w:p>
    <w:p w14:paraId="5CA88B0F" w14:textId="77777777" w:rsidR="006832FB" w:rsidRPr="00225AB0" w:rsidRDefault="006832FB" w:rsidP="006832FB">
      <w:pPr>
        <w:spacing w:line="480" w:lineRule="auto"/>
        <w:rPr>
          <w:rFonts w:ascii="Arial" w:hAnsi="Arial" w:cs="Arial"/>
        </w:rPr>
      </w:pPr>
      <w:r w:rsidRPr="00225AB0">
        <w:rPr>
          <w:rFonts w:ascii="Arial" w:hAnsi="Arial" w:cs="Arial"/>
        </w:rPr>
        <w:t xml:space="preserve">The overall BOLD activity during attentional focus was significantly greater than passive viewing in all visual ROIs. However, we identified relatively little evidence of differential patterns of BOLD signal modulation when comparing attention to orientation, contrast and shape at the univariate level. We then sought to investigate whether we could decode attention focus through examination of fine-grain patterns of activation across voxels. To do this, we performed a three-way multivariate pattern classification analysis on the feature-attention responses, simultaneously classifying orientation, contrast and shape modulations (averaged across chromatic conditions). One-sample Wilcoxon signed-rank tests versus chance (33%) revealed it was possible to decode the feature held in attentional focus in all visual ROIs  (V1: Z(11) = 3.06, </w:t>
      </w:r>
      <w:r w:rsidRPr="00225AB0">
        <w:rPr>
          <w:rFonts w:ascii="Arial" w:hAnsi="Arial" w:cs="Arial"/>
          <w:i/>
        </w:rPr>
        <w:t>p</w:t>
      </w:r>
      <w:r w:rsidRPr="00225AB0">
        <w:rPr>
          <w:rFonts w:ascii="Arial" w:hAnsi="Arial" w:cs="Arial"/>
        </w:rPr>
        <w:t xml:space="preserve"> = .015, V3A/B: Z(11) = 2.83, </w:t>
      </w:r>
      <w:r w:rsidRPr="00225AB0">
        <w:rPr>
          <w:rFonts w:ascii="Arial" w:hAnsi="Arial" w:cs="Arial"/>
          <w:i/>
        </w:rPr>
        <w:t>p</w:t>
      </w:r>
      <w:r w:rsidRPr="00225AB0">
        <w:rPr>
          <w:rFonts w:ascii="Arial" w:hAnsi="Arial" w:cs="Arial"/>
        </w:rPr>
        <w:t xml:space="preserve"> = .015, hV4: Z(11) = 2.80, </w:t>
      </w:r>
      <w:r w:rsidRPr="00225AB0">
        <w:rPr>
          <w:rFonts w:ascii="Arial" w:hAnsi="Arial" w:cs="Arial"/>
          <w:i/>
        </w:rPr>
        <w:t>p</w:t>
      </w:r>
      <w:r w:rsidRPr="00225AB0">
        <w:rPr>
          <w:rFonts w:ascii="Arial" w:hAnsi="Arial" w:cs="Arial"/>
        </w:rPr>
        <w:t xml:space="preserve"> = .015, LO-1: Z(11) = 2.95, </w:t>
      </w:r>
      <w:r w:rsidRPr="00225AB0">
        <w:rPr>
          <w:rFonts w:ascii="Arial" w:hAnsi="Arial" w:cs="Arial"/>
          <w:i/>
        </w:rPr>
        <w:t>p</w:t>
      </w:r>
      <w:r w:rsidRPr="00225AB0">
        <w:rPr>
          <w:rFonts w:ascii="Arial" w:hAnsi="Arial" w:cs="Arial"/>
        </w:rPr>
        <w:t xml:space="preserve"> = .015, LO-2: Z(11) = 2.98, </w:t>
      </w:r>
      <w:r w:rsidRPr="00225AB0">
        <w:rPr>
          <w:rFonts w:ascii="Arial" w:hAnsi="Arial" w:cs="Arial"/>
          <w:i/>
        </w:rPr>
        <w:t>p</w:t>
      </w:r>
      <w:r w:rsidRPr="00225AB0">
        <w:rPr>
          <w:rFonts w:ascii="Arial" w:hAnsi="Arial" w:cs="Arial"/>
        </w:rPr>
        <w:t xml:space="preserve"> = .015). Classification accuracy ranged from 50.18 to 60.35%. In control ROI A1, classification accuracy was not significantly above chance level performance (</w:t>
      </w:r>
      <w:proofErr w:type="gramStart"/>
      <w:r w:rsidRPr="00225AB0">
        <w:rPr>
          <w:rFonts w:ascii="Arial" w:hAnsi="Arial" w:cs="Arial"/>
        </w:rPr>
        <w:t>Z(</w:t>
      </w:r>
      <w:proofErr w:type="gramEnd"/>
      <w:r w:rsidRPr="00225AB0">
        <w:rPr>
          <w:rFonts w:ascii="Arial" w:hAnsi="Arial" w:cs="Arial"/>
        </w:rPr>
        <w:t xml:space="preserve">11) = 0.31, </w:t>
      </w:r>
      <w:r w:rsidRPr="00225AB0">
        <w:rPr>
          <w:rFonts w:ascii="Arial" w:hAnsi="Arial" w:cs="Arial"/>
          <w:i/>
        </w:rPr>
        <w:t>p</w:t>
      </w:r>
      <w:r w:rsidRPr="00225AB0">
        <w:rPr>
          <w:rFonts w:ascii="Arial" w:hAnsi="Arial" w:cs="Arial"/>
        </w:rPr>
        <w:t xml:space="preserve"> = 1.85) (see Figure</w:t>
      </w:r>
      <w:r w:rsidR="0068545F">
        <w:rPr>
          <w:rFonts w:ascii="Arial" w:hAnsi="Arial" w:cs="Arial"/>
        </w:rPr>
        <w:t xml:space="preserve"> 5.</w:t>
      </w:r>
      <w:r w:rsidRPr="00225AB0">
        <w:rPr>
          <w:rFonts w:ascii="Arial" w:hAnsi="Arial" w:cs="Arial"/>
        </w:rPr>
        <w:t xml:space="preserve">4A). </w:t>
      </w:r>
    </w:p>
    <w:p w14:paraId="48EB95E4" w14:textId="77777777" w:rsidR="006832FB" w:rsidRPr="00225AB0" w:rsidRDefault="006832FB" w:rsidP="006832FB">
      <w:pPr>
        <w:spacing w:line="480" w:lineRule="auto"/>
        <w:rPr>
          <w:rFonts w:ascii="Arial" w:hAnsi="Arial" w:cs="Arial"/>
        </w:rPr>
      </w:pPr>
    </w:p>
    <w:p w14:paraId="10E224B2" w14:textId="77777777" w:rsidR="006832FB" w:rsidRPr="00225AB0" w:rsidRDefault="006832FB" w:rsidP="006832FB">
      <w:pPr>
        <w:spacing w:line="480" w:lineRule="auto"/>
        <w:rPr>
          <w:rFonts w:ascii="Arial" w:hAnsi="Arial" w:cs="Arial"/>
        </w:rPr>
      </w:pPr>
      <w:r w:rsidRPr="00225AB0">
        <w:rPr>
          <w:rFonts w:ascii="Arial" w:hAnsi="Arial" w:cs="Arial"/>
        </w:rPr>
        <w:t xml:space="preserve">To further analyse these significant classifications of attentional state, we conducted multiple pair-wise SVM decoding analyses to determine the driving forces behind successful multi-class decoding. Classification accuracies were compared with chance-level performance (50%) through one-sample Wilcoxon signed-rank tests, adjusted for multiple comparisons (number of comparisons across ROIs) using Benjamini-Hochberg correction. </w:t>
      </w:r>
    </w:p>
    <w:p w14:paraId="4EA68479" w14:textId="3EE4F299" w:rsidR="006832FB" w:rsidRDefault="006832FB" w:rsidP="006832FB">
      <w:pPr>
        <w:spacing w:line="480" w:lineRule="auto"/>
        <w:rPr>
          <w:rFonts w:ascii="Arial" w:hAnsi="Arial" w:cs="Arial"/>
        </w:rPr>
      </w:pPr>
      <w:r w:rsidRPr="00225AB0">
        <w:rPr>
          <w:rFonts w:ascii="Arial" w:hAnsi="Arial" w:cs="Arial"/>
        </w:rPr>
        <w:lastRenderedPageBreak/>
        <w:t>In all visual ROIs, we demonstrated successful classification of attention to orientation versus</w:t>
      </w:r>
      <w:r w:rsidR="000F7CA8">
        <w:rPr>
          <w:rFonts w:ascii="Arial" w:hAnsi="Arial" w:cs="Arial"/>
        </w:rPr>
        <w:t>. I</w:t>
      </w:r>
      <w:r w:rsidRPr="00225AB0">
        <w:rPr>
          <w:rFonts w:ascii="Arial" w:hAnsi="Arial" w:cs="Arial"/>
        </w:rPr>
        <w:t>n almost all ROIs, we also identified successful classification between attention to orientation and contrast</w:t>
      </w:r>
      <w:r w:rsidR="000F7CA8">
        <w:rPr>
          <w:rFonts w:ascii="Arial" w:hAnsi="Arial" w:cs="Arial"/>
        </w:rPr>
        <w:t xml:space="preserve">. </w:t>
      </w:r>
      <w:r w:rsidRPr="00225AB0">
        <w:rPr>
          <w:rFonts w:ascii="Arial" w:hAnsi="Arial" w:cs="Arial"/>
        </w:rPr>
        <w:t>Additional above-chance classification accuracies were demonstrated between attention to contrast and attention to shape in V</w:t>
      </w:r>
      <w:proofErr w:type="gramStart"/>
      <w:r w:rsidRPr="00225AB0">
        <w:rPr>
          <w:rFonts w:ascii="Arial" w:hAnsi="Arial" w:cs="Arial"/>
        </w:rPr>
        <w:t>1</w:t>
      </w:r>
      <w:r w:rsidR="000F7CA8">
        <w:rPr>
          <w:rFonts w:ascii="Arial" w:hAnsi="Arial" w:cs="Arial"/>
        </w:rPr>
        <w:t>,V</w:t>
      </w:r>
      <w:proofErr w:type="gramEnd"/>
      <w:r w:rsidR="000F7CA8">
        <w:rPr>
          <w:rFonts w:ascii="Arial" w:hAnsi="Arial" w:cs="Arial"/>
        </w:rPr>
        <w:t>3A</w:t>
      </w:r>
      <w:r w:rsidRPr="00225AB0">
        <w:rPr>
          <w:rFonts w:ascii="Arial" w:hAnsi="Arial" w:cs="Arial"/>
        </w:rPr>
        <w:t>/B</w:t>
      </w:r>
      <w:r w:rsidR="000F7CA8">
        <w:rPr>
          <w:rFonts w:ascii="Arial" w:hAnsi="Arial" w:cs="Arial"/>
        </w:rPr>
        <w:t xml:space="preserve"> </w:t>
      </w:r>
      <w:r w:rsidRPr="00225AB0">
        <w:rPr>
          <w:rFonts w:ascii="Arial" w:hAnsi="Arial" w:cs="Arial"/>
        </w:rPr>
        <w:t>and LO-2 (see Figure</w:t>
      </w:r>
      <w:r w:rsidR="0068545F">
        <w:rPr>
          <w:rFonts w:ascii="Arial" w:hAnsi="Arial" w:cs="Arial"/>
        </w:rPr>
        <w:t xml:space="preserve"> 5.</w:t>
      </w:r>
      <w:r w:rsidRPr="00225AB0">
        <w:rPr>
          <w:rFonts w:ascii="Arial" w:hAnsi="Arial" w:cs="Arial"/>
        </w:rPr>
        <w:t>4B</w:t>
      </w:r>
      <w:r w:rsidR="000F7CA8">
        <w:rPr>
          <w:rFonts w:ascii="Arial" w:hAnsi="Arial" w:cs="Arial"/>
        </w:rPr>
        <w:t xml:space="preserve"> and Table 5.1</w:t>
      </w:r>
      <w:r w:rsidRPr="00225AB0">
        <w:rPr>
          <w:rFonts w:ascii="Arial" w:hAnsi="Arial" w:cs="Arial"/>
        </w:rPr>
        <w:t xml:space="preserve">). </w:t>
      </w:r>
    </w:p>
    <w:p w14:paraId="47F005E0" w14:textId="0DD86240" w:rsidR="000F7CA8" w:rsidRPr="00225AB0" w:rsidRDefault="000F7CA8" w:rsidP="006832FB">
      <w:pPr>
        <w:spacing w:line="480" w:lineRule="auto"/>
        <w:rPr>
          <w:rFonts w:ascii="Arial" w:hAnsi="Arial" w:cs="Arial"/>
        </w:rPr>
      </w:pPr>
      <w:r>
        <w:rPr>
          <w:rFonts w:ascii="Arial" w:hAnsi="Arial" w:cs="Arial"/>
          <w:i/>
          <w:noProof/>
          <w:color w:val="0D0D0D" w:themeColor="text1" w:themeTint="F2"/>
        </w:rPr>
        <mc:AlternateContent>
          <mc:Choice Requires="wps">
            <w:drawing>
              <wp:anchor distT="0" distB="0" distL="114300" distR="114300" simplePos="0" relativeHeight="251856896" behindDoc="0" locked="0" layoutInCell="1" allowOverlap="1" wp14:anchorId="413DE639" wp14:editId="7EB602A7">
                <wp:simplePos x="0" y="0"/>
                <wp:positionH relativeFrom="column">
                  <wp:posOffset>0</wp:posOffset>
                </wp:positionH>
                <wp:positionV relativeFrom="paragraph">
                  <wp:posOffset>349250</wp:posOffset>
                </wp:positionV>
                <wp:extent cx="5813425" cy="2325370"/>
                <wp:effectExtent l="0" t="0" r="0" b="0"/>
                <wp:wrapSquare wrapText="bothSides"/>
                <wp:docPr id="69" name="Text Box 69"/>
                <wp:cNvGraphicFramePr/>
                <a:graphic xmlns:a="http://schemas.openxmlformats.org/drawingml/2006/main">
                  <a:graphicData uri="http://schemas.microsoft.com/office/word/2010/wordprocessingShape">
                    <wps:wsp>
                      <wps:cNvSpPr txBox="1"/>
                      <wps:spPr>
                        <a:xfrm>
                          <a:off x="0" y="0"/>
                          <a:ext cx="5813425" cy="2325370"/>
                        </a:xfrm>
                        <a:prstGeom prst="rect">
                          <a:avLst/>
                        </a:prstGeom>
                        <a:noFill/>
                        <a:ln w="6350">
                          <a:noFill/>
                        </a:ln>
                      </wps:spPr>
                      <wps:txbx>
                        <w:txbxContent>
                          <w:p w14:paraId="50B2A5FF" w14:textId="77777777" w:rsidR="00C93BE0" w:rsidRPr="00A92335" w:rsidRDefault="00C93BE0" w:rsidP="000F7CA8">
                            <w:pPr>
                              <w:pStyle w:val="Caption"/>
                              <w:keepNext/>
                              <w:rPr>
                                <w:rFonts w:ascii="Arial" w:hAnsi="Arial" w:cs="Arial"/>
                                <w:i w:val="0"/>
                                <w:iCs w:val="0"/>
                                <w:color w:val="000000" w:themeColor="text1"/>
                                <w:sz w:val="24"/>
                                <w:szCs w:val="24"/>
                              </w:rPr>
                            </w:pPr>
                            <w:r w:rsidRPr="00A92335">
                              <w:rPr>
                                <w:rFonts w:ascii="Arial" w:hAnsi="Arial" w:cs="Arial"/>
                                <w:b/>
                                <w:bCs/>
                                <w:i w:val="0"/>
                                <w:iCs w:val="0"/>
                                <w:color w:val="000000" w:themeColor="text1"/>
                                <w:sz w:val="24"/>
                                <w:szCs w:val="24"/>
                              </w:rPr>
                              <w:t xml:space="preserve">Table </w:t>
                            </w:r>
                            <w:r>
                              <w:rPr>
                                <w:rFonts w:ascii="Arial" w:hAnsi="Arial" w:cs="Arial"/>
                                <w:b/>
                                <w:bCs/>
                                <w:i w:val="0"/>
                                <w:iCs w:val="0"/>
                                <w:color w:val="000000" w:themeColor="text1"/>
                                <w:sz w:val="24"/>
                                <w:szCs w:val="24"/>
                              </w:rPr>
                              <w:t>5</w:t>
                            </w:r>
                            <w:r w:rsidRPr="00A92335">
                              <w:rPr>
                                <w:rFonts w:ascii="Arial" w:hAnsi="Arial" w:cs="Arial"/>
                                <w:b/>
                                <w:bCs/>
                                <w:i w:val="0"/>
                                <w:iCs w:val="0"/>
                                <w:color w:val="000000" w:themeColor="text1"/>
                                <w:sz w:val="24"/>
                                <w:szCs w:val="24"/>
                              </w:rPr>
                              <w:t>.</w:t>
                            </w:r>
                            <w:r>
                              <w:rPr>
                                <w:rFonts w:ascii="Arial" w:hAnsi="Arial" w:cs="Arial"/>
                                <w:b/>
                                <w:bCs/>
                                <w:i w:val="0"/>
                                <w:iCs w:val="0"/>
                                <w:color w:val="000000" w:themeColor="text1"/>
                                <w:sz w:val="24"/>
                                <w:szCs w:val="24"/>
                              </w:rPr>
                              <w:t xml:space="preserve">1 </w:t>
                            </w:r>
                            <w:r>
                              <w:rPr>
                                <w:rFonts w:ascii="Arial" w:hAnsi="Arial" w:cs="Arial"/>
                                <w:i w:val="0"/>
                                <w:iCs w:val="0"/>
                                <w:color w:val="000000" w:themeColor="text1"/>
                                <w:sz w:val="24"/>
                                <w:szCs w:val="24"/>
                              </w:rPr>
                              <w:t xml:space="preserve">Attention directed toward orientation, contrast and shape can be decoded through two-way classification in visual ROIs.  </w:t>
                            </w:r>
                          </w:p>
                          <w:tbl>
                            <w:tblPr>
                              <w:tblStyle w:val="TableGrid"/>
                              <w:tblW w:w="0" w:type="auto"/>
                              <w:tblLook w:val="04A0" w:firstRow="1" w:lastRow="0" w:firstColumn="1" w:lastColumn="0" w:noHBand="0" w:noVBand="1"/>
                            </w:tblPr>
                            <w:tblGrid>
                              <w:gridCol w:w="974"/>
                              <w:gridCol w:w="1285"/>
                              <w:gridCol w:w="1569"/>
                              <w:gridCol w:w="1076"/>
                              <w:gridCol w:w="1475"/>
                              <w:gridCol w:w="1079"/>
                              <w:gridCol w:w="1204"/>
                            </w:tblGrid>
                            <w:tr w:rsidR="00C93BE0" w14:paraId="31E96138" w14:textId="77777777" w:rsidTr="004E41A6">
                              <w:tc>
                                <w:tcPr>
                                  <w:tcW w:w="974" w:type="dxa"/>
                                  <w:tcBorders>
                                    <w:top w:val="single" w:sz="18" w:space="0" w:color="000000"/>
                                    <w:left w:val="nil"/>
                                    <w:bottom w:val="single" w:sz="8" w:space="0" w:color="000000"/>
                                    <w:right w:val="nil"/>
                                  </w:tcBorders>
                                </w:tcPr>
                                <w:p w14:paraId="7096FF13" w14:textId="77777777" w:rsidR="00C93BE0" w:rsidRPr="006F0EDD" w:rsidRDefault="00C93BE0" w:rsidP="004E41A6">
                                  <w:pPr>
                                    <w:rPr>
                                      <w:rFonts w:ascii="Arial" w:hAnsi="Arial" w:cs="Arial"/>
                                    </w:rPr>
                                  </w:pPr>
                                </w:p>
                              </w:tc>
                              <w:tc>
                                <w:tcPr>
                                  <w:tcW w:w="2854" w:type="dxa"/>
                                  <w:gridSpan w:val="2"/>
                                  <w:tcBorders>
                                    <w:top w:val="single" w:sz="18" w:space="0" w:color="000000"/>
                                    <w:left w:val="nil"/>
                                    <w:bottom w:val="single" w:sz="8" w:space="0" w:color="000000"/>
                                    <w:right w:val="nil"/>
                                  </w:tcBorders>
                                </w:tcPr>
                                <w:p w14:paraId="6BC47B21" w14:textId="77777777" w:rsidR="00C93BE0" w:rsidRPr="006F0EDD" w:rsidRDefault="00C93BE0" w:rsidP="004E41A6">
                                  <w:pPr>
                                    <w:rPr>
                                      <w:rFonts w:ascii="Arial" w:hAnsi="Arial" w:cs="Arial"/>
                                    </w:rPr>
                                  </w:pPr>
                                  <w:r w:rsidRPr="006F0EDD">
                                    <w:rPr>
                                      <w:rFonts w:ascii="Arial" w:hAnsi="Arial" w:cs="Arial"/>
                                    </w:rPr>
                                    <w:t xml:space="preserve">Orientation </w:t>
                                  </w:r>
                                  <w:r>
                                    <w:rPr>
                                      <w:rFonts w:ascii="Arial" w:hAnsi="Arial" w:cs="Arial"/>
                                    </w:rPr>
                                    <w:t>vs.</w:t>
                                  </w:r>
                                  <w:r w:rsidRPr="006F0EDD">
                                    <w:rPr>
                                      <w:rFonts w:ascii="Arial" w:hAnsi="Arial" w:cs="Arial"/>
                                    </w:rPr>
                                    <w:t xml:space="preserve"> </w:t>
                                  </w:r>
                                  <w:r>
                                    <w:rPr>
                                      <w:rFonts w:ascii="Arial" w:hAnsi="Arial" w:cs="Arial"/>
                                    </w:rPr>
                                    <w:t>Contrast</w:t>
                                  </w:r>
                                </w:p>
                              </w:tc>
                              <w:tc>
                                <w:tcPr>
                                  <w:tcW w:w="2551" w:type="dxa"/>
                                  <w:gridSpan w:val="2"/>
                                  <w:tcBorders>
                                    <w:top w:val="single" w:sz="18" w:space="0" w:color="000000"/>
                                    <w:left w:val="nil"/>
                                    <w:bottom w:val="single" w:sz="8" w:space="0" w:color="000000"/>
                                    <w:right w:val="nil"/>
                                  </w:tcBorders>
                                </w:tcPr>
                                <w:p w14:paraId="6BB48B4F" w14:textId="77777777" w:rsidR="00C93BE0" w:rsidRPr="006F0EDD" w:rsidRDefault="00C93BE0" w:rsidP="004E41A6">
                                  <w:pPr>
                                    <w:rPr>
                                      <w:rFonts w:ascii="Arial" w:hAnsi="Arial" w:cs="Arial"/>
                                    </w:rPr>
                                  </w:pPr>
                                  <w:r w:rsidRPr="006F0EDD">
                                    <w:rPr>
                                      <w:rFonts w:ascii="Arial" w:hAnsi="Arial" w:cs="Arial"/>
                                    </w:rPr>
                                    <w:t xml:space="preserve">Orientation </w:t>
                                  </w:r>
                                  <w:r>
                                    <w:rPr>
                                      <w:rFonts w:ascii="Arial" w:hAnsi="Arial" w:cs="Arial"/>
                                    </w:rPr>
                                    <w:t>vs.</w:t>
                                  </w:r>
                                  <w:r w:rsidRPr="006F0EDD">
                                    <w:rPr>
                                      <w:rFonts w:ascii="Arial" w:hAnsi="Arial" w:cs="Arial"/>
                                    </w:rPr>
                                    <w:t xml:space="preserve"> </w:t>
                                  </w:r>
                                  <w:r>
                                    <w:rPr>
                                      <w:rFonts w:ascii="Arial" w:hAnsi="Arial" w:cs="Arial"/>
                                    </w:rPr>
                                    <w:t>Shape</w:t>
                                  </w:r>
                                </w:p>
                              </w:tc>
                              <w:tc>
                                <w:tcPr>
                                  <w:tcW w:w="2283" w:type="dxa"/>
                                  <w:gridSpan w:val="2"/>
                                  <w:tcBorders>
                                    <w:top w:val="single" w:sz="18" w:space="0" w:color="000000"/>
                                    <w:left w:val="nil"/>
                                    <w:bottom w:val="single" w:sz="8" w:space="0" w:color="000000"/>
                                    <w:right w:val="nil"/>
                                  </w:tcBorders>
                                </w:tcPr>
                                <w:p w14:paraId="08514C50" w14:textId="77777777" w:rsidR="00C93BE0" w:rsidRPr="006F0EDD" w:rsidRDefault="00C93BE0" w:rsidP="004E41A6">
                                  <w:pPr>
                                    <w:rPr>
                                      <w:rFonts w:ascii="Arial" w:hAnsi="Arial" w:cs="Arial"/>
                                    </w:rPr>
                                  </w:pPr>
                                  <w:r w:rsidRPr="006F0EDD">
                                    <w:rPr>
                                      <w:rFonts w:ascii="Arial" w:hAnsi="Arial" w:cs="Arial"/>
                                    </w:rPr>
                                    <w:t xml:space="preserve">Contrast </w:t>
                                  </w:r>
                                  <w:r>
                                    <w:rPr>
                                      <w:rFonts w:ascii="Arial" w:hAnsi="Arial" w:cs="Arial"/>
                                    </w:rPr>
                                    <w:t>vs.</w:t>
                                  </w:r>
                                  <w:r w:rsidRPr="006F0EDD">
                                    <w:rPr>
                                      <w:rFonts w:ascii="Arial" w:hAnsi="Arial" w:cs="Arial"/>
                                    </w:rPr>
                                    <w:t xml:space="preserve"> Shape</w:t>
                                  </w:r>
                                </w:p>
                              </w:tc>
                            </w:tr>
                            <w:tr w:rsidR="00C93BE0" w14:paraId="407A176A"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bottom w:val="single" w:sz="8" w:space="0" w:color="000000"/>
                                  </w:tcBorders>
                                </w:tcPr>
                                <w:p w14:paraId="6143781C" w14:textId="77777777" w:rsidR="00C93BE0" w:rsidRPr="006F0EDD" w:rsidRDefault="00C93BE0" w:rsidP="004E41A6">
                                  <w:pPr>
                                    <w:jc w:val="center"/>
                                    <w:rPr>
                                      <w:rFonts w:ascii="Arial" w:hAnsi="Arial" w:cs="Arial"/>
                                    </w:rPr>
                                  </w:pPr>
                                  <w:r>
                                    <w:rPr>
                                      <w:rFonts w:ascii="Arial" w:hAnsi="Arial" w:cs="Arial"/>
                                    </w:rPr>
                                    <w:t>ROI</w:t>
                                  </w:r>
                                </w:p>
                              </w:tc>
                              <w:tc>
                                <w:tcPr>
                                  <w:tcW w:w="1285" w:type="dxa"/>
                                  <w:tcBorders>
                                    <w:top w:val="single" w:sz="8" w:space="0" w:color="000000"/>
                                    <w:bottom w:val="single" w:sz="8" w:space="0" w:color="auto"/>
                                  </w:tcBorders>
                                </w:tcPr>
                                <w:p w14:paraId="7463B10C" w14:textId="77777777" w:rsidR="00C93BE0" w:rsidRPr="006F0EDD" w:rsidRDefault="00C93BE0" w:rsidP="004E41A6">
                                  <w:pPr>
                                    <w:jc w:val="center"/>
                                    <w:rPr>
                                      <w:rFonts w:ascii="Arial" w:hAnsi="Arial" w:cs="Arial"/>
                                    </w:rPr>
                                  </w:pPr>
                                  <w:r>
                                    <w:rPr>
                                      <w:rFonts w:ascii="Arial" w:hAnsi="Arial" w:cs="Arial"/>
                                    </w:rPr>
                                    <w:t>Z</w:t>
                                  </w:r>
                                </w:p>
                              </w:tc>
                              <w:tc>
                                <w:tcPr>
                                  <w:tcW w:w="1569" w:type="dxa"/>
                                  <w:tcBorders>
                                    <w:top w:val="single" w:sz="8" w:space="0" w:color="000000"/>
                                    <w:bottom w:val="single" w:sz="8" w:space="0" w:color="auto"/>
                                  </w:tcBorders>
                                </w:tcPr>
                                <w:p w14:paraId="2F8C0243" w14:textId="77777777" w:rsidR="00C93BE0" w:rsidRPr="006F0EDD" w:rsidRDefault="00C93BE0" w:rsidP="004E41A6">
                                  <w:pPr>
                                    <w:jc w:val="center"/>
                                    <w:rPr>
                                      <w:rFonts w:ascii="Arial" w:hAnsi="Arial" w:cs="Arial"/>
                                      <w:i/>
                                      <w:iCs/>
                                    </w:rPr>
                                  </w:pPr>
                                  <w:r>
                                    <w:rPr>
                                      <w:rFonts w:ascii="Arial" w:hAnsi="Arial" w:cs="Arial"/>
                                      <w:i/>
                                      <w:iCs/>
                                    </w:rPr>
                                    <w:t>p</w:t>
                                  </w:r>
                                </w:p>
                              </w:tc>
                              <w:tc>
                                <w:tcPr>
                                  <w:tcW w:w="1076" w:type="dxa"/>
                                  <w:tcBorders>
                                    <w:top w:val="single" w:sz="8" w:space="0" w:color="000000"/>
                                    <w:bottom w:val="single" w:sz="8" w:space="0" w:color="auto"/>
                                  </w:tcBorders>
                                </w:tcPr>
                                <w:p w14:paraId="293F8335" w14:textId="77777777" w:rsidR="00C93BE0" w:rsidRPr="006F0EDD" w:rsidRDefault="00C93BE0" w:rsidP="004E41A6">
                                  <w:pPr>
                                    <w:jc w:val="center"/>
                                    <w:rPr>
                                      <w:rFonts w:ascii="Arial" w:hAnsi="Arial" w:cs="Arial"/>
                                    </w:rPr>
                                  </w:pPr>
                                  <w:r>
                                    <w:rPr>
                                      <w:rFonts w:ascii="Arial" w:hAnsi="Arial" w:cs="Arial"/>
                                    </w:rPr>
                                    <w:t>Z</w:t>
                                  </w:r>
                                </w:p>
                              </w:tc>
                              <w:tc>
                                <w:tcPr>
                                  <w:tcW w:w="1475" w:type="dxa"/>
                                  <w:tcBorders>
                                    <w:top w:val="single" w:sz="8" w:space="0" w:color="000000"/>
                                    <w:bottom w:val="single" w:sz="8" w:space="0" w:color="auto"/>
                                  </w:tcBorders>
                                </w:tcPr>
                                <w:p w14:paraId="04994AF2" w14:textId="77777777" w:rsidR="00C93BE0" w:rsidRPr="006F0EDD" w:rsidRDefault="00C93BE0" w:rsidP="004E41A6">
                                  <w:pPr>
                                    <w:jc w:val="center"/>
                                    <w:rPr>
                                      <w:rFonts w:ascii="Arial" w:hAnsi="Arial" w:cs="Arial"/>
                                      <w:i/>
                                      <w:iCs/>
                                    </w:rPr>
                                  </w:pPr>
                                  <w:r>
                                    <w:rPr>
                                      <w:rFonts w:ascii="Arial" w:hAnsi="Arial" w:cs="Arial"/>
                                      <w:i/>
                                      <w:iCs/>
                                    </w:rPr>
                                    <w:t>p</w:t>
                                  </w:r>
                                </w:p>
                              </w:tc>
                              <w:tc>
                                <w:tcPr>
                                  <w:tcW w:w="1079" w:type="dxa"/>
                                  <w:tcBorders>
                                    <w:top w:val="single" w:sz="8" w:space="0" w:color="000000"/>
                                    <w:bottom w:val="single" w:sz="8" w:space="0" w:color="auto"/>
                                  </w:tcBorders>
                                </w:tcPr>
                                <w:p w14:paraId="07DCCC5B" w14:textId="77777777" w:rsidR="00C93BE0" w:rsidRPr="006F0EDD" w:rsidRDefault="00C93BE0" w:rsidP="004E41A6">
                                  <w:pPr>
                                    <w:jc w:val="center"/>
                                    <w:rPr>
                                      <w:rFonts w:ascii="Arial" w:hAnsi="Arial" w:cs="Arial"/>
                                    </w:rPr>
                                  </w:pPr>
                                  <w:r>
                                    <w:rPr>
                                      <w:rFonts w:ascii="Arial" w:hAnsi="Arial" w:cs="Arial"/>
                                    </w:rPr>
                                    <w:t>Z</w:t>
                                  </w:r>
                                </w:p>
                              </w:tc>
                              <w:tc>
                                <w:tcPr>
                                  <w:tcW w:w="1204" w:type="dxa"/>
                                  <w:tcBorders>
                                    <w:top w:val="single" w:sz="8" w:space="0" w:color="000000"/>
                                    <w:bottom w:val="single" w:sz="8" w:space="0" w:color="auto"/>
                                  </w:tcBorders>
                                </w:tcPr>
                                <w:p w14:paraId="3C987981" w14:textId="77777777" w:rsidR="00C93BE0" w:rsidRPr="006F0EDD" w:rsidRDefault="00C93BE0" w:rsidP="004E41A6">
                                  <w:pPr>
                                    <w:jc w:val="center"/>
                                    <w:rPr>
                                      <w:rFonts w:ascii="Arial" w:hAnsi="Arial" w:cs="Arial"/>
                                      <w:i/>
                                      <w:iCs/>
                                    </w:rPr>
                                  </w:pPr>
                                  <w:r>
                                    <w:rPr>
                                      <w:rFonts w:ascii="Arial" w:hAnsi="Arial" w:cs="Arial"/>
                                      <w:i/>
                                      <w:iCs/>
                                    </w:rPr>
                                    <w:t>p</w:t>
                                  </w:r>
                                </w:p>
                              </w:tc>
                            </w:tr>
                            <w:tr w:rsidR="00C93BE0" w14:paraId="230BE1C9"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tcBorders>
                                </w:tcPr>
                                <w:p w14:paraId="26E11746" w14:textId="77777777" w:rsidR="00C93BE0" w:rsidRPr="006F0EDD" w:rsidRDefault="00C93BE0" w:rsidP="004E41A6">
                                  <w:pPr>
                                    <w:jc w:val="center"/>
                                    <w:rPr>
                                      <w:rFonts w:ascii="Arial" w:hAnsi="Arial" w:cs="Arial"/>
                                    </w:rPr>
                                  </w:pPr>
                                  <w:r w:rsidRPr="006F0EDD">
                                    <w:rPr>
                                      <w:rFonts w:ascii="Arial" w:hAnsi="Arial" w:cs="Arial"/>
                                    </w:rPr>
                                    <w:t>V1</w:t>
                                  </w:r>
                                </w:p>
                              </w:tc>
                              <w:tc>
                                <w:tcPr>
                                  <w:tcW w:w="1285" w:type="dxa"/>
                                  <w:tcBorders>
                                    <w:top w:val="single" w:sz="8" w:space="0" w:color="auto"/>
                                  </w:tcBorders>
                                </w:tcPr>
                                <w:p w14:paraId="2446A323" w14:textId="77777777" w:rsidR="00C93BE0" w:rsidRPr="006F0EDD" w:rsidRDefault="00C93BE0" w:rsidP="004E41A6">
                                  <w:pPr>
                                    <w:jc w:val="center"/>
                                    <w:rPr>
                                      <w:rFonts w:ascii="Arial" w:hAnsi="Arial" w:cs="Arial"/>
                                    </w:rPr>
                                  </w:pPr>
                                  <w:r>
                                    <w:rPr>
                                      <w:rFonts w:ascii="Arial" w:hAnsi="Arial" w:cs="Arial"/>
                                    </w:rPr>
                                    <w:t>2.67</w:t>
                                  </w:r>
                                </w:p>
                              </w:tc>
                              <w:tc>
                                <w:tcPr>
                                  <w:tcW w:w="1569" w:type="dxa"/>
                                  <w:tcBorders>
                                    <w:top w:val="single" w:sz="8" w:space="0" w:color="auto"/>
                                  </w:tcBorders>
                                </w:tcPr>
                                <w:p w14:paraId="44ED2CDD" w14:textId="77777777" w:rsidR="00C93BE0" w:rsidRPr="006F0EDD" w:rsidRDefault="00C93BE0" w:rsidP="004E41A6">
                                  <w:pPr>
                                    <w:jc w:val="center"/>
                                    <w:rPr>
                                      <w:rFonts w:ascii="Arial" w:hAnsi="Arial" w:cs="Arial"/>
                                    </w:rPr>
                                  </w:pPr>
                                  <w:r>
                                    <w:rPr>
                                      <w:rFonts w:ascii="Arial" w:hAnsi="Arial" w:cs="Arial"/>
                                    </w:rPr>
                                    <w:t>.034*</w:t>
                                  </w:r>
                                </w:p>
                              </w:tc>
                              <w:tc>
                                <w:tcPr>
                                  <w:tcW w:w="1076" w:type="dxa"/>
                                  <w:tcBorders>
                                    <w:top w:val="single" w:sz="8" w:space="0" w:color="auto"/>
                                  </w:tcBorders>
                                </w:tcPr>
                                <w:p w14:paraId="59DEE822" w14:textId="77777777" w:rsidR="00C93BE0" w:rsidRPr="006F0EDD" w:rsidRDefault="00C93BE0" w:rsidP="004E41A6">
                                  <w:pPr>
                                    <w:jc w:val="center"/>
                                    <w:rPr>
                                      <w:rFonts w:ascii="Arial" w:hAnsi="Arial" w:cs="Arial"/>
                                    </w:rPr>
                                  </w:pPr>
                                  <w:r>
                                    <w:rPr>
                                      <w:rFonts w:ascii="Arial" w:hAnsi="Arial" w:cs="Arial"/>
                                    </w:rPr>
                                    <w:t>3.06</w:t>
                                  </w:r>
                                </w:p>
                              </w:tc>
                              <w:tc>
                                <w:tcPr>
                                  <w:tcW w:w="1475" w:type="dxa"/>
                                  <w:tcBorders>
                                    <w:top w:val="single" w:sz="8" w:space="0" w:color="auto"/>
                                  </w:tcBorders>
                                </w:tcPr>
                                <w:p w14:paraId="577C55FD" w14:textId="77777777" w:rsidR="00C93BE0" w:rsidRPr="006F0EDD" w:rsidRDefault="00C93BE0" w:rsidP="004E41A6">
                                  <w:pPr>
                                    <w:jc w:val="center"/>
                                    <w:rPr>
                                      <w:rFonts w:ascii="Arial" w:hAnsi="Arial" w:cs="Arial"/>
                                    </w:rPr>
                                  </w:pPr>
                                  <w:r>
                                    <w:rPr>
                                      <w:rFonts w:ascii="Arial" w:hAnsi="Arial" w:cs="Arial"/>
                                    </w:rPr>
                                    <w:t>.027*</w:t>
                                  </w:r>
                                </w:p>
                              </w:tc>
                              <w:tc>
                                <w:tcPr>
                                  <w:tcW w:w="1079" w:type="dxa"/>
                                  <w:tcBorders>
                                    <w:top w:val="single" w:sz="8" w:space="0" w:color="auto"/>
                                  </w:tcBorders>
                                </w:tcPr>
                                <w:p w14:paraId="57FBAB7E" w14:textId="77777777" w:rsidR="00C93BE0" w:rsidRPr="006F0EDD" w:rsidRDefault="00C93BE0" w:rsidP="004E41A6">
                                  <w:pPr>
                                    <w:jc w:val="center"/>
                                    <w:rPr>
                                      <w:rFonts w:ascii="Arial" w:hAnsi="Arial" w:cs="Arial"/>
                                    </w:rPr>
                                  </w:pPr>
                                  <w:r>
                                    <w:rPr>
                                      <w:rFonts w:ascii="Arial" w:hAnsi="Arial" w:cs="Arial"/>
                                    </w:rPr>
                                    <w:t>2.83</w:t>
                                  </w:r>
                                </w:p>
                              </w:tc>
                              <w:tc>
                                <w:tcPr>
                                  <w:tcW w:w="1204" w:type="dxa"/>
                                  <w:tcBorders>
                                    <w:top w:val="single" w:sz="8" w:space="0" w:color="auto"/>
                                  </w:tcBorders>
                                </w:tcPr>
                                <w:p w14:paraId="6CEEDFC8" w14:textId="77777777" w:rsidR="00C93BE0" w:rsidRPr="006F0EDD" w:rsidRDefault="00C93BE0" w:rsidP="004E41A6">
                                  <w:pPr>
                                    <w:jc w:val="center"/>
                                    <w:rPr>
                                      <w:rFonts w:ascii="Arial" w:hAnsi="Arial" w:cs="Arial"/>
                                    </w:rPr>
                                  </w:pPr>
                                  <w:r>
                                    <w:rPr>
                                      <w:rFonts w:ascii="Arial" w:hAnsi="Arial" w:cs="Arial"/>
                                    </w:rPr>
                                    <w:t>.029*</w:t>
                                  </w:r>
                                </w:p>
                              </w:tc>
                            </w:tr>
                            <w:tr w:rsidR="00C93BE0" w14:paraId="6DF5043C"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19E1A5AD" w14:textId="7FA6DC31" w:rsidR="00C93BE0" w:rsidRPr="006F0EDD" w:rsidRDefault="00C93BE0" w:rsidP="004E41A6">
                                  <w:pPr>
                                    <w:jc w:val="center"/>
                                    <w:rPr>
                                      <w:rFonts w:ascii="Arial" w:hAnsi="Arial" w:cs="Arial"/>
                                    </w:rPr>
                                  </w:pPr>
                                  <w:r w:rsidRPr="006F0EDD">
                                    <w:rPr>
                                      <w:rFonts w:ascii="Arial" w:hAnsi="Arial" w:cs="Arial"/>
                                    </w:rPr>
                                    <w:t>V3A</w:t>
                                  </w:r>
                                  <w:r>
                                    <w:rPr>
                                      <w:rFonts w:ascii="Arial" w:hAnsi="Arial" w:cs="Arial"/>
                                    </w:rPr>
                                    <w:t>/</w:t>
                                  </w:r>
                                  <w:r w:rsidRPr="006F0EDD">
                                    <w:rPr>
                                      <w:rFonts w:ascii="Arial" w:hAnsi="Arial" w:cs="Arial"/>
                                    </w:rPr>
                                    <w:t>B</w:t>
                                  </w:r>
                                </w:p>
                              </w:tc>
                              <w:tc>
                                <w:tcPr>
                                  <w:tcW w:w="1285" w:type="dxa"/>
                                </w:tcPr>
                                <w:p w14:paraId="009DA688" w14:textId="77777777" w:rsidR="00C93BE0" w:rsidRPr="006F0EDD" w:rsidRDefault="00C93BE0" w:rsidP="004E41A6">
                                  <w:pPr>
                                    <w:jc w:val="center"/>
                                    <w:rPr>
                                      <w:rFonts w:ascii="Arial" w:hAnsi="Arial" w:cs="Arial"/>
                                    </w:rPr>
                                  </w:pPr>
                                  <w:r>
                                    <w:rPr>
                                      <w:rFonts w:ascii="Arial" w:hAnsi="Arial" w:cs="Arial"/>
                                    </w:rPr>
                                    <w:t>2.47</w:t>
                                  </w:r>
                                </w:p>
                              </w:tc>
                              <w:tc>
                                <w:tcPr>
                                  <w:tcW w:w="1569" w:type="dxa"/>
                                </w:tcPr>
                                <w:p w14:paraId="3B0A6A3A" w14:textId="77777777" w:rsidR="00C93BE0" w:rsidRPr="006F0EDD" w:rsidRDefault="00C93BE0" w:rsidP="004E41A6">
                                  <w:pPr>
                                    <w:jc w:val="center"/>
                                    <w:rPr>
                                      <w:rFonts w:ascii="Arial" w:hAnsi="Arial" w:cs="Arial"/>
                                    </w:rPr>
                                  </w:pPr>
                                  <w:r>
                                    <w:rPr>
                                      <w:rFonts w:ascii="Arial" w:hAnsi="Arial" w:cs="Arial"/>
                                    </w:rPr>
                                    <w:t>.051</w:t>
                                  </w:r>
                                </w:p>
                              </w:tc>
                              <w:tc>
                                <w:tcPr>
                                  <w:tcW w:w="1076" w:type="dxa"/>
                                </w:tcPr>
                                <w:p w14:paraId="1999FD1A" w14:textId="77777777" w:rsidR="00C93BE0" w:rsidRPr="006F0EDD" w:rsidRDefault="00C93BE0" w:rsidP="004E41A6">
                                  <w:pPr>
                                    <w:jc w:val="center"/>
                                    <w:rPr>
                                      <w:rFonts w:ascii="Arial" w:hAnsi="Arial" w:cs="Arial"/>
                                    </w:rPr>
                                  </w:pPr>
                                  <w:r>
                                    <w:rPr>
                                      <w:rFonts w:ascii="Arial" w:hAnsi="Arial" w:cs="Arial"/>
                                    </w:rPr>
                                    <w:t>3.06</w:t>
                                  </w:r>
                                </w:p>
                              </w:tc>
                              <w:tc>
                                <w:tcPr>
                                  <w:tcW w:w="1475" w:type="dxa"/>
                                </w:tcPr>
                                <w:p w14:paraId="438F9F11" w14:textId="77777777" w:rsidR="00C93BE0" w:rsidRPr="006F0EDD" w:rsidRDefault="00C93BE0" w:rsidP="004E41A6">
                                  <w:pPr>
                                    <w:jc w:val="center"/>
                                    <w:rPr>
                                      <w:rFonts w:ascii="Arial" w:hAnsi="Arial" w:cs="Arial"/>
                                    </w:rPr>
                                  </w:pPr>
                                  <w:r>
                                    <w:rPr>
                                      <w:rFonts w:ascii="Arial" w:hAnsi="Arial" w:cs="Arial"/>
                                    </w:rPr>
                                    <w:t>.027*</w:t>
                                  </w:r>
                                </w:p>
                              </w:tc>
                              <w:tc>
                                <w:tcPr>
                                  <w:tcW w:w="1079" w:type="dxa"/>
                                </w:tcPr>
                                <w:p w14:paraId="77D63A18" w14:textId="77777777" w:rsidR="00C93BE0" w:rsidRPr="006F0EDD" w:rsidRDefault="00C93BE0" w:rsidP="004E41A6">
                                  <w:pPr>
                                    <w:jc w:val="center"/>
                                    <w:rPr>
                                      <w:rFonts w:ascii="Arial" w:hAnsi="Arial" w:cs="Arial"/>
                                    </w:rPr>
                                  </w:pPr>
                                  <w:r>
                                    <w:rPr>
                                      <w:rFonts w:ascii="Arial" w:hAnsi="Arial" w:cs="Arial"/>
                                    </w:rPr>
                                    <w:t>2.98</w:t>
                                  </w:r>
                                </w:p>
                              </w:tc>
                              <w:tc>
                                <w:tcPr>
                                  <w:tcW w:w="1204" w:type="dxa"/>
                                </w:tcPr>
                                <w:p w14:paraId="707FB2A3" w14:textId="77777777" w:rsidR="00C93BE0" w:rsidRPr="006F0EDD" w:rsidRDefault="00C93BE0" w:rsidP="004E41A6">
                                  <w:pPr>
                                    <w:jc w:val="center"/>
                                    <w:rPr>
                                      <w:rFonts w:ascii="Arial" w:hAnsi="Arial" w:cs="Arial"/>
                                    </w:rPr>
                                  </w:pPr>
                                  <w:r>
                                    <w:rPr>
                                      <w:rFonts w:ascii="Arial" w:hAnsi="Arial" w:cs="Arial"/>
                                    </w:rPr>
                                    <w:t>.027*</w:t>
                                  </w:r>
                                </w:p>
                              </w:tc>
                            </w:tr>
                            <w:tr w:rsidR="00C93BE0" w14:paraId="1A0F145A"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6BB056B9" w14:textId="77777777" w:rsidR="00C93BE0" w:rsidRPr="006F0EDD" w:rsidRDefault="00C93BE0" w:rsidP="004E41A6">
                                  <w:pPr>
                                    <w:jc w:val="center"/>
                                    <w:rPr>
                                      <w:rFonts w:ascii="Arial" w:hAnsi="Arial" w:cs="Arial"/>
                                    </w:rPr>
                                  </w:pPr>
                                  <w:r w:rsidRPr="006F0EDD">
                                    <w:rPr>
                                      <w:rFonts w:ascii="Arial" w:hAnsi="Arial" w:cs="Arial"/>
                                    </w:rPr>
                                    <w:t>hV4</w:t>
                                  </w:r>
                                </w:p>
                              </w:tc>
                              <w:tc>
                                <w:tcPr>
                                  <w:tcW w:w="1285" w:type="dxa"/>
                                </w:tcPr>
                                <w:p w14:paraId="66FBEAD2" w14:textId="77777777" w:rsidR="00C93BE0" w:rsidRPr="006F0EDD" w:rsidRDefault="00C93BE0" w:rsidP="004E41A6">
                                  <w:pPr>
                                    <w:jc w:val="center"/>
                                    <w:rPr>
                                      <w:rFonts w:ascii="Arial" w:hAnsi="Arial" w:cs="Arial"/>
                                    </w:rPr>
                                  </w:pPr>
                                  <w:r>
                                    <w:rPr>
                                      <w:rFonts w:ascii="Arial" w:hAnsi="Arial" w:cs="Arial"/>
                                    </w:rPr>
                                    <w:t>2.74</w:t>
                                  </w:r>
                                </w:p>
                              </w:tc>
                              <w:tc>
                                <w:tcPr>
                                  <w:tcW w:w="1569" w:type="dxa"/>
                                </w:tcPr>
                                <w:p w14:paraId="696C5E9E" w14:textId="77777777" w:rsidR="00C93BE0" w:rsidRPr="006F0EDD" w:rsidRDefault="00C93BE0" w:rsidP="004E41A6">
                                  <w:pPr>
                                    <w:jc w:val="center"/>
                                    <w:rPr>
                                      <w:rFonts w:ascii="Arial" w:hAnsi="Arial" w:cs="Arial"/>
                                    </w:rPr>
                                  </w:pPr>
                                  <w:r>
                                    <w:rPr>
                                      <w:rFonts w:ascii="Arial" w:hAnsi="Arial" w:cs="Arial"/>
                                    </w:rPr>
                                    <w:t>.033*</w:t>
                                  </w:r>
                                </w:p>
                              </w:tc>
                              <w:tc>
                                <w:tcPr>
                                  <w:tcW w:w="1076" w:type="dxa"/>
                                </w:tcPr>
                                <w:p w14:paraId="7D76B58D" w14:textId="77777777" w:rsidR="00C93BE0" w:rsidRPr="006F0EDD" w:rsidRDefault="00C93BE0" w:rsidP="004E41A6">
                                  <w:pPr>
                                    <w:jc w:val="center"/>
                                    <w:rPr>
                                      <w:rFonts w:ascii="Arial" w:hAnsi="Arial" w:cs="Arial"/>
                                    </w:rPr>
                                  </w:pPr>
                                  <w:r>
                                    <w:rPr>
                                      <w:rFonts w:ascii="Arial" w:hAnsi="Arial" w:cs="Arial"/>
                                    </w:rPr>
                                    <w:t>2.87</w:t>
                                  </w:r>
                                </w:p>
                              </w:tc>
                              <w:tc>
                                <w:tcPr>
                                  <w:tcW w:w="1475" w:type="dxa"/>
                                </w:tcPr>
                                <w:p w14:paraId="4E1FE07A" w14:textId="77777777" w:rsidR="00C93BE0" w:rsidRPr="006F0EDD" w:rsidRDefault="00C93BE0" w:rsidP="004E41A6">
                                  <w:pPr>
                                    <w:jc w:val="center"/>
                                    <w:rPr>
                                      <w:rFonts w:ascii="Arial" w:hAnsi="Arial" w:cs="Arial"/>
                                    </w:rPr>
                                  </w:pPr>
                                  <w:r>
                                    <w:rPr>
                                      <w:rFonts w:ascii="Arial" w:hAnsi="Arial" w:cs="Arial"/>
                                    </w:rPr>
                                    <w:t>.029*</w:t>
                                  </w:r>
                                </w:p>
                              </w:tc>
                              <w:tc>
                                <w:tcPr>
                                  <w:tcW w:w="1079" w:type="dxa"/>
                                </w:tcPr>
                                <w:p w14:paraId="37F384B5" w14:textId="77777777" w:rsidR="00C93BE0" w:rsidRPr="006F0EDD" w:rsidRDefault="00C93BE0" w:rsidP="004E41A6">
                                  <w:pPr>
                                    <w:jc w:val="center"/>
                                    <w:rPr>
                                      <w:rFonts w:ascii="Arial" w:hAnsi="Arial" w:cs="Arial"/>
                                    </w:rPr>
                                  </w:pPr>
                                  <w:r>
                                    <w:rPr>
                                      <w:rFonts w:ascii="Arial" w:hAnsi="Arial" w:cs="Arial"/>
                                    </w:rPr>
                                    <w:t>2.35</w:t>
                                  </w:r>
                                </w:p>
                              </w:tc>
                              <w:tc>
                                <w:tcPr>
                                  <w:tcW w:w="1204" w:type="dxa"/>
                                </w:tcPr>
                                <w:p w14:paraId="1436EC2C" w14:textId="77777777" w:rsidR="00C93BE0" w:rsidRPr="006F0EDD" w:rsidRDefault="00C93BE0" w:rsidP="004E41A6">
                                  <w:pPr>
                                    <w:jc w:val="center"/>
                                    <w:rPr>
                                      <w:rFonts w:ascii="Arial" w:hAnsi="Arial" w:cs="Arial"/>
                                    </w:rPr>
                                  </w:pPr>
                                  <w:r>
                                    <w:rPr>
                                      <w:rFonts w:ascii="Arial" w:hAnsi="Arial" w:cs="Arial"/>
                                    </w:rPr>
                                    <w:t>.066</w:t>
                                  </w:r>
                                </w:p>
                              </w:tc>
                            </w:tr>
                            <w:tr w:rsidR="00C93BE0" w14:paraId="4386BB11"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4F8C754B" w14:textId="77777777" w:rsidR="00C93BE0" w:rsidRPr="006F0EDD" w:rsidRDefault="00C93BE0" w:rsidP="004E41A6">
                                  <w:pPr>
                                    <w:jc w:val="center"/>
                                    <w:rPr>
                                      <w:rFonts w:ascii="Arial" w:hAnsi="Arial" w:cs="Arial"/>
                                    </w:rPr>
                                  </w:pPr>
                                  <w:r w:rsidRPr="006F0EDD">
                                    <w:rPr>
                                      <w:rFonts w:ascii="Arial" w:hAnsi="Arial" w:cs="Arial"/>
                                    </w:rPr>
                                    <w:t>LO-1</w:t>
                                  </w:r>
                                </w:p>
                              </w:tc>
                              <w:tc>
                                <w:tcPr>
                                  <w:tcW w:w="1285" w:type="dxa"/>
                                </w:tcPr>
                                <w:p w14:paraId="5A7CABB7" w14:textId="77777777" w:rsidR="00C93BE0" w:rsidRPr="006F0EDD" w:rsidRDefault="00C93BE0" w:rsidP="004E41A6">
                                  <w:pPr>
                                    <w:jc w:val="center"/>
                                    <w:rPr>
                                      <w:rFonts w:ascii="Arial" w:hAnsi="Arial" w:cs="Arial"/>
                                    </w:rPr>
                                  </w:pPr>
                                  <w:r>
                                    <w:rPr>
                                      <w:rFonts w:ascii="Arial" w:hAnsi="Arial" w:cs="Arial"/>
                                    </w:rPr>
                                    <w:t>2.98</w:t>
                                  </w:r>
                                </w:p>
                              </w:tc>
                              <w:tc>
                                <w:tcPr>
                                  <w:tcW w:w="1569" w:type="dxa"/>
                                </w:tcPr>
                                <w:p w14:paraId="7BD473C7" w14:textId="77777777" w:rsidR="00C93BE0" w:rsidRPr="006F0EDD" w:rsidRDefault="00C93BE0" w:rsidP="004E41A6">
                                  <w:pPr>
                                    <w:jc w:val="center"/>
                                    <w:rPr>
                                      <w:rFonts w:ascii="Arial" w:hAnsi="Arial" w:cs="Arial"/>
                                    </w:rPr>
                                  </w:pPr>
                                  <w:r>
                                    <w:rPr>
                                      <w:rFonts w:ascii="Arial" w:hAnsi="Arial" w:cs="Arial"/>
                                    </w:rPr>
                                    <w:t>.027*</w:t>
                                  </w:r>
                                </w:p>
                              </w:tc>
                              <w:tc>
                                <w:tcPr>
                                  <w:tcW w:w="1076" w:type="dxa"/>
                                </w:tcPr>
                                <w:p w14:paraId="206A9381" w14:textId="77777777" w:rsidR="00C93BE0" w:rsidRPr="006F0EDD" w:rsidRDefault="00C93BE0" w:rsidP="004E41A6">
                                  <w:pPr>
                                    <w:jc w:val="center"/>
                                    <w:rPr>
                                      <w:rFonts w:ascii="Arial" w:hAnsi="Arial" w:cs="Arial"/>
                                    </w:rPr>
                                  </w:pPr>
                                  <w:r>
                                    <w:rPr>
                                      <w:rFonts w:ascii="Arial" w:hAnsi="Arial" w:cs="Arial"/>
                                    </w:rPr>
                                    <w:t>2.95</w:t>
                                  </w:r>
                                </w:p>
                              </w:tc>
                              <w:tc>
                                <w:tcPr>
                                  <w:tcW w:w="1475" w:type="dxa"/>
                                </w:tcPr>
                                <w:p w14:paraId="33A9793B" w14:textId="77777777" w:rsidR="00C93BE0" w:rsidRPr="006F0EDD" w:rsidRDefault="00C93BE0" w:rsidP="004E41A6">
                                  <w:pPr>
                                    <w:jc w:val="center"/>
                                    <w:rPr>
                                      <w:rFonts w:ascii="Arial" w:hAnsi="Arial" w:cs="Arial"/>
                                    </w:rPr>
                                  </w:pPr>
                                  <w:r>
                                    <w:rPr>
                                      <w:rFonts w:ascii="Arial" w:hAnsi="Arial" w:cs="Arial"/>
                                    </w:rPr>
                                    <w:t>.027*</w:t>
                                  </w:r>
                                </w:p>
                              </w:tc>
                              <w:tc>
                                <w:tcPr>
                                  <w:tcW w:w="1079" w:type="dxa"/>
                                </w:tcPr>
                                <w:p w14:paraId="079C9D36" w14:textId="77777777" w:rsidR="00C93BE0" w:rsidRPr="006F0EDD" w:rsidRDefault="00C93BE0" w:rsidP="004E41A6">
                                  <w:pPr>
                                    <w:jc w:val="center"/>
                                    <w:rPr>
                                      <w:rFonts w:ascii="Arial" w:hAnsi="Arial" w:cs="Arial"/>
                                    </w:rPr>
                                  </w:pPr>
                                  <w:r>
                                    <w:rPr>
                                      <w:rFonts w:ascii="Arial" w:hAnsi="Arial" w:cs="Arial"/>
                                    </w:rPr>
                                    <w:t>2.31</w:t>
                                  </w:r>
                                </w:p>
                              </w:tc>
                              <w:tc>
                                <w:tcPr>
                                  <w:tcW w:w="1204" w:type="dxa"/>
                                </w:tcPr>
                                <w:p w14:paraId="1E47CCC1" w14:textId="77777777" w:rsidR="00C93BE0" w:rsidRPr="006F0EDD" w:rsidRDefault="00C93BE0" w:rsidP="004E41A6">
                                  <w:pPr>
                                    <w:jc w:val="center"/>
                                    <w:rPr>
                                      <w:rFonts w:ascii="Arial" w:hAnsi="Arial" w:cs="Arial"/>
                                    </w:rPr>
                                  </w:pPr>
                                  <w:r>
                                    <w:rPr>
                                      <w:rFonts w:ascii="Arial" w:hAnsi="Arial" w:cs="Arial"/>
                                    </w:rPr>
                                    <w:t>.069</w:t>
                                  </w:r>
                                </w:p>
                              </w:tc>
                            </w:tr>
                            <w:tr w:rsidR="00C93BE0" w14:paraId="6A02DDCD"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bottom w:val="single" w:sz="8" w:space="0" w:color="000000"/>
                                  </w:tcBorders>
                                </w:tcPr>
                                <w:p w14:paraId="22C3426F" w14:textId="77777777" w:rsidR="00C93BE0" w:rsidRPr="006F0EDD" w:rsidRDefault="00C93BE0" w:rsidP="004E41A6">
                                  <w:pPr>
                                    <w:jc w:val="center"/>
                                    <w:rPr>
                                      <w:rFonts w:ascii="Arial" w:hAnsi="Arial" w:cs="Arial"/>
                                    </w:rPr>
                                  </w:pPr>
                                  <w:r w:rsidRPr="006F0EDD">
                                    <w:rPr>
                                      <w:rFonts w:ascii="Arial" w:hAnsi="Arial" w:cs="Arial"/>
                                    </w:rPr>
                                    <w:t>LO-2</w:t>
                                  </w:r>
                                </w:p>
                              </w:tc>
                              <w:tc>
                                <w:tcPr>
                                  <w:tcW w:w="1285" w:type="dxa"/>
                                  <w:tcBorders>
                                    <w:bottom w:val="single" w:sz="8" w:space="0" w:color="000000"/>
                                  </w:tcBorders>
                                </w:tcPr>
                                <w:p w14:paraId="37D86C33" w14:textId="77777777" w:rsidR="00C93BE0" w:rsidRPr="006F0EDD" w:rsidRDefault="00C93BE0" w:rsidP="004E41A6">
                                  <w:pPr>
                                    <w:jc w:val="center"/>
                                    <w:rPr>
                                      <w:rFonts w:ascii="Arial" w:hAnsi="Arial" w:cs="Arial"/>
                                    </w:rPr>
                                  </w:pPr>
                                  <w:r>
                                    <w:rPr>
                                      <w:rFonts w:ascii="Arial" w:hAnsi="Arial" w:cs="Arial"/>
                                    </w:rPr>
                                    <w:t>2.63</w:t>
                                  </w:r>
                                </w:p>
                              </w:tc>
                              <w:tc>
                                <w:tcPr>
                                  <w:tcW w:w="1569" w:type="dxa"/>
                                  <w:tcBorders>
                                    <w:bottom w:val="single" w:sz="8" w:space="0" w:color="000000"/>
                                  </w:tcBorders>
                                </w:tcPr>
                                <w:p w14:paraId="04BBAC22" w14:textId="77777777" w:rsidR="00C93BE0" w:rsidRPr="006F0EDD" w:rsidRDefault="00C93BE0" w:rsidP="004E41A6">
                                  <w:pPr>
                                    <w:jc w:val="center"/>
                                    <w:rPr>
                                      <w:rFonts w:ascii="Arial" w:hAnsi="Arial" w:cs="Arial"/>
                                    </w:rPr>
                                  </w:pPr>
                                  <w:r>
                                    <w:rPr>
                                      <w:rFonts w:ascii="Arial" w:hAnsi="Arial" w:cs="Arial"/>
                                    </w:rPr>
                                    <w:t>.035*</w:t>
                                  </w:r>
                                </w:p>
                              </w:tc>
                              <w:tc>
                                <w:tcPr>
                                  <w:tcW w:w="1076" w:type="dxa"/>
                                  <w:tcBorders>
                                    <w:bottom w:val="single" w:sz="8" w:space="0" w:color="000000"/>
                                  </w:tcBorders>
                                </w:tcPr>
                                <w:p w14:paraId="2EC75265" w14:textId="77777777" w:rsidR="00C93BE0" w:rsidRPr="006F0EDD" w:rsidRDefault="00C93BE0" w:rsidP="004E41A6">
                                  <w:pPr>
                                    <w:jc w:val="center"/>
                                    <w:rPr>
                                      <w:rFonts w:ascii="Arial" w:hAnsi="Arial" w:cs="Arial"/>
                                    </w:rPr>
                                  </w:pPr>
                                  <w:r>
                                    <w:rPr>
                                      <w:rFonts w:ascii="Arial" w:hAnsi="Arial" w:cs="Arial"/>
                                    </w:rPr>
                                    <w:t>2.71</w:t>
                                  </w:r>
                                </w:p>
                              </w:tc>
                              <w:tc>
                                <w:tcPr>
                                  <w:tcW w:w="1475" w:type="dxa"/>
                                  <w:tcBorders>
                                    <w:bottom w:val="single" w:sz="8" w:space="0" w:color="000000"/>
                                  </w:tcBorders>
                                </w:tcPr>
                                <w:p w14:paraId="2FB0AF74" w14:textId="77777777" w:rsidR="00C93BE0" w:rsidRPr="006F0EDD" w:rsidRDefault="00C93BE0" w:rsidP="004E41A6">
                                  <w:pPr>
                                    <w:jc w:val="center"/>
                                    <w:rPr>
                                      <w:rFonts w:ascii="Arial" w:hAnsi="Arial" w:cs="Arial"/>
                                    </w:rPr>
                                  </w:pPr>
                                  <w:r>
                                    <w:rPr>
                                      <w:rFonts w:ascii="Arial" w:hAnsi="Arial" w:cs="Arial"/>
                                    </w:rPr>
                                    <w:t>.033*</w:t>
                                  </w:r>
                                </w:p>
                              </w:tc>
                              <w:tc>
                                <w:tcPr>
                                  <w:tcW w:w="1079" w:type="dxa"/>
                                  <w:tcBorders>
                                    <w:bottom w:val="single" w:sz="8" w:space="0" w:color="000000"/>
                                  </w:tcBorders>
                                </w:tcPr>
                                <w:p w14:paraId="2847C8EA" w14:textId="77777777" w:rsidR="00C93BE0" w:rsidRPr="006F0EDD" w:rsidRDefault="00C93BE0" w:rsidP="004E41A6">
                                  <w:pPr>
                                    <w:jc w:val="center"/>
                                    <w:rPr>
                                      <w:rFonts w:ascii="Arial" w:hAnsi="Arial" w:cs="Arial"/>
                                    </w:rPr>
                                  </w:pPr>
                                  <w:r>
                                    <w:rPr>
                                      <w:rFonts w:ascii="Arial" w:hAnsi="Arial" w:cs="Arial"/>
                                    </w:rPr>
                                    <w:t>3.06</w:t>
                                  </w:r>
                                </w:p>
                              </w:tc>
                              <w:tc>
                                <w:tcPr>
                                  <w:tcW w:w="1204" w:type="dxa"/>
                                  <w:tcBorders>
                                    <w:bottom w:val="single" w:sz="8" w:space="0" w:color="000000"/>
                                  </w:tcBorders>
                                </w:tcPr>
                                <w:p w14:paraId="64F36F54" w14:textId="77777777" w:rsidR="00C93BE0" w:rsidRPr="006F0EDD" w:rsidRDefault="00C93BE0" w:rsidP="004E41A6">
                                  <w:pPr>
                                    <w:jc w:val="center"/>
                                    <w:rPr>
                                      <w:rFonts w:ascii="Arial" w:hAnsi="Arial" w:cs="Arial"/>
                                    </w:rPr>
                                  </w:pPr>
                                  <w:r>
                                    <w:rPr>
                                      <w:rFonts w:ascii="Arial" w:hAnsi="Arial" w:cs="Arial"/>
                                    </w:rPr>
                                    <w:t>.027*</w:t>
                                  </w:r>
                                </w:p>
                              </w:tc>
                            </w:tr>
                          </w:tbl>
                          <w:p w14:paraId="0B03FE15" w14:textId="77777777" w:rsidR="00C93BE0" w:rsidRPr="006F0EDD" w:rsidRDefault="00C93BE0" w:rsidP="000F7CA8">
                            <w:pPr>
                              <w:rPr>
                                <w:rFonts w:ascii="Arial" w:hAnsi="Arial" w:cs="Arial"/>
                                <w:i/>
                                <w:iCs/>
                              </w:rPr>
                            </w:pPr>
                            <w:r w:rsidRPr="006F0EDD">
                              <w:rPr>
                                <w:rFonts w:ascii="Arial" w:hAnsi="Arial" w:cs="Arial"/>
                                <w:i/>
                                <w:iCs/>
                              </w:rPr>
                              <w:t>*</w:t>
                            </w:r>
                            <w:r>
                              <w:rPr>
                                <w:rFonts w:ascii="Arial" w:hAnsi="Arial" w:cs="Arial"/>
                                <w:i/>
                                <w:iCs/>
                              </w:rPr>
                              <w:t xml:space="preserve"> p &lt;.05, ** p&lt;.01, *** p&lt;.001</w:t>
                            </w:r>
                          </w:p>
                          <w:p w14:paraId="333721BA" w14:textId="77777777" w:rsidR="00C93BE0" w:rsidRDefault="00C93BE0" w:rsidP="000F7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DE639" id="Text Box 69" o:spid="_x0000_s1055" type="#_x0000_t202" style="position:absolute;margin-left:0;margin-top:27.5pt;width:457.75pt;height:183.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" filled="f" stroked="f" strokeweight=".5pt">
                <v:textbox>
                  <w:txbxContent>
                    <w:p w14:paraId="50B2A5FF" w14:textId="77777777" w:rsidR="00C93BE0" w:rsidRPr="00A92335" w:rsidRDefault="00C93BE0" w:rsidP="000F7CA8">
                      <w:pPr>
                        <w:pStyle w:val="Caption"/>
                        <w:keepNext/>
                        <w:rPr>
                          <w:rFonts w:ascii="Arial" w:hAnsi="Arial" w:cs="Arial"/>
                          <w:i w:val="0"/>
                          <w:iCs w:val="0"/>
                          <w:color w:val="000000" w:themeColor="text1"/>
                          <w:sz w:val="24"/>
                          <w:szCs w:val="24"/>
                        </w:rPr>
                      </w:pPr>
                      <w:r w:rsidRPr="00A92335">
                        <w:rPr>
                          <w:rFonts w:ascii="Arial" w:hAnsi="Arial" w:cs="Arial"/>
                          <w:b/>
                          <w:bCs/>
                          <w:i w:val="0"/>
                          <w:iCs w:val="0"/>
                          <w:color w:val="000000" w:themeColor="text1"/>
                          <w:sz w:val="24"/>
                          <w:szCs w:val="24"/>
                        </w:rPr>
                        <w:t xml:space="preserve">Table </w:t>
                      </w:r>
                      <w:r>
                        <w:rPr>
                          <w:rFonts w:ascii="Arial" w:hAnsi="Arial" w:cs="Arial"/>
                          <w:b/>
                          <w:bCs/>
                          <w:i w:val="0"/>
                          <w:iCs w:val="0"/>
                          <w:color w:val="000000" w:themeColor="text1"/>
                          <w:sz w:val="24"/>
                          <w:szCs w:val="24"/>
                        </w:rPr>
                        <w:t>5</w:t>
                      </w:r>
                      <w:r w:rsidRPr="00A92335">
                        <w:rPr>
                          <w:rFonts w:ascii="Arial" w:hAnsi="Arial" w:cs="Arial"/>
                          <w:b/>
                          <w:bCs/>
                          <w:i w:val="0"/>
                          <w:iCs w:val="0"/>
                          <w:color w:val="000000" w:themeColor="text1"/>
                          <w:sz w:val="24"/>
                          <w:szCs w:val="24"/>
                        </w:rPr>
                        <w:t>.</w:t>
                      </w:r>
                      <w:r>
                        <w:rPr>
                          <w:rFonts w:ascii="Arial" w:hAnsi="Arial" w:cs="Arial"/>
                          <w:b/>
                          <w:bCs/>
                          <w:i w:val="0"/>
                          <w:iCs w:val="0"/>
                          <w:color w:val="000000" w:themeColor="text1"/>
                          <w:sz w:val="24"/>
                          <w:szCs w:val="24"/>
                        </w:rPr>
                        <w:t xml:space="preserve">1 </w:t>
                      </w:r>
                      <w:r>
                        <w:rPr>
                          <w:rFonts w:ascii="Arial" w:hAnsi="Arial" w:cs="Arial"/>
                          <w:i w:val="0"/>
                          <w:iCs w:val="0"/>
                          <w:color w:val="000000" w:themeColor="text1"/>
                          <w:sz w:val="24"/>
                          <w:szCs w:val="24"/>
                        </w:rPr>
                        <w:t xml:space="preserve">Attention directed toward orientation, contrast and shape can be decoded through two-way classification in visual ROIs.  </w:t>
                      </w:r>
                    </w:p>
                    <w:tbl>
                      <w:tblPr>
                        <w:tblStyle w:val="TableGrid"/>
                        <w:tblW w:w="0" w:type="auto"/>
                        <w:tblLook w:val="04A0" w:firstRow="1" w:lastRow="0" w:firstColumn="1" w:lastColumn="0" w:noHBand="0" w:noVBand="1"/>
                      </w:tblPr>
                      <w:tblGrid>
                        <w:gridCol w:w="974"/>
                        <w:gridCol w:w="1285"/>
                        <w:gridCol w:w="1569"/>
                        <w:gridCol w:w="1076"/>
                        <w:gridCol w:w="1475"/>
                        <w:gridCol w:w="1079"/>
                        <w:gridCol w:w="1204"/>
                      </w:tblGrid>
                      <w:tr w:rsidR="00C93BE0" w14:paraId="31E96138" w14:textId="77777777" w:rsidTr="004E41A6">
                        <w:tc>
                          <w:tcPr>
                            <w:tcW w:w="974" w:type="dxa"/>
                            <w:tcBorders>
                              <w:top w:val="single" w:sz="18" w:space="0" w:color="000000"/>
                              <w:left w:val="nil"/>
                              <w:bottom w:val="single" w:sz="8" w:space="0" w:color="000000"/>
                              <w:right w:val="nil"/>
                            </w:tcBorders>
                          </w:tcPr>
                          <w:p w14:paraId="7096FF13" w14:textId="77777777" w:rsidR="00C93BE0" w:rsidRPr="006F0EDD" w:rsidRDefault="00C93BE0" w:rsidP="004E41A6">
                            <w:pPr>
                              <w:rPr>
                                <w:rFonts w:ascii="Arial" w:hAnsi="Arial" w:cs="Arial"/>
                              </w:rPr>
                            </w:pPr>
                          </w:p>
                        </w:tc>
                        <w:tc>
                          <w:tcPr>
                            <w:tcW w:w="2854" w:type="dxa"/>
                            <w:gridSpan w:val="2"/>
                            <w:tcBorders>
                              <w:top w:val="single" w:sz="18" w:space="0" w:color="000000"/>
                              <w:left w:val="nil"/>
                              <w:bottom w:val="single" w:sz="8" w:space="0" w:color="000000"/>
                              <w:right w:val="nil"/>
                            </w:tcBorders>
                          </w:tcPr>
                          <w:p w14:paraId="6BC47B21" w14:textId="77777777" w:rsidR="00C93BE0" w:rsidRPr="006F0EDD" w:rsidRDefault="00C93BE0" w:rsidP="004E41A6">
                            <w:pPr>
                              <w:rPr>
                                <w:rFonts w:ascii="Arial" w:hAnsi="Arial" w:cs="Arial"/>
                              </w:rPr>
                            </w:pPr>
                            <w:r w:rsidRPr="006F0EDD">
                              <w:rPr>
                                <w:rFonts w:ascii="Arial" w:hAnsi="Arial" w:cs="Arial"/>
                              </w:rPr>
                              <w:t xml:space="preserve">Orientation </w:t>
                            </w:r>
                            <w:r>
                              <w:rPr>
                                <w:rFonts w:ascii="Arial" w:hAnsi="Arial" w:cs="Arial"/>
                              </w:rPr>
                              <w:t>vs.</w:t>
                            </w:r>
                            <w:r w:rsidRPr="006F0EDD">
                              <w:rPr>
                                <w:rFonts w:ascii="Arial" w:hAnsi="Arial" w:cs="Arial"/>
                              </w:rPr>
                              <w:t xml:space="preserve"> </w:t>
                            </w:r>
                            <w:r>
                              <w:rPr>
                                <w:rFonts w:ascii="Arial" w:hAnsi="Arial" w:cs="Arial"/>
                              </w:rPr>
                              <w:t>Contrast</w:t>
                            </w:r>
                          </w:p>
                        </w:tc>
                        <w:tc>
                          <w:tcPr>
                            <w:tcW w:w="2551" w:type="dxa"/>
                            <w:gridSpan w:val="2"/>
                            <w:tcBorders>
                              <w:top w:val="single" w:sz="18" w:space="0" w:color="000000"/>
                              <w:left w:val="nil"/>
                              <w:bottom w:val="single" w:sz="8" w:space="0" w:color="000000"/>
                              <w:right w:val="nil"/>
                            </w:tcBorders>
                          </w:tcPr>
                          <w:p w14:paraId="6BB48B4F" w14:textId="77777777" w:rsidR="00C93BE0" w:rsidRPr="006F0EDD" w:rsidRDefault="00C93BE0" w:rsidP="004E41A6">
                            <w:pPr>
                              <w:rPr>
                                <w:rFonts w:ascii="Arial" w:hAnsi="Arial" w:cs="Arial"/>
                              </w:rPr>
                            </w:pPr>
                            <w:r w:rsidRPr="006F0EDD">
                              <w:rPr>
                                <w:rFonts w:ascii="Arial" w:hAnsi="Arial" w:cs="Arial"/>
                              </w:rPr>
                              <w:t xml:space="preserve">Orientation </w:t>
                            </w:r>
                            <w:r>
                              <w:rPr>
                                <w:rFonts w:ascii="Arial" w:hAnsi="Arial" w:cs="Arial"/>
                              </w:rPr>
                              <w:t>vs.</w:t>
                            </w:r>
                            <w:r w:rsidRPr="006F0EDD">
                              <w:rPr>
                                <w:rFonts w:ascii="Arial" w:hAnsi="Arial" w:cs="Arial"/>
                              </w:rPr>
                              <w:t xml:space="preserve"> </w:t>
                            </w:r>
                            <w:r>
                              <w:rPr>
                                <w:rFonts w:ascii="Arial" w:hAnsi="Arial" w:cs="Arial"/>
                              </w:rPr>
                              <w:t>Shape</w:t>
                            </w:r>
                          </w:p>
                        </w:tc>
                        <w:tc>
                          <w:tcPr>
                            <w:tcW w:w="2283" w:type="dxa"/>
                            <w:gridSpan w:val="2"/>
                            <w:tcBorders>
                              <w:top w:val="single" w:sz="18" w:space="0" w:color="000000"/>
                              <w:left w:val="nil"/>
                              <w:bottom w:val="single" w:sz="8" w:space="0" w:color="000000"/>
                              <w:right w:val="nil"/>
                            </w:tcBorders>
                          </w:tcPr>
                          <w:p w14:paraId="08514C50" w14:textId="77777777" w:rsidR="00C93BE0" w:rsidRPr="006F0EDD" w:rsidRDefault="00C93BE0" w:rsidP="004E41A6">
                            <w:pPr>
                              <w:rPr>
                                <w:rFonts w:ascii="Arial" w:hAnsi="Arial" w:cs="Arial"/>
                              </w:rPr>
                            </w:pPr>
                            <w:r w:rsidRPr="006F0EDD">
                              <w:rPr>
                                <w:rFonts w:ascii="Arial" w:hAnsi="Arial" w:cs="Arial"/>
                              </w:rPr>
                              <w:t xml:space="preserve">Contrast </w:t>
                            </w:r>
                            <w:r>
                              <w:rPr>
                                <w:rFonts w:ascii="Arial" w:hAnsi="Arial" w:cs="Arial"/>
                              </w:rPr>
                              <w:t>vs.</w:t>
                            </w:r>
                            <w:r w:rsidRPr="006F0EDD">
                              <w:rPr>
                                <w:rFonts w:ascii="Arial" w:hAnsi="Arial" w:cs="Arial"/>
                              </w:rPr>
                              <w:t xml:space="preserve"> Shape</w:t>
                            </w:r>
                          </w:p>
                        </w:tc>
                      </w:tr>
                      <w:tr w:rsidR="00C93BE0" w14:paraId="407A176A"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bottom w:val="single" w:sz="8" w:space="0" w:color="000000"/>
                            </w:tcBorders>
                          </w:tcPr>
                          <w:p w14:paraId="6143781C" w14:textId="77777777" w:rsidR="00C93BE0" w:rsidRPr="006F0EDD" w:rsidRDefault="00C93BE0" w:rsidP="004E41A6">
                            <w:pPr>
                              <w:jc w:val="center"/>
                              <w:rPr>
                                <w:rFonts w:ascii="Arial" w:hAnsi="Arial" w:cs="Arial"/>
                              </w:rPr>
                            </w:pPr>
                            <w:r>
                              <w:rPr>
                                <w:rFonts w:ascii="Arial" w:hAnsi="Arial" w:cs="Arial"/>
                              </w:rPr>
                              <w:t>ROI</w:t>
                            </w:r>
                          </w:p>
                        </w:tc>
                        <w:tc>
                          <w:tcPr>
                            <w:tcW w:w="1285" w:type="dxa"/>
                            <w:tcBorders>
                              <w:top w:val="single" w:sz="8" w:space="0" w:color="000000"/>
                              <w:bottom w:val="single" w:sz="8" w:space="0" w:color="auto"/>
                            </w:tcBorders>
                          </w:tcPr>
                          <w:p w14:paraId="7463B10C" w14:textId="77777777" w:rsidR="00C93BE0" w:rsidRPr="006F0EDD" w:rsidRDefault="00C93BE0" w:rsidP="004E41A6">
                            <w:pPr>
                              <w:jc w:val="center"/>
                              <w:rPr>
                                <w:rFonts w:ascii="Arial" w:hAnsi="Arial" w:cs="Arial"/>
                              </w:rPr>
                            </w:pPr>
                            <w:r>
                              <w:rPr>
                                <w:rFonts w:ascii="Arial" w:hAnsi="Arial" w:cs="Arial"/>
                              </w:rPr>
                              <w:t>Z</w:t>
                            </w:r>
                          </w:p>
                        </w:tc>
                        <w:tc>
                          <w:tcPr>
                            <w:tcW w:w="1569" w:type="dxa"/>
                            <w:tcBorders>
                              <w:top w:val="single" w:sz="8" w:space="0" w:color="000000"/>
                              <w:bottom w:val="single" w:sz="8" w:space="0" w:color="auto"/>
                            </w:tcBorders>
                          </w:tcPr>
                          <w:p w14:paraId="2F8C0243" w14:textId="77777777" w:rsidR="00C93BE0" w:rsidRPr="006F0EDD" w:rsidRDefault="00C93BE0" w:rsidP="004E41A6">
                            <w:pPr>
                              <w:jc w:val="center"/>
                              <w:rPr>
                                <w:rFonts w:ascii="Arial" w:hAnsi="Arial" w:cs="Arial"/>
                                <w:i/>
                                <w:iCs/>
                              </w:rPr>
                            </w:pPr>
                            <w:r>
                              <w:rPr>
                                <w:rFonts w:ascii="Arial" w:hAnsi="Arial" w:cs="Arial"/>
                                <w:i/>
                                <w:iCs/>
                              </w:rPr>
                              <w:t>p</w:t>
                            </w:r>
                          </w:p>
                        </w:tc>
                        <w:tc>
                          <w:tcPr>
                            <w:tcW w:w="1076" w:type="dxa"/>
                            <w:tcBorders>
                              <w:top w:val="single" w:sz="8" w:space="0" w:color="000000"/>
                              <w:bottom w:val="single" w:sz="8" w:space="0" w:color="auto"/>
                            </w:tcBorders>
                          </w:tcPr>
                          <w:p w14:paraId="293F8335" w14:textId="77777777" w:rsidR="00C93BE0" w:rsidRPr="006F0EDD" w:rsidRDefault="00C93BE0" w:rsidP="004E41A6">
                            <w:pPr>
                              <w:jc w:val="center"/>
                              <w:rPr>
                                <w:rFonts w:ascii="Arial" w:hAnsi="Arial" w:cs="Arial"/>
                              </w:rPr>
                            </w:pPr>
                            <w:r>
                              <w:rPr>
                                <w:rFonts w:ascii="Arial" w:hAnsi="Arial" w:cs="Arial"/>
                              </w:rPr>
                              <w:t>Z</w:t>
                            </w:r>
                          </w:p>
                        </w:tc>
                        <w:tc>
                          <w:tcPr>
                            <w:tcW w:w="1475" w:type="dxa"/>
                            <w:tcBorders>
                              <w:top w:val="single" w:sz="8" w:space="0" w:color="000000"/>
                              <w:bottom w:val="single" w:sz="8" w:space="0" w:color="auto"/>
                            </w:tcBorders>
                          </w:tcPr>
                          <w:p w14:paraId="04994AF2" w14:textId="77777777" w:rsidR="00C93BE0" w:rsidRPr="006F0EDD" w:rsidRDefault="00C93BE0" w:rsidP="004E41A6">
                            <w:pPr>
                              <w:jc w:val="center"/>
                              <w:rPr>
                                <w:rFonts w:ascii="Arial" w:hAnsi="Arial" w:cs="Arial"/>
                                <w:i/>
                                <w:iCs/>
                              </w:rPr>
                            </w:pPr>
                            <w:r>
                              <w:rPr>
                                <w:rFonts w:ascii="Arial" w:hAnsi="Arial" w:cs="Arial"/>
                                <w:i/>
                                <w:iCs/>
                              </w:rPr>
                              <w:t>p</w:t>
                            </w:r>
                          </w:p>
                        </w:tc>
                        <w:tc>
                          <w:tcPr>
                            <w:tcW w:w="1079" w:type="dxa"/>
                            <w:tcBorders>
                              <w:top w:val="single" w:sz="8" w:space="0" w:color="000000"/>
                              <w:bottom w:val="single" w:sz="8" w:space="0" w:color="auto"/>
                            </w:tcBorders>
                          </w:tcPr>
                          <w:p w14:paraId="07DCCC5B" w14:textId="77777777" w:rsidR="00C93BE0" w:rsidRPr="006F0EDD" w:rsidRDefault="00C93BE0" w:rsidP="004E41A6">
                            <w:pPr>
                              <w:jc w:val="center"/>
                              <w:rPr>
                                <w:rFonts w:ascii="Arial" w:hAnsi="Arial" w:cs="Arial"/>
                              </w:rPr>
                            </w:pPr>
                            <w:r>
                              <w:rPr>
                                <w:rFonts w:ascii="Arial" w:hAnsi="Arial" w:cs="Arial"/>
                              </w:rPr>
                              <w:t>Z</w:t>
                            </w:r>
                          </w:p>
                        </w:tc>
                        <w:tc>
                          <w:tcPr>
                            <w:tcW w:w="1204" w:type="dxa"/>
                            <w:tcBorders>
                              <w:top w:val="single" w:sz="8" w:space="0" w:color="000000"/>
                              <w:bottom w:val="single" w:sz="8" w:space="0" w:color="auto"/>
                            </w:tcBorders>
                          </w:tcPr>
                          <w:p w14:paraId="3C987981" w14:textId="77777777" w:rsidR="00C93BE0" w:rsidRPr="006F0EDD" w:rsidRDefault="00C93BE0" w:rsidP="004E41A6">
                            <w:pPr>
                              <w:jc w:val="center"/>
                              <w:rPr>
                                <w:rFonts w:ascii="Arial" w:hAnsi="Arial" w:cs="Arial"/>
                                <w:i/>
                                <w:iCs/>
                              </w:rPr>
                            </w:pPr>
                            <w:r>
                              <w:rPr>
                                <w:rFonts w:ascii="Arial" w:hAnsi="Arial" w:cs="Arial"/>
                                <w:i/>
                                <w:iCs/>
                              </w:rPr>
                              <w:t>p</w:t>
                            </w:r>
                          </w:p>
                        </w:tc>
                      </w:tr>
                      <w:tr w:rsidR="00C93BE0" w14:paraId="230BE1C9"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tcBorders>
                          </w:tcPr>
                          <w:p w14:paraId="26E11746" w14:textId="77777777" w:rsidR="00C93BE0" w:rsidRPr="006F0EDD" w:rsidRDefault="00C93BE0" w:rsidP="004E41A6">
                            <w:pPr>
                              <w:jc w:val="center"/>
                              <w:rPr>
                                <w:rFonts w:ascii="Arial" w:hAnsi="Arial" w:cs="Arial"/>
                              </w:rPr>
                            </w:pPr>
                            <w:r w:rsidRPr="006F0EDD">
                              <w:rPr>
                                <w:rFonts w:ascii="Arial" w:hAnsi="Arial" w:cs="Arial"/>
                              </w:rPr>
                              <w:t>V1</w:t>
                            </w:r>
                          </w:p>
                        </w:tc>
                        <w:tc>
                          <w:tcPr>
                            <w:tcW w:w="1285" w:type="dxa"/>
                            <w:tcBorders>
                              <w:top w:val="single" w:sz="8" w:space="0" w:color="auto"/>
                            </w:tcBorders>
                          </w:tcPr>
                          <w:p w14:paraId="2446A323" w14:textId="77777777" w:rsidR="00C93BE0" w:rsidRPr="006F0EDD" w:rsidRDefault="00C93BE0" w:rsidP="004E41A6">
                            <w:pPr>
                              <w:jc w:val="center"/>
                              <w:rPr>
                                <w:rFonts w:ascii="Arial" w:hAnsi="Arial" w:cs="Arial"/>
                              </w:rPr>
                            </w:pPr>
                            <w:r>
                              <w:rPr>
                                <w:rFonts w:ascii="Arial" w:hAnsi="Arial" w:cs="Arial"/>
                              </w:rPr>
                              <w:t>2.67</w:t>
                            </w:r>
                          </w:p>
                        </w:tc>
                        <w:tc>
                          <w:tcPr>
                            <w:tcW w:w="1569" w:type="dxa"/>
                            <w:tcBorders>
                              <w:top w:val="single" w:sz="8" w:space="0" w:color="auto"/>
                            </w:tcBorders>
                          </w:tcPr>
                          <w:p w14:paraId="44ED2CDD" w14:textId="77777777" w:rsidR="00C93BE0" w:rsidRPr="006F0EDD" w:rsidRDefault="00C93BE0" w:rsidP="004E41A6">
                            <w:pPr>
                              <w:jc w:val="center"/>
                              <w:rPr>
                                <w:rFonts w:ascii="Arial" w:hAnsi="Arial" w:cs="Arial"/>
                              </w:rPr>
                            </w:pPr>
                            <w:r>
                              <w:rPr>
                                <w:rFonts w:ascii="Arial" w:hAnsi="Arial" w:cs="Arial"/>
                              </w:rPr>
                              <w:t>.034*</w:t>
                            </w:r>
                          </w:p>
                        </w:tc>
                        <w:tc>
                          <w:tcPr>
                            <w:tcW w:w="1076" w:type="dxa"/>
                            <w:tcBorders>
                              <w:top w:val="single" w:sz="8" w:space="0" w:color="auto"/>
                            </w:tcBorders>
                          </w:tcPr>
                          <w:p w14:paraId="59DEE822" w14:textId="77777777" w:rsidR="00C93BE0" w:rsidRPr="006F0EDD" w:rsidRDefault="00C93BE0" w:rsidP="004E41A6">
                            <w:pPr>
                              <w:jc w:val="center"/>
                              <w:rPr>
                                <w:rFonts w:ascii="Arial" w:hAnsi="Arial" w:cs="Arial"/>
                              </w:rPr>
                            </w:pPr>
                            <w:r>
                              <w:rPr>
                                <w:rFonts w:ascii="Arial" w:hAnsi="Arial" w:cs="Arial"/>
                              </w:rPr>
                              <w:t>3.06</w:t>
                            </w:r>
                          </w:p>
                        </w:tc>
                        <w:tc>
                          <w:tcPr>
                            <w:tcW w:w="1475" w:type="dxa"/>
                            <w:tcBorders>
                              <w:top w:val="single" w:sz="8" w:space="0" w:color="auto"/>
                            </w:tcBorders>
                          </w:tcPr>
                          <w:p w14:paraId="577C55FD" w14:textId="77777777" w:rsidR="00C93BE0" w:rsidRPr="006F0EDD" w:rsidRDefault="00C93BE0" w:rsidP="004E41A6">
                            <w:pPr>
                              <w:jc w:val="center"/>
                              <w:rPr>
                                <w:rFonts w:ascii="Arial" w:hAnsi="Arial" w:cs="Arial"/>
                              </w:rPr>
                            </w:pPr>
                            <w:r>
                              <w:rPr>
                                <w:rFonts w:ascii="Arial" w:hAnsi="Arial" w:cs="Arial"/>
                              </w:rPr>
                              <w:t>.027*</w:t>
                            </w:r>
                          </w:p>
                        </w:tc>
                        <w:tc>
                          <w:tcPr>
                            <w:tcW w:w="1079" w:type="dxa"/>
                            <w:tcBorders>
                              <w:top w:val="single" w:sz="8" w:space="0" w:color="auto"/>
                            </w:tcBorders>
                          </w:tcPr>
                          <w:p w14:paraId="57FBAB7E" w14:textId="77777777" w:rsidR="00C93BE0" w:rsidRPr="006F0EDD" w:rsidRDefault="00C93BE0" w:rsidP="004E41A6">
                            <w:pPr>
                              <w:jc w:val="center"/>
                              <w:rPr>
                                <w:rFonts w:ascii="Arial" w:hAnsi="Arial" w:cs="Arial"/>
                              </w:rPr>
                            </w:pPr>
                            <w:r>
                              <w:rPr>
                                <w:rFonts w:ascii="Arial" w:hAnsi="Arial" w:cs="Arial"/>
                              </w:rPr>
                              <w:t>2.83</w:t>
                            </w:r>
                          </w:p>
                        </w:tc>
                        <w:tc>
                          <w:tcPr>
                            <w:tcW w:w="1204" w:type="dxa"/>
                            <w:tcBorders>
                              <w:top w:val="single" w:sz="8" w:space="0" w:color="auto"/>
                            </w:tcBorders>
                          </w:tcPr>
                          <w:p w14:paraId="6CEEDFC8" w14:textId="77777777" w:rsidR="00C93BE0" w:rsidRPr="006F0EDD" w:rsidRDefault="00C93BE0" w:rsidP="004E41A6">
                            <w:pPr>
                              <w:jc w:val="center"/>
                              <w:rPr>
                                <w:rFonts w:ascii="Arial" w:hAnsi="Arial" w:cs="Arial"/>
                              </w:rPr>
                            </w:pPr>
                            <w:r>
                              <w:rPr>
                                <w:rFonts w:ascii="Arial" w:hAnsi="Arial" w:cs="Arial"/>
                              </w:rPr>
                              <w:t>.029*</w:t>
                            </w:r>
                          </w:p>
                        </w:tc>
                      </w:tr>
                      <w:tr w:rsidR="00C93BE0" w14:paraId="6DF5043C"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19E1A5AD" w14:textId="7FA6DC31" w:rsidR="00C93BE0" w:rsidRPr="006F0EDD" w:rsidRDefault="00C93BE0" w:rsidP="004E41A6">
                            <w:pPr>
                              <w:jc w:val="center"/>
                              <w:rPr>
                                <w:rFonts w:ascii="Arial" w:hAnsi="Arial" w:cs="Arial"/>
                              </w:rPr>
                            </w:pPr>
                            <w:r w:rsidRPr="006F0EDD">
                              <w:rPr>
                                <w:rFonts w:ascii="Arial" w:hAnsi="Arial" w:cs="Arial"/>
                              </w:rPr>
                              <w:t>V3A</w:t>
                            </w:r>
                            <w:r>
                              <w:rPr>
                                <w:rFonts w:ascii="Arial" w:hAnsi="Arial" w:cs="Arial"/>
                              </w:rPr>
                              <w:t>/</w:t>
                            </w:r>
                            <w:r w:rsidRPr="006F0EDD">
                              <w:rPr>
                                <w:rFonts w:ascii="Arial" w:hAnsi="Arial" w:cs="Arial"/>
                              </w:rPr>
                              <w:t>B</w:t>
                            </w:r>
                          </w:p>
                        </w:tc>
                        <w:tc>
                          <w:tcPr>
                            <w:tcW w:w="1285" w:type="dxa"/>
                          </w:tcPr>
                          <w:p w14:paraId="009DA688" w14:textId="77777777" w:rsidR="00C93BE0" w:rsidRPr="006F0EDD" w:rsidRDefault="00C93BE0" w:rsidP="004E41A6">
                            <w:pPr>
                              <w:jc w:val="center"/>
                              <w:rPr>
                                <w:rFonts w:ascii="Arial" w:hAnsi="Arial" w:cs="Arial"/>
                              </w:rPr>
                            </w:pPr>
                            <w:r>
                              <w:rPr>
                                <w:rFonts w:ascii="Arial" w:hAnsi="Arial" w:cs="Arial"/>
                              </w:rPr>
                              <w:t>2.47</w:t>
                            </w:r>
                          </w:p>
                        </w:tc>
                        <w:tc>
                          <w:tcPr>
                            <w:tcW w:w="1569" w:type="dxa"/>
                          </w:tcPr>
                          <w:p w14:paraId="3B0A6A3A" w14:textId="77777777" w:rsidR="00C93BE0" w:rsidRPr="006F0EDD" w:rsidRDefault="00C93BE0" w:rsidP="004E41A6">
                            <w:pPr>
                              <w:jc w:val="center"/>
                              <w:rPr>
                                <w:rFonts w:ascii="Arial" w:hAnsi="Arial" w:cs="Arial"/>
                              </w:rPr>
                            </w:pPr>
                            <w:r>
                              <w:rPr>
                                <w:rFonts w:ascii="Arial" w:hAnsi="Arial" w:cs="Arial"/>
                              </w:rPr>
                              <w:t>.051</w:t>
                            </w:r>
                          </w:p>
                        </w:tc>
                        <w:tc>
                          <w:tcPr>
                            <w:tcW w:w="1076" w:type="dxa"/>
                          </w:tcPr>
                          <w:p w14:paraId="1999FD1A" w14:textId="77777777" w:rsidR="00C93BE0" w:rsidRPr="006F0EDD" w:rsidRDefault="00C93BE0" w:rsidP="004E41A6">
                            <w:pPr>
                              <w:jc w:val="center"/>
                              <w:rPr>
                                <w:rFonts w:ascii="Arial" w:hAnsi="Arial" w:cs="Arial"/>
                              </w:rPr>
                            </w:pPr>
                            <w:r>
                              <w:rPr>
                                <w:rFonts w:ascii="Arial" w:hAnsi="Arial" w:cs="Arial"/>
                              </w:rPr>
                              <w:t>3.06</w:t>
                            </w:r>
                          </w:p>
                        </w:tc>
                        <w:tc>
                          <w:tcPr>
                            <w:tcW w:w="1475" w:type="dxa"/>
                          </w:tcPr>
                          <w:p w14:paraId="438F9F11" w14:textId="77777777" w:rsidR="00C93BE0" w:rsidRPr="006F0EDD" w:rsidRDefault="00C93BE0" w:rsidP="004E41A6">
                            <w:pPr>
                              <w:jc w:val="center"/>
                              <w:rPr>
                                <w:rFonts w:ascii="Arial" w:hAnsi="Arial" w:cs="Arial"/>
                              </w:rPr>
                            </w:pPr>
                            <w:r>
                              <w:rPr>
                                <w:rFonts w:ascii="Arial" w:hAnsi="Arial" w:cs="Arial"/>
                              </w:rPr>
                              <w:t>.027*</w:t>
                            </w:r>
                          </w:p>
                        </w:tc>
                        <w:tc>
                          <w:tcPr>
                            <w:tcW w:w="1079" w:type="dxa"/>
                          </w:tcPr>
                          <w:p w14:paraId="77D63A18" w14:textId="77777777" w:rsidR="00C93BE0" w:rsidRPr="006F0EDD" w:rsidRDefault="00C93BE0" w:rsidP="004E41A6">
                            <w:pPr>
                              <w:jc w:val="center"/>
                              <w:rPr>
                                <w:rFonts w:ascii="Arial" w:hAnsi="Arial" w:cs="Arial"/>
                              </w:rPr>
                            </w:pPr>
                            <w:r>
                              <w:rPr>
                                <w:rFonts w:ascii="Arial" w:hAnsi="Arial" w:cs="Arial"/>
                              </w:rPr>
                              <w:t>2.98</w:t>
                            </w:r>
                          </w:p>
                        </w:tc>
                        <w:tc>
                          <w:tcPr>
                            <w:tcW w:w="1204" w:type="dxa"/>
                          </w:tcPr>
                          <w:p w14:paraId="707FB2A3" w14:textId="77777777" w:rsidR="00C93BE0" w:rsidRPr="006F0EDD" w:rsidRDefault="00C93BE0" w:rsidP="004E41A6">
                            <w:pPr>
                              <w:jc w:val="center"/>
                              <w:rPr>
                                <w:rFonts w:ascii="Arial" w:hAnsi="Arial" w:cs="Arial"/>
                              </w:rPr>
                            </w:pPr>
                            <w:r>
                              <w:rPr>
                                <w:rFonts w:ascii="Arial" w:hAnsi="Arial" w:cs="Arial"/>
                              </w:rPr>
                              <w:t>.027*</w:t>
                            </w:r>
                          </w:p>
                        </w:tc>
                      </w:tr>
                      <w:tr w:rsidR="00C93BE0" w14:paraId="1A0F145A"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6BB056B9" w14:textId="77777777" w:rsidR="00C93BE0" w:rsidRPr="006F0EDD" w:rsidRDefault="00C93BE0" w:rsidP="004E41A6">
                            <w:pPr>
                              <w:jc w:val="center"/>
                              <w:rPr>
                                <w:rFonts w:ascii="Arial" w:hAnsi="Arial" w:cs="Arial"/>
                              </w:rPr>
                            </w:pPr>
                            <w:r w:rsidRPr="006F0EDD">
                              <w:rPr>
                                <w:rFonts w:ascii="Arial" w:hAnsi="Arial" w:cs="Arial"/>
                              </w:rPr>
                              <w:t>hV4</w:t>
                            </w:r>
                          </w:p>
                        </w:tc>
                        <w:tc>
                          <w:tcPr>
                            <w:tcW w:w="1285" w:type="dxa"/>
                          </w:tcPr>
                          <w:p w14:paraId="66FBEAD2" w14:textId="77777777" w:rsidR="00C93BE0" w:rsidRPr="006F0EDD" w:rsidRDefault="00C93BE0" w:rsidP="004E41A6">
                            <w:pPr>
                              <w:jc w:val="center"/>
                              <w:rPr>
                                <w:rFonts w:ascii="Arial" w:hAnsi="Arial" w:cs="Arial"/>
                              </w:rPr>
                            </w:pPr>
                            <w:r>
                              <w:rPr>
                                <w:rFonts w:ascii="Arial" w:hAnsi="Arial" w:cs="Arial"/>
                              </w:rPr>
                              <w:t>2.74</w:t>
                            </w:r>
                          </w:p>
                        </w:tc>
                        <w:tc>
                          <w:tcPr>
                            <w:tcW w:w="1569" w:type="dxa"/>
                          </w:tcPr>
                          <w:p w14:paraId="696C5E9E" w14:textId="77777777" w:rsidR="00C93BE0" w:rsidRPr="006F0EDD" w:rsidRDefault="00C93BE0" w:rsidP="004E41A6">
                            <w:pPr>
                              <w:jc w:val="center"/>
                              <w:rPr>
                                <w:rFonts w:ascii="Arial" w:hAnsi="Arial" w:cs="Arial"/>
                              </w:rPr>
                            </w:pPr>
                            <w:r>
                              <w:rPr>
                                <w:rFonts w:ascii="Arial" w:hAnsi="Arial" w:cs="Arial"/>
                              </w:rPr>
                              <w:t>.033*</w:t>
                            </w:r>
                          </w:p>
                        </w:tc>
                        <w:tc>
                          <w:tcPr>
                            <w:tcW w:w="1076" w:type="dxa"/>
                          </w:tcPr>
                          <w:p w14:paraId="7D76B58D" w14:textId="77777777" w:rsidR="00C93BE0" w:rsidRPr="006F0EDD" w:rsidRDefault="00C93BE0" w:rsidP="004E41A6">
                            <w:pPr>
                              <w:jc w:val="center"/>
                              <w:rPr>
                                <w:rFonts w:ascii="Arial" w:hAnsi="Arial" w:cs="Arial"/>
                              </w:rPr>
                            </w:pPr>
                            <w:r>
                              <w:rPr>
                                <w:rFonts w:ascii="Arial" w:hAnsi="Arial" w:cs="Arial"/>
                              </w:rPr>
                              <w:t>2.87</w:t>
                            </w:r>
                          </w:p>
                        </w:tc>
                        <w:tc>
                          <w:tcPr>
                            <w:tcW w:w="1475" w:type="dxa"/>
                          </w:tcPr>
                          <w:p w14:paraId="4E1FE07A" w14:textId="77777777" w:rsidR="00C93BE0" w:rsidRPr="006F0EDD" w:rsidRDefault="00C93BE0" w:rsidP="004E41A6">
                            <w:pPr>
                              <w:jc w:val="center"/>
                              <w:rPr>
                                <w:rFonts w:ascii="Arial" w:hAnsi="Arial" w:cs="Arial"/>
                              </w:rPr>
                            </w:pPr>
                            <w:r>
                              <w:rPr>
                                <w:rFonts w:ascii="Arial" w:hAnsi="Arial" w:cs="Arial"/>
                              </w:rPr>
                              <w:t>.029*</w:t>
                            </w:r>
                          </w:p>
                        </w:tc>
                        <w:tc>
                          <w:tcPr>
                            <w:tcW w:w="1079" w:type="dxa"/>
                          </w:tcPr>
                          <w:p w14:paraId="37F384B5" w14:textId="77777777" w:rsidR="00C93BE0" w:rsidRPr="006F0EDD" w:rsidRDefault="00C93BE0" w:rsidP="004E41A6">
                            <w:pPr>
                              <w:jc w:val="center"/>
                              <w:rPr>
                                <w:rFonts w:ascii="Arial" w:hAnsi="Arial" w:cs="Arial"/>
                              </w:rPr>
                            </w:pPr>
                            <w:r>
                              <w:rPr>
                                <w:rFonts w:ascii="Arial" w:hAnsi="Arial" w:cs="Arial"/>
                              </w:rPr>
                              <w:t>2.35</w:t>
                            </w:r>
                          </w:p>
                        </w:tc>
                        <w:tc>
                          <w:tcPr>
                            <w:tcW w:w="1204" w:type="dxa"/>
                          </w:tcPr>
                          <w:p w14:paraId="1436EC2C" w14:textId="77777777" w:rsidR="00C93BE0" w:rsidRPr="006F0EDD" w:rsidRDefault="00C93BE0" w:rsidP="004E41A6">
                            <w:pPr>
                              <w:jc w:val="center"/>
                              <w:rPr>
                                <w:rFonts w:ascii="Arial" w:hAnsi="Arial" w:cs="Arial"/>
                              </w:rPr>
                            </w:pPr>
                            <w:r>
                              <w:rPr>
                                <w:rFonts w:ascii="Arial" w:hAnsi="Arial" w:cs="Arial"/>
                              </w:rPr>
                              <w:t>.066</w:t>
                            </w:r>
                          </w:p>
                        </w:tc>
                      </w:tr>
                      <w:tr w:rsidR="00C93BE0" w14:paraId="4386BB11"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4F8C754B" w14:textId="77777777" w:rsidR="00C93BE0" w:rsidRPr="006F0EDD" w:rsidRDefault="00C93BE0" w:rsidP="004E41A6">
                            <w:pPr>
                              <w:jc w:val="center"/>
                              <w:rPr>
                                <w:rFonts w:ascii="Arial" w:hAnsi="Arial" w:cs="Arial"/>
                              </w:rPr>
                            </w:pPr>
                            <w:r w:rsidRPr="006F0EDD">
                              <w:rPr>
                                <w:rFonts w:ascii="Arial" w:hAnsi="Arial" w:cs="Arial"/>
                              </w:rPr>
                              <w:t>LO-1</w:t>
                            </w:r>
                          </w:p>
                        </w:tc>
                        <w:tc>
                          <w:tcPr>
                            <w:tcW w:w="1285" w:type="dxa"/>
                          </w:tcPr>
                          <w:p w14:paraId="5A7CABB7" w14:textId="77777777" w:rsidR="00C93BE0" w:rsidRPr="006F0EDD" w:rsidRDefault="00C93BE0" w:rsidP="004E41A6">
                            <w:pPr>
                              <w:jc w:val="center"/>
                              <w:rPr>
                                <w:rFonts w:ascii="Arial" w:hAnsi="Arial" w:cs="Arial"/>
                              </w:rPr>
                            </w:pPr>
                            <w:r>
                              <w:rPr>
                                <w:rFonts w:ascii="Arial" w:hAnsi="Arial" w:cs="Arial"/>
                              </w:rPr>
                              <w:t>2.98</w:t>
                            </w:r>
                          </w:p>
                        </w:tc>
                        <w:tc>
                          <w:tcPr>
                            <w:tcW w:w="1569" w:type="dxa"/>
                          </w:tcPr>
                          <w:p w14:paraId="7BD473C7" w14:textId="77777777" w:rsidR="00C93BE0" w:rsidRPr="006F0EDD" w:rsidRDefault="00C93BE0" w:rsidP="004E41A6">
                            <w:pPr>
                              <w:jc w:val="center"/>
                              <w:rPr>
                                <w:rFonts w:ascii="Arial" w:hAnsi="Arial" w:cs="Arial"/>
                              </w:rPr>
                            </w:pPr>
                            <w:r>
                              <w:rPr>
                                <w:rFonts w:ascii="Arial" w:hAnsi="Arial" w:cs="Arial"/>
                              </w:rPr>
                              <w:t>.027*</w:t>
                            </w:r>
                          </w:p>
                        </w:tc>
                        <w:tc>
                          <w:tcPr>
                            <w:tcW w:w="1076" w:type="dxa"/>
                          </w:tcPr>
                          <w:p w14:paraId="206A9381" w14:textId="77777777" w:rsidR="00C93BE0" w:rsidRPr="006F0EDD" w:rsidRDefault="00C93BE0" w:rsidP="004E41A6">
                            <w:pPr>
                              <w:jc w:val="center"/>
                              <w:rPr>
                                <w:rFonts w:ascii="Arial" w:hAnsi="Arial" w:cs="Arial"/>
                              </w:rPr>
                            </w:pPr>
                            <w:r>
                              <w:rPr>
                                <w:rFonts w:ascii="Arial" w:hAnsi="Arial" w:cs="Arial"/>
                              </w:rPr>
                              <w:t>2.95</w:t>
                            </w:r>
                          </w:p>
                        </w:tc>
                        <w:tc>
                          <w:tcPr>
                            <w:tcW w:w="1475" w:type="dxa"/>
                          </w:tcPr>
                          <w:p w14:paraId="33A9793B" w14:textId="77777777" w:rsidR="00C93BE0" w:rsidRPr="006F0EDD" w:rsidRDefault="00C93BE0" w:rsidP="004E41A6">
                            <w:pPr>
                              <w:jc w:val="center"/>
                              <w:rPr>
                                <w:rFonts w:ascii="Arial" w:hAnsi="Arial" w:cs="Arial"/>
                              </w:rPr>
                            </w:pPr>
                            <w:r>
                              <w:rPr>
                                <w:rFonts w:ascii="Arial" w:hAnsi="Arial" w:cs="Arial"/>
                              </w:rPr>
                              <w:t>.027*</w:t>
                            </w:r>
                          </w:p>
                        </w:tc>
                        <w:tc>
                          <w:tcPr>
                            <w:tcW w:w="1079" w:type="dxa"/>
                          </w:tcPr>
                          <w:p w14:paraId="079C9D36" w14:textId="77777777" w:rsidR="00C93BE0" w:rsidRPr="006F0EDD" w:rsidRDefault="00C93BE0" w:rsidP="004E41A6">
                            <w:pPr>
                              <w:jc w:val="center"/>
                              <w:rPr>
                                <w:rFonts w:ascii="Arial" w:hAnsi="Arial" w:cs="Arial"/>
                              </w:rPr>
                            </w:pPr>
                            <w:r>
                              <w:rPr>
                                <w:rFonts w:ascii="Arial" w:hAnsi="Arial" w:cs="Arial"/>
                              </w:rPr>
                              <w:t>2.31</w:t>
                            </w:r>
                          </w:p>
                        </w:tc>
                        <w:tc>
                          <w:tcPr>
                            <w:tcW w:w="1204" w:type="dxa"/>
                          </w:tcPr>
                          <w:p w14:paraId="1E47CCC1" w14:textId="77777777" w:rsidR="00C93BE0" w:rsidRPr="006F0EDD" w:rsidRDefault="00C93BE0" w:rsidP="004E41A6">
                            <w:pPr>
                              <w:jc w:val="center"/>
                              <w:rPr>
                                <w:rFonts w:ascii="Arial" w:hAnsi="Arial" w:cs="Arial"/>
                              </w:rPr>
                            </w:pPr>
                            <w:r>
                              <w:rPr>
                                <w:rFonts w:ascii="Arial" w:hAnsi="Arial" w:cs="Arial"/>
                              </w:rPr>
                              <w:t>.069</w:t>
                            </w:r>
                          </w:p>
                        </w:tc>
                      </w:tr>
                      <w:tr w:rsidR="00C93BE0" w14:paraId="6A02DDCD"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bottom w:val="single" w:sz="8" w:space="0" w:color="000000"/>
                            </w:tcBorders>
                          </w:tcPr>
                          <w:p w14:paraId="22C3426F" w14:textId="77777777" w:rsidR="00C93BE0" w:rsidRPr="006F0EDD" w:rsidRDefault="00C93BE0" w:rsidP="004E41A6">
                            <w:pPr>
                              <w:jc w:val="center"/>
                              <w:rPr>
                                <w:rFonts w:ascii="Arial" w:hAnsi="Arial" w:cs="Arial"/>
                              </w:rPr>
                            </w:pPr>
                            <w:r w:rsidRPr="006F0EDD">
                              <w:rPr>
                                <w:rFonts w:ascii="Arial" w:hAnsi="Arial" w:cs="Arial"/>
                              </w:rPr>
                              <w:t>LO-2</w:t>
                            </w:r>
                          </w:p>
                        </w:tc>
                        <w:tc>
                          <w:tcPr>
                            <w:tcW w:w="1285" w:type="dxa"/>
                            <w:tcBorders>
                              <w:bottom w:val="single" w:sz="8" w:space="0" w:color="000000"/>
                            </w:tcBorders>
                          </w:tcPr>
                          <w:p w14:paraId="37D86C33" w14:textId="77777777" w:rsidR="00C93BE0" w:rsidRPr="006F0EDD" w:rsidRDefault="00C93BE0" w:rsidP="004E41A6">
                            <w:pPr>
                              <w:jc w:val="center"/>
                              <w:rPr>
                                <w:rFonts w:ascii="Arial" w:hAnsi="Arial" w:cs="Arial"/>
                              </w:rPr>
                            </w:pPr>
                            <w:r>
                              <w:rPr>
                                <w:rFonts w:ascii="Arial" w:hAnsi="Arial" w:cs="Arial"/>
                              </w:rPr>
                              <w:t>2.63</w:t>
                            </w:r>
                          </w:p>
                        </w:tc>
                        <w:tc>
                          <w:tcPr>
                            <w:tcW w:w="1569" w:type="dxa"/>
                            <w:tcBorders>
                              <w:bottom w:val="single" w:sz="8" w:space="0" w:color="000000"/>
                            </w:tcBorders>
                          </w:tcPr>
                          <w:p w14:paraId="04BBAC22" w14:textId="77777777" w:rsidR="00C93BE0" w:rsidRPr="006F0EDD" w:rsidRDefault="00C93BE0" w:rsidP="004E41A6">
                            <w:pPr>
                              <w:jc w:val="center"/>
                              <w:rPr>
                                <w:rFonts w:ascii="Arial" w:hAnsi="Arial" w:cs="Arial"/>
                              </w:rPr>
                            </w:pPr>
                            <w:r>
                              <w:rPr>
                                <w:rFonts w:ascii="Arial" w:hAnsi="Arial" w:cs="Arial"/>
                              </w:rPr>
                              <w:t>.035*</w:t>
                            </w:r>
                          </w:p>
                        </w:tc>
                        <w:tc>
                          <w:tcPr>
                            <w:tcW w:w="1076" w:type="dxa"/>
                            <w:tcBorders>
                              <w:bottom w:val="single" w:sz="8" w:space="0" w:color="000000"/>
                            </w:tcBorders>
                          </w:tcPr>
                          <w:p w14:paraId="2EC75265" w14:textId="77777777" w:rsidR="00C93BE0" w:rsidRPr="006F0EDD" w:rsidRDefault="00C93BE0" w:rsidP="004E41A6">
                            <w:pPr>
                              <w:jc w:val="center"/>
                              <w:rPr>
                                <w:rFonts w:ascii="Arial" w:hAnsi="Arial" w:cs="Arial"/>
                              </w:rPr>
                            </w:pPr>
                            <w:r>
                              <w:rPr>
                                <w:rFonts w:ascii="Arial" w:hAnsi="Arial" w:cs="Arial"/>
                              </w:rPr>
                              <w:t>2.71</w:t>
                            </w:r>
                          </w:p>
                        </w:tc>
                        <w:tc>
                          <w:tcPr>
                            <w:tcW w:w="1475" w:type="dxa"/>
                            <w:tcBorders>
                              <w:bottom w:val="single" w:sz="8" w:space="0" w:color="000000"/>
                            </w:tcBorders>
                          </w:tcPr>
                          <w:p w14:paraId="2FB0AF74" w14:textId="77777777" w:rsidR="00C93BE0" w:rsidRPr="006F0EDD" w:rsidRDefault="00C93BE0" w:rsidP="004E41A6">
                            <w:pPr>
                              <w:jc w:val="center"/>
                              <w:rPr>
                                <w:rFonts w:ascii="Arial" w:hAnsi="Arial" w:cs="Arial"/>
                              </w:rPr>
                            </w:pPr>
                            <w:r>
                              <w:rPr>
                                <w:rFonts w:ascii="Arial" w:hAnsi="Arial" w:cs="Arial"/>
                              </w:rPr>
                              <w:t>.033*</w:t>
                            </w:r>
                          </w:p>
                        </w:tc>
                        <w:tc>
                          <w:tcPr>
                            <w:tcW w:w="1079" w:type="dxa"/>
                            <w:tcBorders>
                              <w:bottom w:val="single" w:sz="8" w:space="0" w:color="000000"/>
                            </w:tcBorders>
                          </w:tcPr>
                          <w:p w14:paraId="2847C8EA" w14:textId="77777777" w:rsidR="00C93BE0" w:rsidRPr="006F0EDD" w:rsidRDefault="00C93BE0" w:rsidP="004E41A6">
                            <w:pPr>
                              <w:jc w:val="center"/>
                              <w:rPr>
                                <w:rFonts w:ascii="Arial" w:hAnsi="Arial" w:cs="Arial"/>
                              </w:rPr>
                            </w:pPr>
                            <w:r>
                              <w:rPr>
                                <w:rFonts w:ascii="Arial" w:hAnsi="Arial" w:cs="Arial"/>
                              </w:rPr>
                              <w:t>3.06</w:t>
                            </w:r>
                          </w:p>
                        </w:tc>
                        <w:tc>
                          <w:tcPr>
                            <w:tcW w:w="1204" w:type="dxa"/>
                            <w:tcBorders>
                              <w:bottom w:val="single" w:sz="8" w:space="0" w:color="000000"/>
                            </w:tcBorders>
                          </w:tcPr>
                          <w:p w14:paraId="64F36F54" w14:textId="77777777" w:rsidR="00C93BE0" w:rsidRPr="006F0EDD" w:rsidRDefault="00C93BE0" w:rsidP="004E41A6">
                            <w:pPr>
                              <w:jc w:val="center"/>
                              <w:rPr>
                                <w:rFonts w:ascii="Arial" w:hAnsi="Arial" w:cs="Arial"/>
                              </w:rPr>
                            </w:pPr>
                            <w:r>
                              <w:rPr>
                                <w:rFonts w:ascii="Arial" w:hAnsi="Arial" w:cs="Arial"/>
                              </w:rPr>
                              <w:t>.027*</w:t>
                            </w:r>
                          </w:p>
                        </w:tc>
                      </w:tr>
                    </w:tbl>
                    <w:p w14:paraId="0B03FE15" w14:textId="77777777" w:rsidR="00C93BE0" w:rsidRPr="006F0EDD" w:rsidRDefault="00C93BE0" w:rsidP="000F7CA8">
                      <w:pPr>
                        <w:rPr>
                          <w:rFonts w:ascii="Arial" w:hAnsi="Arial" w:cs="Arial"/>
                          <w:i/>
                          <w:iCs/>
                        </w:rPr>
                      </w:pPr>
                      <w:r w:rsidRPr="006F0EDD">
                        <w:rPr>
                          <w:rFonts w:ascii="Arial" w:hAnsi="Arial" w:cs="Arial"/>
                          <w:i/>
                          <w:iCs/>
                        </w:rPr>
                        <w:t>*</w:t>
                      </w:r>
                      <w:r>
                        <w:rPr>
                          <w:rFonts w:ascii="Arial" w:hAnsi="Arial" w:cs="Arial"/>
                          <w:i/>
                          <w:iCs/>
                        </w:rPr>
                        <w:t xml:space="preserve"> p &lt;.05, ** p&lt;.01, *** p&lt;.001</w:t>
                      </w:r>
                    </w:p>
                    <w:p w14:paraId="333721BA" w14:textId="77777777" w:rsidR="00C93BE0" w:rsidRDefault="00C93BE0" w:rsidP="000F7CA8"/>
                  </w:txbxContent>
                </v:textbox>
                <w10:wrap type="square"/>
              </v:shape>
            </w:pict>
          </mc:Fallback>
        </mc:AlternateContent>
      </w:r>
    </w:p>
    <w:p w14:paraId="6534FE8E" w14:textId="77777777" w:rsidR="006832FB" w:rsidRPr="00225AB0" w:rsidRDefault="006832FB" w:rsidP="006832FB">
      <w:pPr>
        <w:rPr>
          <w:rFonts w:ascii="Arial" w:hAnsi="Arial" w:cs="Arial"/>
        </w:rPr>
      </w:pPr>
    </w:p>
    <w:p w14:paraId="3D167D4E" w14:textId="409019CC" w:rsidR="006832FB" w:rsidRPr="00225AB0" w:rsidRDefault="006832FB" w:rsidP="006832FB">
      <w:pPr>
        <w:spacing w:line="480" w:lineRule="auto"/>
        <w:rPr>
          <w:rFonts w:ascii="Arial" w:hAnsi="Arial" w:cs="Arial"/>
        </w:rPr>
      </w:pPr>
      <w:r w:rsidRPr="00225AB0">
        <w:rPr>
          <w:rFonts w:ascii="Arial" w:hAnsi="Arial" w:cs="Arial"/>
        </w:rPr>
        <w:t xml:space="preserve">Previous research has demonstrated that some types of stimuli can generate retinotopically-based patterns of response </w:t>
      </w:r>
      <w:r w:rsidR="00D44AC6">
        <w:rPr>
          <w:rFonts w:ascii="Arial" w:hAnsi="Arial" w:cs="Arial"/>
        </w:rPr>
        <w:t>in</w:t>
      </w:r>
      <w:r w:rsidRPr="00225AB0">
        <w:rPr>
          <w:rFonts w:ascii="Arial" w:hAnsi="Arial" w:cs="Arial"/>
        </w:rPr>
        <w:t xml:space="preserve"> individual ROIs at coarse spatial scales. For example, clear maps of orientation preference have been demonstrated in primary visual cortex, which have been suggested to influence multivariate pattern classification techniques </w:t>
      </w:r>
      <w:r w:rsidRPr="00225AB0">
        <w:rPr>
          <w:rFonts w:ascii="Arial" w:hAnsi="Arial" w:cs="Arial"/>
        </w:rPr>
        <w:fldChar w:fldCharType="begin"/>
      </w:r>
      <w:r w:rsidR="005B4361">
        <w:rPr>
          <w:rFonts w:ascii="Arial" w:hAnsi="Arial" w:cs="Arial"/>
        </w:rPr>
        <w:instrText xml:space="preserve"> ADDIN ZOTERO_ITEM CSL_CITATION {"citationID":"VKCO6heC","properties":{"formattedCitation":"(Freeman, Brouwer, Heeger, &amp; Merriam, 2011)","plainCitation":"(Freeman, Brouwer, Heeger, &amp; Merriam, 2011)","dontUpdate":true,"noteIndex":0},"citationItems":[{"id":247,"uris":["http://zotero.org/groups/318634/items/87VKZCHG"],"uri":["http://zotero.org/groups/318634/items/87VKZCHG"],"itemData":{"id":247,"type":"article-journal","title":"Orientation decoding depends on maps, not columns","container-title":"Journal of Neuroscience","page":"4792–4804","volume":"31","issue":"13","source":"Google Scholar","author":[{"family":"Freeman","given":"Jeremy"},{"family":"Brouwer","given":"Gijs Joost"},{"family":"Heeger","given":"David J."},{"family":"Merriam","given":"Elisha P."}],"issued":{"date-parts":[["2011"]]}}}],"schema":"https://github.com/citation-style-language/schema/raw/master/csl-citation.json"} </w:instrText>
      </w:r>
      <w:r w:rsidRPr="00225AB0">
        <w:rPr>
          <w:rFonts w:ascii="Arial" w:hAnsi="Arial" w:cs="Arial"/>
        </w:rPr>
        <w:fldChar w:fldCharType="separate"/>
      </w:r>
      <w:r w:rsidRPr="00225AB0">
        <w:rPr>
          <w:rFonts w:ascii="Arial" w:hAnsi="Arial" w:cs="Arial"/>
          <w:noProof/>
        </w:rPr>
        <w:t>(see Freeman, Brouwer, Heeger, &amp; Merriam, 2011)</w:t>
      </w:r>
      <w:r w:rsidRPr="00225AB0">
        <w:rPr>
          <w:rFonts w:ascii="Arial" w:hAnsi="Arial" w:cs="Arial"/>
        </w:rPr>
        <w:fldChar w:fldCharType="end"/>
      </w:r>
      <w:r w:rsidRPr="00225AB0">
        <w:rPr>
          <w:rFonts w:ascii="Arial" w:hAnsi="Arial" w:cs="Arial"/>
        </w:rPr>
        <w:t xml:space="preserve">. We asked whether our stimuli may also evoke relatively large-scale biases in spatial attention, which may inform our classification analyses. </w:t>
      </w:r>
    </w:p>
    <w:p w14:paraId="22D1EC82" w14:textId="77777777" w:rsidR="006832FB" w:rsidRPr="00225AB0" w:rsidRDefault="006832FB" w:rsidP="006832FB">
      <w:pPr>
        <w:spacing w:line="480" w:lineRule="auto"/>
        <w:rPr>
          <w:rFonts w:ascii="Arial" w:hAnsi="Arial" w:cs="Arial"/>
        </w:rPr>
      </w:pPr>
    </w:p>
    <w:p w14:paraId="6A6B0287" w14:textId="733A8A89" w:rsidR="006832FB" w:rsidRDefault="006832FB" w:rsidP="006832FB">
      <w:pPr>
        <w:spacing w:line="480" w:lineRule="auto"/>
        <w:rPr>
          <w:rFonts w:ascii="Arial" w:hAnsi="Arial" w:cs="Arial"/>
        </w:rPr>
      </w:pPr>
      <w:r w:rsidRPr="00225AB0">
        <w:rPr>
          <w:rFonts w:ascii="Arial" w:hAnsi="Arial" w:cs="Arial"/>
        </w:rPr>
        <w:t xml:space="preserve">We identified the voxels most informative for each low-level visual feature classification (versus passive) and back-projected these into visual space coordinates. These representations were then averaged across participants </w:t>
      </w:r>
      <w:r w:rsidRPr="00225AB0">
        <w:rPr>
          <w:rFonts w:ascii="Arial" w:hAnsi="Arial" w:cs="Arial"/>
        </w:rPr>
        <w:lastRenderedPageBreak/>
        <w:t xml:space="preserve">to reveal average spatial patterns of voxel preference across individuals. If all participants employed a consistent spatial strategy for a particular low-level visual feature task, these averaged plots would reveal a consistent non-zero response in a particular location. If no large-scale patterns of response were generated by attention in a consistent fashion across observers, these maps would average to zero. We identify no significant patterns of attentional modulation are evident for any feature of attentional focus across ROIs, with no clear peak of spatial attentional focus as a function of polar angle also identified </w:t>
      </w:r>
      <w:r w:rsidR="00D44AC6">
        <w:rPr>
          <w:rFonts w:ascii="Arial" w:hAnsi="Arial" w:cs="Arial"/>
        </w:rPr>
        <w:t>in</w:t>
      </w:r>
      <w:r w:rsidRPr="00225AB0">
        <w:rPr>
          <w:rFonts w:ascii="Arial" w:hAnsi="Arial" w:cs="Arial"/>
        </w:rPr>
        <w:t xml:space="preserve"> the annulus overlays (see Figure</w:t>
      </w:r>
      <w:r w:rsidR="0068545F">
        <w:rPr>
          <w:rFonts w:ascii="Arial" w:hAnsi="Arial" w:cs="Arial"/>
        </w:rPr>
        <w:t xml:space="preserve"> 5.4</w:t>
      </w:r>
      <w:r w:rsidRPr="00225AB0">
        <w:rPr>
          <w:rFonts w:ascii="Arial" w:hAnsi="Arial" w:cs="Arial"/>
        </w:rPr>
        <w:t xml:space="preserve">C).  </w:t>
      </w:r>
    </w:p>
    <w:p w14:paraId="427551B8" w14:textId="41694B7C" w:rsidR="009F3085" w:rsidRDefault="009F3085" w:rsidP="006832FB">
      <w:pPr>
        <w:spacing w:line="480" w:lineRule="auto"/>
        <w:rPr>
          <w:rFonts w:ascii="Arial" w:hAnsi="Arial" w:cs="Arial"/>
        </w:rPr>
      </w:pPr>
    </w:p>
    <w:p w14:paraId="264CE3F0" w14:textId="08BB61D6" w:rsidR="006832FB" w:rsidRPr="00225AB0" w:rsidRDefault="009F3085" w:rsidP="00194172">
      <w:pPr>
        <w:spacing w:line="480" w:lineRule="auto"/>
        <w:rPr>
          <w:rFonts w:ascii="Arial" w:hAnsi="Arial" w:cs="Arial"/>
        </w:rPr>
      </w:pPr>
      <w:r w:rsidRPr="00225AB0">
        <w:rPr>
          <w:rFonts w:ascii="Arial" w:hAnsi="Arial" w:cs="Arial"/>
          <w:noProof/>
          <w:lang w:eastAsia="en-GB"/>
        </w:rPr>
        <w:lastRenderedPageBreak/>
        <mc:AlternateContent>
          <mc:Choice Requires="wps">
            <w:drawing>
              <wp:anchor distT="0" distB="0" distL="114300" distR="114300" simplePos="0" relativeHeight="251826176" behindDoc="0" locked="0" layoutInCell="1" allowOverlap="1" wp14:anchorId="4D0D053B" wp14:editId="5C6BDEB2">
                <wp:simplePos x="0" y="0"/>
                <wp:positionH relativeFrom="column">
                  <wp:posOffset>8890</wp:posOffset>
                </wp:positionH>
                <wp:positionV relativeFrom="paragraph">
                  <wp:posOffset>0</wp:posOffset>
                </wp:positionV>
                <wp:extent cx="5292090" cy="867791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5292090" cy="8677910"/>
                        </a:xfrm>
                        <a:prstGeom prst="rect">
                          <a:avLst/>
                        </a:prstGeom>
                        <a:noFill/>
                        <a:ln w="6350">
                          <a:noFill/>
                        </a:ln>
                      </wps:spPr>
                      <wps:txbx>
                        <w:txbxContent>
                          <w:p w14:paraId="2B7A6057" w14:textId="7D14CB8C" w:rsidR="00C93BE0" w:rsidRDefault="00C93BE0" w:rsidP="009F3085">
                            <w:pPr>
                              <w:keepNext/>
                              <w:jc w:val="center"/>
                            </w:pPr>
                            <w:r>
                              <w:rPr>
                                <w:noProof/>
                              </w:rPr>
                              <w:drawing>
                                <wp:inline distT="0" distB="0" distL="0" distR="0" wp14:anchorId="694C8401" wp14:editId="47D27644">
                                  <wp:extent cx="5158596" cy="4354699"/>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igure5.4-feature_multivariate_matrix.png"/>
                                          <pic:cNvPicPr/>
                                        </pic:nvPicPr>
                                        <pic:blipFill rotWithShape="1">
                                          <a:blip r:embed="rId60">
                                            <a:extLst>
                                              <a:ext uri="{28A0092B-C50C-407E-A947-70E740481C1C}">
                                                <a14:useLocalDpi xmlns:a14="http://schemas.microsoft.com/office/drawing/2010/main" val="0"/>
                                              </a:ext>
                                            </a:extLst>
                                          </a:blip>
                                          <a:srcRect l="4057" r="2277"/>
                                          <a:stretch/>
                                        </pic:blipFill>
                                        <pic:spPr bwMode="auto">
                                          <a:xfrm>
                                            <a:off x="0" y="0"/>
                                            <a:ext cx="5169723" cy="4364092"/>
                                          </a:xfrm>
                                          <a:prstGeom prst="rect">
                                            <a:avLst/>
                                          </a:prstGeom>
                                          <a:ln>
                                            <a:noFill/>
                                          </a:ln>
                                          <a:extLst>
                                            <a:ext uri="{53640926-AAD7-44D8-BBD7-CCE9431645EC}">
                                              <a14:shadowObscured xmlns:a14="http://schemas.microsoft.com/office/drawing/2010/main"/>
                                            </a:ext>
                                          </a:extLst>
                                        </pic:spPr>
                                      </pic:pic>
                                    </a:graphicData>
                                  </a:graphic>
                                </wp:inline>
                              </w:drawing>
                            </w:r>
                          </w:p>
                          <w:p w14:paraId="10CEA7B9" w14:textId="1F9F1E78" w:rsidR="00C93BE0" w:rsidRPr="00567DA4" w:rsidRDefault="00C93BE0" w:rsidP="009F3085">
                            <w:pPr>
                              <w:pStyle w:val="Caption"/>
                              <w:spacing w:line="360" w:lineRule="auto"/>
                              <w:jc w:val="both"/>
                              <w:rPr>
                                <w:rFonts w:ascii="Arial" w:hAnsi="Arial" w:cs="Arial"/>
                                <w:i w:val="0"/>
                                <w:iCs w:val="0"/>
                                <w:color w:val="000000" w:themeColor="text1"/>
                                <w:sz w:val="24"/>
                                <w:szCs w:val="24"/>
                                <w:lang w:val="en-US"/>
                              </w:rPr>
                            </w:pPr>
                            <w:bookmarkStart w:id="692" w:name="_Toc12363357"/>
                            <w:bookmarkStart w:id="693" w:name="_Toc16242714"/>
                            <w:r w:rsidRPr="00567DA4">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i w:val="0"/>
                                <w:color w:val="000000" w:themeColor="text1"/>
                                <w:sz w:val="24"/>
                                <w:szCs w:val="24"/>
                              </w:rPr>
                              <w:t xml:space="preserve"> </w:t>
                            </w:r>
                            <w:r w:rsidRPr="00567DA4">
                              <w:rPr>
                                <w:rFonts w:ascii="Arial" w:hAnsi="Arial" w:cs="Arial"/>
                                <w:i w:val="0"/>
                                <w:iCs w:val="0"/>
                                <w:color w:val="000000" w:themeColor="text1"/>
                                <w:sz w:val="24"/>
                                <w:szCs w:val="24"/>
                                <w:lang w:val="en-US"/>
                              </w:rPr>
                              <w:t>Feature-specific multivariate Support Vector Machine Decoding and Group-averaged voxel feature-specific weights as a function of eccentricity (6°) and polar angle (360°). Voxel-level responses with individual ROIs are modulated by attentional state. A) Overall three-way decoding accuracies. Attentional state can be decoded above chance in all ROIs except A1.</w:t>
                            </w:r>
                            <w:r w:rsidRPr="000F7CA8">
                              <w:rPr>
                                <w:rFonts w:ascii="Arial" w:hAnsi="Arial" w:cs="Arial"/>
                                <w:i w:val="0"/>
                                <w:iCs w:val="0"/>
                                <w:color w:val="000000" w:themeColor="text1"/>
                                <w:sz w:val="24"/>
                                <w:szCs w:val="24"/>
                                <w:lang w:val="en-US"/>
                              </w:rPr>
                              <w:t xml:space="preserve"> </w:t>
                            </w:r>
                            <w:r w:rsidRPr="00567DA4">
                              <w:rPr>
                                <w:rFonts w:ascii="Arial" w:hAnsi="Arial" w:cs="Arial"/>
                                <w:i w:val="0"/>
                                <w:iCs w:val="0"/>
                                <w:color w:val="000000" w:themeColor="text1"/>
                                <w:sz w:val="24"/>
                                <w:szCs w:val="24"/>
                                <w:lang w:val="en-US"/>
                              </w:rPr>
                              <w:t>Error bars reflect +/- 1 SEM</w:t>
                            </w:r>
                            <w:r>
                              <w:rPr>
                                <w:rFonts w:ascii="Arial" w:hAnsi="Arial" w:cs="Arial"/>
                                <w:i w:val="0"/>
                                <w:iCs w:val="0"/>
                                <w:color w:val="000000" w:themeColor="text1"/>
                                <w:sz w:val="24"/>
                                <w:szCs w:val="24"/>
                                <w:lang w:val="en-US"/>
                              </w:rPr>
                              <w:t xml:space="preserve">. </w:t>
                            </w:r>
                            <w:r w:rsidRPr="00567DA4">
                              <w:rPr>
                                <w:rFonts w:ascii="Arial" w:hAnsi="Arial" w:cs="Arial"/>
                                <w:i w:val="0"/>
                                <w:iCs w:val="0"/>
                                <w:color w:val="000000" w:themeColor="text1"/>
                                <w:sz w:val="24"/>
                                <w:szCs w:val="24"/>
                                <w:lang w:val="en-US"/>
                              </w:rPr>
                              <w:t>B) Two-way classification accuracies across pairwise combinations of attentional focus (orientation versus shape, orientation versus contrast and contrast versus shape). Voxel patterns in all areas differ significantly between attention to orientation and shape.</w:t>
                            </w:r>
                            <w:r>
                              <w:rPr>
                                <w:rFonts w:ascii="Arial" w:hAnsi="Arial" w:cs="Arial"/>
                                <w:i w:val="0"/>
                                <w:iCs w:val="0"/>
                                <w:color w:val="000000" w:themeColor="text1"/>
                                <w:sz w:val="24"/>
                                <w:szCs w:val="24"/>
                                <w:lang w:val="en-US"/>
                              </w:rPr>
                              <w:t xml:space="preserve"> S</w:t>
                            </w:r>
                            <w:r w:rsidRPr="00567DA4">
                              <w:rPr>
                                <w:rFonts w:ascii="Arial" w:hAnsi="Arial" w:cs="Arial"/>
                                <w:i w:val="0"/>
                                <w:iCs w:val="0"/>
                                <w:color w:val="000000" w:themeColor="text1"/>
                                <w:sz w:val="24"/>
                                <w:szCs w:val="24"/>
                                <w:lang w:val="en-US"/>
                              </w:rPr>
                              <w:t>ignificance asterisks indicate Benjamini-Hochberg corrected values. C) Spatial backprojection analyses reveal no large-scale biases in voxel weights across location. The gray annulus reflects averaged voxel modulation at 1° intervals across 1.5-2.5° visual space. Deviations from circularity indicate positive (feature-specific) or negative (passive viewing) preferring clusters of voxels. An RFP stimulus overlay is provided for reference. Activation is thresholded at +/- 1.7 z-score (p</w:t>
                            </w:r>
                            <w:r w:rsidRPr="00567DA4">
                              <w:rPr>
                                <w:rFonts w:ascii="Arial" w:hAnsi="Arial" w:cs="Arial"/>
                                <w:i w:val="0"/>
                                <w:color w:val="000000" w:themeColor="text1"/>
                                <w:sz w:val="24"/>
                                <w:szCs w:val="24"/>
                                <w:lang w:val="en-US"/>
                              </w:rPr>
                              <w:t xml:space="preserve"> &lt;.05).</w:t>
                            </w:r>
                            <w:bookmarkEnd w:id="692"/>
                            <w:bookmarkEnd w:id="693"/>
                          </w:p>
                          <w:p w14:paraId="63052DEF" w14:textId="77777777" w:rsidR="00C93BE0" w:rsidRDefault="00C93BE0" w:rsidP="009F3085">
                            <w:pPr>
                              <w:jc w:val="center"/>
                            </w:pPr>
                          </w:p>
                          <w:p w14:paraId="58C01FD6"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D053B" id="Text Box 24" o:spid="_x0000_s1056" type="#_x0000_t202" style="position:absolute;margin-left:.7pt;margin-top:0;width:416.7pt;height:683.3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" filled="f" stroked="f" strokeweight=".5pt">
                <v:textbox>
                  <w:txbxContent>
                    <w:p w14:paraId="2B7A6057" w14:textId="7D14CB8C" w:rsidR="00C93BE0" w:rsidRDefault="00C93BE0" w:rsidP="009F3085">
                      <w:pPr>
                        <w:keepNext/>
                        <w:jc w:val="center"/>
                      </w:pPr>
                      <w:r>
                        <w:rPr>
                          <w:noProof/>
                        </w:rPr>
                        <w:drawing>
                          <wp:inline distT="0" distB="0" distL="0" distR="0" wp14:anchorId="694C8401" wp14:editId="47D27644">
                            <wp:extent cx="5158596" cy="4354699"/>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igure5.4-feature_multivariate_matrix.png"/>
                                    <pic:cNvPicPr/>
                                  </pic:nvPicPr>
                                  <pic:blipFill rotWithShape="1">
                                    <a:blip r:embed="rId61">
                                      <a:extLst>
                                        <a:ext uri="{28A0092B-C50C-407E-A947-70E740481C1C}">
                                          <a14:useLocalDpi xmlns:a14="http://schemas.microsoft.com/office/drawing/2010/main" val="0"/>
                                        </a:ext>
                                      </a:extLst>
                                    </a:blip>
                                    <a:srcRect l="4057" r="2277"/>
                                    <a:stretch/>
                                  </pic:blipFill>
                                  <pic:spPr bwMode="auto">
                                    <a:xfrm>
                                      <a:off x="0" y="0"/>
                                      <a:ext cx="5169723" cy="4364092"/>
                                    </a:xfrm>
                                    <a:prstGeom prst="rect">
                                      <a:avLst/>
                                    </a:prstGeom>
                                    <a:ln>
                                      <a:noFill/>
                                    </a:ln>
                                    <a:extLst>
                                      <a:ext uri="{53640926-AAD7-44D8-BBD7-CCE9431645EC}">
                                        <a14:shadowObscured xmlns:a14="http://schemas.microsoft.com/office/drawing/2010/main"/>
                                      </a:ext>
                                    </a:extLst>
                                  </pic:spPr>
                                </pic:pic>
                              </a:graphicData>
                            </a:graphic>
                          </wp:inline>
                        </w:drawing>
                      </w:r>
                    </w:p>
                    <w:p w14:paraId="10CEA7B9" w14:textId="1F9F1E78" w:rsidR="00C93BE0" w:rsidRPr="00567DA4" w:rsidRDefault="00C93BE0" w:rsidP="009F3085">
                      <w:pPr>
                        <w:pStyle w:val="Caption"/>
                        <w:spacing w:line="360" w:lineRule="auto"/>
                        <w:jc w:val="both"/>
                        <w:rPr>
                          <w:rFonts w:ascii="Arial" w:hAnsi="Arial" w:cs="Arial"/>
                          <w:i w:val="0"/>
                          <w:iCs w:val="0"/>
                          <w:color w:val="000000" w:themeColor="text1"/>
                          <w:sz w:val="24"/>
                          <w:szCs w:val="24"/>
                          <w:lang w:val="en-US"/>
                        </w:rPr>
                      </w:pPr>
                      <w:bookmarkStart w:id="743" w:name="_Toc12363357"/>
                      <w:bookmarkStart w:id="744" w:name="_Toc16242714"/>
                      <w:r w:rsidRPr="00567DA4">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Pr>
                          <w:rFonts w:ascii="Arial" w:hAnsi="Arial" w:cs="Arial"/>
                          <w:i w:val="0"/>
                          <w:color w:val="000000" w:themeColor="text1"/>
                          <w:sz w:val="24"/>
                          <w:szCs w:val="24"/>
                        </w:rPr>
                        <w:t xml:space="preserve"> </w:t>
                      </w:r>
                      <w:r w:rsidRPr="00567DA4">
                        <w:rPr>
                          <w:rFonts w:ascii="Arial" w:hAnsi="Arial" w:cs="Arial"/>
                          <w:i w:val="0"/>
                          <w:iCs w:val="0"/>
                          <w:color w:val="000000" w:themeColor="text1"/>
                          <w:sz w:val="24"/>
                          <w:szCs w:val="24"/>
                          <w:lang w:val="en-US"/>
                        </w:rPr>
                        <w:t>Feature-specific multivariate Support Vector Machine Decoding and Group-averaged voxel feature-specific weights as a function of eccentricity (6°) and polar angle (360°). Voxel-level responses with individual ROIs are modulated by attentional state. A) Overall three-way decoding accuracies. Attentional state can be decoded above chance in all ROIs except A1.</w:t>
                      </w:r>
                      <w:r w:rsidRPr="000F7CA8">
                        <w:rPr>
                          <w:rFonts w:ascii="Arial" w:hAnsi="Arial" w:cs="Arial"/>
                          <w:i w:val="0"/>
                          <w:iCs w:val="0"/>
                          <w:color w:val="000000" w:themeColor="text1"/>
                          <w:sz w:val="24"/>
                          <w:szCs w:val="24"/>
                          <w:lang w:val="en-US"/>
                        </w:rPr>
                        <w:t xml:space="preserve"> </w:t>
                      </w:r>
                      <w:r w:rsidRPr="00567DA4">
                        <w:rPr>
                          <w:rFonts w:ascii="Arial" w:hAnsi="Arial" w:cs="Arial"/>
                          <w:i w:val="0"/>
                          <w:iCs w:val="0"/>
                          <w:color w:val="000000" w:themeColor="text1"/>
                          <w:sz w:val="24"/>
                          <w:szCs w:val="24"/>
                          <w:lang w:val="en-US"/>
                        </w:rPr>
                        <w:t>Error bars reflect +/- 1 SEM</w:t>
                      </w:r>
                      <w:r>
                        <w:rPr>
                          <w:rFonts w:ascii="Arial" w:hAnsi="Arial" w:cs="Arial"/>
                          <w:i w:val="0"/>
                          <w:iCs w:val="0"/>
                          <w:color w:val="000000" w:themeColor="text1"/>
                          <w:sz w:val="24"/>
                          <w:szCs w:val="24"/>
                          <w:lang w:val="en-US"/>
                        </w:rPr>
                        <w:t xml:space="preserve">. </w:t>
                      </w:r>
                      <w:r w:rsidRPr="00567DA4">
                        <w:rPr>
                          <w:rFonts w:ascii="Arial" w:hAnsi="Arial" w:cs="Arial"/>
                          <w:i w:val="0"/>
                          <w:iCs w:val="0"/>
                          <w:color w:val="000000" w:themeColor="text1"/>
                          <w:sz w:val="24"/>
                          <w:szCs w:val="24"/>
                          <w:lang w:val="en-US"/>
                        </w:rPr>
                        <w:t>B) Two-way classification accuracies across pairwise combinations of attentional focus (orientation versus shape, orientation versus contrast and contrast versus shape). Voxel patterns in all areas differ significantly between attention to orientation and shape.</w:t>
                      </w:r>
                      <w:r>
                        <w:rPr>
                          <w:rFonts w:ascii="Arial" w:hAnsi="Arial" w:cs="Arial"/>
                          <w:i w:val="0"/>
                          <w:iCs w:val="0"/>
                          <w:color w:val="000000" w:themeColor="text1"/>
                          <w:sz w:val="24"/>
                          <w:szCs w:val="24"/>
                          <w:lang w:val="en-US"/>
                        </w:rPr>
                        <w:t xml:space="preserve"> S</w:t>
                      </w:r>
                      <w:r w:rsidRPr="00567DA4">
                        <w:rPr>
                          <w:rFonts w:ascii="Arial" w:hAnsi="Arial" w:cs="Arial"/>
                          <w:i w:val="0"/>
                          <w:iCs w:val="0"/>
                          <w:color w:val="000000" w:themeColor="text1"/>
                          <w:sz w:val="24"/>
                          <w:szCs w:val="24"/>
                          <w:lang w:val="en-US"/>
                        </w:rPr>
                        <w:t>ignificance asterisks indicate Benjamini-Hochberg corrected values. C) Spatial backprojection analyses reveal no large-scale biases in voxel weights across location. The gray annulus reflects averaged voxel modulation at 1° intervals across 1.5-2.5° visual space. Deviations from circularity indicate positive (feature-specific) or negative (passive viewing) preferring clusters of voxels. An RFP stimulus overlay is provided for reference. Activation is thresholded at +/- 1.7 z-score (p</w:t>
                      </w:r>
                      <w:r w:rsidRPr="00567DA4">
                        <w:rPr>
                          <w:rFonts w:ascii="Arial" w:hAnsi="Arial" w:cs="Arial"/>
                          <w:i w:val="0"/>
                          <w:color w:val="000000" w:themeColor="text1"/>
                          <w:sz w:val="24"/>
                          <w:szCs w:val="24"/>
                          <w:lang w:val="en-US"/>
                        </w:rPr>
                        <w:t xml:space="preserve"> &lt;.05).</w:t>
                      </w:r>
                      <w:bookmarkEnd w:id="743"/>
                      <w:bookmarkEnd w:id="744"/>
                    </w:p>
                    <w:p w14:paraId="63052DEF" w14:textId="77777777" w:rsidR="00C93BE0" w:rsidRDefault="00C93BE0" w:rsidP="009F3085">
                      <w:pPr>
                        <w:jc w:val="center"/>
                      </w:pPr>
                    </w:p>
                    <w:p w14:paraId="58C01FD6" w14:textId="77777777" w:rsidR="00C93BE0" w:rsidRDefault="00C93BE0" w:rsidP="009F3085">
                      <w:pPr>
                        <w:jc w:val="center"/>
                      </w:pPr>
                    </w:p>
                  </w:txbxContent>
                </v:textbox>
                <w10:wrap type="square"/>
              </v:shape>
            </w:pict>
          </mc:Fallback>
        </mc:AlternateContent>
      </w:r>
    </w:p>
    <w:p w14:paraId="6ED1416E" w14:textId="77777777" w:rsidR="006832FB" w:rsidRPr="00734436" w:rsidRDefault="006832FB" w:rsidP="001811CC">
      <w:pPr>
        <w:pStyle w:val="Heading4"/>
        <w:numPr>
          <w:ilvl w:val="3"/>
          <w:numId w:val="6"/>
        </w:numPr>
        <w:rPr>
          <w:rFonts w:ascii="Arial" w:hAnsi="Arial" w:cs="Arial"/>
          <w:color w:val="000000" w:themeColor="text1"/>
          <w:sz w:val="28"/>
          <w:szCs w:val="28"/>
        </w:rPr>
      </w:pPr>
      <w:bookmarkStart w:id="694" w:name="_Toc11148032"/>
      <w:bookmarkStart w:id="695" w:name="_Toc11153981"/>
      <w:bookmarkStart w:id="696" w:name="_Toc11930115"/>
      <w:bookmarkStart w:id="697" w:name="_Toc16075431"/>
      <w:r w:rsidRPr="00734436">
        <w:rPr>
          <w:rFonts w:ascii="Arial" w:hAnsi="Arial" w:cs="Arial"/>
          <w:color w:val="000000" w:themeColor="text1"/>
          <w:sz w:val="28"/>
          <w:szCs w:val="28"/>
        </w:rPr>
        <w:lastRenderedPageBreak/>
        <w:t>Colour Analysis</w:t>
      </w:r>
      <w:bookmarkEnd w:id="694"/>
      <w:bookmarkEnd w:id="695"/>
      <w:bookmarkEnd w:id="696"/>
      <w:bookmarkEnd w:id="697"/>
    </w:p>
    <w:p w14:paraId="6CC81198" w14:textId="27E1AB66" w:rsidR="006832FB" w:rsidRPr="00225AB0" w:rsidRDefault="006832FB" w:rsidP="006832FB">
      <w:pPr>
        <w:spacing w:line="480" w:lineRule="auto"/>
        <w:rPr>
          <w:rFonts w:ascii="Arial" w:hAnsi="Arial" w:cs="Arial"/>
        </w:rPr>
      </w:pPr>
      <w:r w:rsidRPr="00225AB0">
        <w:rPr>
          <w:rFonts w:ascii="Arial" w:hAnsi="Arial" w:cs="Arial"/>
        </w:rPr>
        <w:t>We performed the same analysis pipeline for our chromatic data, in order to identify differential patterns of voxel-level modulation when attention switched between three stimulus chromaticities. We performed a three-way pattern classification analysis, simultaneously supplying data from red-green, blue-yellow and achromatic attention conditions</w:t>
      </w:r>
      <w:r w:rsidR="0016750D">
        <w:rPr>
          <w:rFonts w:ascii="Arial" w:hAnsi="Arial" w:cs="Arial"/>
        </w:rPr>
        <w:t xml:space="preserve"> (excluding data from the passive chromatic conditions)</w:t>
      </w:r>
      <w:r w:rsidRPr="00225AB0">
        <w:rPr>
          <w:rFonts w:ascii="Arial" w:hAnsi="Arial" w:cs="Arial"/>
        </w:rPr>
        <w:t xml:space="preserve">. One-sample Wilcoxon signed-rank tests versus chance (33.33%) Benjamini-Hochberg corrected for the number of ROIs, revealed above-chance classification in almost all visual ROIs examined V1: Z(11) = 3.06, </w:t>
      </w:r>
      <w:r w:rsidRPr="00225AB0">
        <w:rPr>
          <w:rFonts w:ascii="Arial" w:hAnsi="Arial" w:cs="Arial"/>
          <w:i/>
        </w:rPr>
        <w:t>p</w:t>
      </w:r>
      <w:r w:rsidRPr="00225AB0">
        <w:rPr>
          <w:rFonts w:ascii="Arial" w:hAnsi="Arial" w:cs="Arial"/>
        </w:rPr>
        <w:t xml:space="preserve"> = .011, V3A/B: Z(11) = 3.06, </w:t>
      </w:r>
      <w:r w:rsidRPr="00225AB0">
        <w:rPr>
          <w:rFonts w:ascii="Arial" w:hAnsi="Arial" w:cs="Arial"/>
          <w:i/>
        </w:rPr>
        <w:t>p</w:t>
      </w:r>
      <w:r w:rsidRPr="00225AB0">
        <w:rPr>
          <w:rFonts w:ascii="Arial" w:hAnsi="Arial" w:cs="Arial"/>
        </w:rPr>
        <w:t xml:space="preserve"> = .011, hV4: Z(11) = 3.06, </w:t>
      </w:r>
      <w:r w:rsidRPr="00225AB0">
        <w:rPr>
          <w:rFonts w:ascii="Arial" w:hAnsi="Arial" w:cs="Arial"/>
          <w:i/>
        </w:rPr>
        <w:t>p</w:t>
      </w:r>
      <w:r w:rsidRPr="00225AB0">
        <w:rPr>
          <w:rFonts w:ascii="Arial" w:hAnsi="Arial" w:cs="Arial"/>
        </w:rPr>
        <w:t xml:space="preserve"> = .011, LO-1: Z(11) = 2.85, </w:t>
      </w:r>
      <w:r w:rsidRPr="00225AB0">
        <w:rPr>
          <w:rFonts w:ascii="Arial" w:hAnsi="Arial" w:cs="Arial"/>
          <w:i/>
        </w:rPr>
        <w:t>p</w:t>
      </w:r>
      <w:r w:rsidRPr="00225AB0">
        <w:rPr>
          <w:rFonts w:ascii="Arial" w:hAnsi="Arial" w:cs="Arial"/>
        </w:rPr>
        <w:t xml:space="preserve"> = .016). </w:t>
      </w:r>
      <w:r w:rsidR="00D44AC6">
        <w:rPr>
          <w:rFonts w:ascii="Arial" w:hAnsi="Arial" w:cs="Arial"/>
        </w:rPr>
        <w:t>In</w:t>
      </w:r>
      <w:r w:rsidRPr="00225AB0">
        <w:rPr>
          <w:rFonts w:ascii="Arial" w:hAnsi="Arial" w:cs="Arial"/>
        </w:rPr>
        <w:t xml:space="preserve"> visual area LO-2 and control auditory cortex ROI (A1) classification accuracy was not significantly greater than chance (LO-2: </w:t>
      </w:r>
      <w:proofErr w:type="gramStart"/>
      <w:r w:rsidRPr="00225AB0">
        <w:rPr>
          <w:rFonts w:ascii="Arial" w:hAnsi="Arial" w:cs="Arial"/>
        </w:rPr>
        <w:t>Z(</w:t>
      </w:r>
      <w:proofErr w:type="gramEnd"/>
      <w:r w:rsidRPr="00225AB0">
        <w:rPr>
          <w:rFonts w:ascii="Arial" w:hAnsi="Arial" w:cs="Arial"/>
        </w:rPr>
        <w:t xml:space="preserve">11) = 2.27, </w:t>
      </w:r>
      <w:r w:rsidRPr="00225AB0">
        <w:rPr>
          <w:rFonts w:ascii="Arial" w:hAnsi="Arial" w:cs="Arial"/>
          <w:i/>
        </w:rPr>
        <w:t xml:space="preserve">p </w:t>
      </w:r>
      <w:r w:rsidRPr="00225AB0">
        <w:rPr>
          <w:rFonts w:ascii="Arial" w:hAnsi="Arial" w:cs="Arial"/>
        </w:rPr>
        <w:t xml:space="preserve">= .068, A1: Z(11) = 1.57, </w:t>
      </w:r>
      <w:r w:rsidRPr="00225AB0">
        <w:rPr>
          <w:rFonts w:ascii="Arial" w:hAnsi="Arial" w:cs="Arial"/>
          <w:i/>
        </w:rPr>
        <w:t>p</w:t>
      </w:r>
      <w:r w:rsidRPr="00225AB0">
        <w:rPr>
          <w:rFonts w:ascii="Arial" w:hAnsi="Arial" w:cs="Arial"/>
        </w:rPr>
        <w:t xml:space="preserve"> = .285). Across the visual ROIs, mean classification accuracy ranged from 42.22 to 57.64% (see Figure</w:t>
      </w:r>
      <w:r w:rsidR="0068545F">
        <w:rPr>
          <w:rFonts w:ascii="Arial" w:hAnsi="Arial" w:cs="Arial"/>
        </w:rPr>
        <w:t xml:space="preserve"> 5.5</w:t>
      </w:r>
      <w:r w:rsidRPr="00225AB0">
        <w:rPr>
          <w:rFonts w:ascii="Arial" w:hAnsi="Arial" w:cs="Arial"/>
        </w:rPr>
        <w:t xml:space="preserve">A). </w:t>
      </w:r>
    </w:p>
    <w:p w14:paraId="5257DF24" w14:textId="77777777" w:rsidR="006832FB" w:rsidRPr="00225AB0" w:rsidRDefault="006832FB" w:rsidP="006832FB">
      <w:pPr>
        <w:rPr>
          <w:rFonts w:ascii="Arial" w:hAnsi="Arial" w:cs="Arial"/>
        </w:rPr>
      </w:pPr>
    </w:p>
    <w:p w14:paraId="101849B7" w14:textId="4FA1BC2D" w:rsidR="006832FB" w:rsidRDefault="006832FB" w:rsidP="006832FB">
      <w:pPr>
        <w:spacing w:line="480" w:lineRule="auto"/>
        <w:rPr>
          <w:rFonts w:ascii="Arial" w:hAnsi="Arial" w:cs="Arial"/>
        </w:rPr>
      </w:pPr>
      <w:r w:rsidRPr="00225AB0">
        <w:rPr>
          <w:rFonts w:ascii="Arial" w:hAnsi="Arial" w:cs="Arial"/>
        </w:rPr>
        <w:t>Again, we performed further pairwise classification analyses to determine which chromatic states generated different voxel-level responses. We conducted multiple one-sample Wilcoxon signed-rank tests versus chance (50%), Benjamini-Hochberg corrected for the number of comparisons across ROIs. In almost all visual ROIs, successful classification of red-green versus achromatic stimuli was evident</w:t>
      </w:r>
      <w:r w:rsidR="00EB01D5">
        <w:rPr>
          <w:rFonts w:ascii="Arial" w:hAnsi="Arial" w:cs="Arial"/>
        </w:rPr>
        <w:t xml:space="preserve">. </w:t>
      </w:r>
      <w:r w:rsidRPr="00225AB0">
        <w:rPr>
          <w:rFonts w:ascii="Arial" w:hAnsi="Arial" w:cs="Arial"/>
        </w:rPr>
        <w:t xml:space="preserve">Above-chance classification was also evident between blue-yellow and achromatic stimuli in V3A/B, hV4 and LO-1. </w:t>
      </w:r>
      <w:r w:rsidR="00D44AC6">
        <w:rPr>
          <w:rFonts w:ascii="Arial" w:hAnsi="Arial" w:cs="Arial"/>
        </w:rPr>
        <w:t>In</w:t>
      </w:r>
      <w:r w:rsidRPr="00225AB0">
        <w:rPr>
          <w:rFonts w:ascii="Arial" w:hAnsi="Arial" w:cs="Arial"/>
        </w:rPr>
        <w:t xml:space="preserve"> V1, hV4 and LO-</w:t>
      </w:r>
      <w:r w:rsidR="00EB01D5">
        <w:rPr>
          <w:rFonts w:ascii="Arial" w:hAnsi="Arial" w:cs="Arial"/>
        </w:rPr>
        <w:t>1</w:t>
      </w:r>
      <w:r w:rsidRPr="00225AB0">
        <w:rPr>
          <w:rFonts w:ascii="Arial" w:hAnsi="Arial" w:cs="Arial"/>
        </w:rPr>
        <w:t>, decoding accuracies also exceed chance performance when comparing red-green activation with blue-yellow</w:t>
      </w:r>
      <w:r w:rsidR="00EB01D5">
        <w:rPr>
          <w:rFonts w:ascii="Arial" w:hAnsi="Arial" w:cs="Arial"/>
        </w:rPr>
        <w:t xml:space="preserve">. </w:t>
      </w:r>
      <w:r w:rsidRPr="00225AB0">
        <w:rPr>
          <w:rFonts w:ascii="Arial" w:hAnsi="Arial" w:cs="Arial"/>
        </w:rPr>
        <w:t xml:space="preserve">In LO-2, not successful </w:t>
      </w:r>
      <w:r w:rsidRPr="00225AB0">
        <w:rPr>
          <w:rFonts w:ascii="Arial" w:hAnsi="Arial" w:cs="Arial"/>
        </w:rPr>
        <w:lastRenderedPageBreak/>
        <w:t xml:space="preserve">classification of any pairwise comparison of stimulus chromaticity was </w:t>
      </w:r>
      <w:r w:rsidR="00023D9B">
        <w:rPr>
          <w:rFonts w:ascii="Arial" w:hAnsi="Arial" w:cs="Arial"/>
          <w:i/>
          <w:noProof/>
          <w:color w:val="0D0D0D" w:themeColor="text1" w:themeTint="F2"/>
        </w:rPr>
        <mc:AlternateContent>
          <mc:Choice Requires="wps">
            <w:drawing>
              <wp:anchor distT="0" distB="0" distL="114300" distR="114300" simplePos="0" relativeHeight="251858944" behindDoc="0" locked="0" layoutInCell="1" allowOverlap="1" wp14:anchorId="510379CD" wp14:editId="5E4F505D">
                <wp:simplePos x="0" y="0"/>
                <wp:positionH relativeFrom="column">
                  <wp:posOffset>-157480</wp:posOffset>
                </wp:positionH>
                <wp:positionV relativeFrom="paragraph">
                  <wp:posOffset>848360</wp:posOffset>
                </wp:positionV>
                <wp:extent cx="5813425" cy="232537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5813425" cy="2325370"/>
                        </a:xfrm>
                        <a:prstGeom prst="rect">
                          <a:avLst/>
                        </a:prstGeom>
                        <a:noFill/>
                        <a:ln w="6350">
                          <a:noFill/>
                        </a:ln>
                      </wps:spPr>
                      <wps:txbx>
                        <w:txbxContent>
                          <w:p w14:paraId="03A96089" w14:textId="77777777" w:rsidR="00C93BE0" w:rsidRPr="00A92335" w:rsidRDefault="00C93BE0" w:rsidP="00023D9B">
                            <w:pPr>
                              <w:pStyle w:val="Caption"/>
                              <w:keepNext/>
                              <w:rPr>
                                <w:rFonts w:ascii="Arial" w:hAnsi="Arial" w:cs="Arial"/>
                                <w:i w:val="0"/>
                                <w:iCs w:val="0"/>
                                <w:color w:val="000000" w:themeColor="text1"/>
                                <w:sz w:val="24"/>
                                <w:szCs w:val="24"/>
                              </w:rPr>
                            </w:pPr>
                            <w:r w:rsidRPr="00A92335">
                              <w:rPr>
                                <w:rFonts w:ascii="Arial" w:hAnsi="Arial" w:cs="Arial"/>
                                <w:b/>
                                <w:bCs/>
                                <w:i w:val="0"/>
                                <w:iCs w:val="0"/>
                                <w:color w:val="000000" w:themeColor="text1"/>
                                <w:sz w:val="24"/>
                                <w:szCs w:val="24"/>
                              </w:rPr>
                              <w:t xml:space="preserve">Table </w:t>
                            </w:r>
                            <w:r>
                              <w:rPr>
                                <w:rFonts w:ascii="Arial" w:hAnsi="Arial" w:cs="Arial"/>
                                <w:b/>
                                <w:bCs/>
                                <w:i w:val="0"/>
                                <w:iCs w:val="0"/>
                                <w:color w:val="000000" w:themeColor="text1"/>
                                <w:sz w:val="24"/>
                                <w:szCs w:val="24"/>
                              </w:rPr>
                              <w:t>5</w:t>
                            </w:r>
                            <w:r w:rsidRPr="00A92335">
                              <w:rPr>
                                <w:rFonts w:ascii="Arial" w:hAnsi="Arial" w:cs="Arial"/>
                                <w:b/>
                                <w:bCs/>
                                <w:i w:val="0"/>
                                <w:iCs w:val="0"/>
                                <w:color w:val="000000" w:themeColor="text1"/>
                                <w:sz w:val="24"/>
                                <w:szCs w:val="24"/>
                              </w:rPr>
                              <w:t>.</w:t>
                            </w:r>
                            <w:r>
                              <w:rPr>
                                <w:rFonts w:ascii="Arial" w:hAnsi="Arial" w:cs="Arial"/>
                                <w:b/>
                                <w:bCs/>
                                <w:i w:val="0"/>
                                <w:iCs w:val="0"/>
                                <w:color w:val="000000" w:themeColor="text1"/>
                                <w:sz w:val="24"/>
                                <w:szCs w:val="24"/>
                              </w:rPr>
                              <w:t xml:space="preserve">2 </w:t>
                            </w:r>
                            <w:r>
                              <w:rPr>
                                <w:rFonts w:ascii="Arial" w:hAnsi="Arial" w:cs="Arial"/>
                                <w:i w:val="0"/>
                                <w:iCs w:val="0"/>
                                <w:color w:val="000000" w:themeColor="text1"/>
                                <w:sz w:val="24"/>
                                <w:szCs w:val="24"/>
                              </w:rPr>
                              <w:t xml:space="preserve">Attention directed toward red-green, blue-yellow and achromatic stimuli can be decoded through two-way classification in visual ROIs.  </w:t>
                            </w:r>
                          </w:p>
                          <w:tbl>
                            <w:tblPr>
                              <w:tblStyle w:val="TableGrid"/>
                              <w:tblW w:w="0" w:type="auto"/>
                              <w:tblLook w:val="04A0" w:firstRow="1" w:lastRow="0" w:firstColumn="1" w:lastColumn="0" w:noHBand="0" w:noVBand="1"/>
                            </w:tblPr>
                            <w:tblGrid>
                              <w:gridCol w:w="974"/>
                              <w:gridCol w:w="1285"/>
                              <w:gridCol w:w="1569"/>
                              <w:gridCol w:w="1076"/>
                              <w:gridCol w:w="1475"/>
                              <w:gridCol w:w="1079"/>
                              <w:gridCol w:w="1204"/>
                            </w:tblGrid>
                            <w:tr w:rsidR="00C93BE0" w14:paraId="05C4FDD3" w14:textId="77777777" w:rsidTr="004E41A6">
                              <w:tc>
                                <w:tcPr>
                                  <w:tcW w:w="974" w:type="dxa"/>
                                  <w:tcBorders>
                                    <w:top w:val="single" w:sz="18" w:space="0" w:color="000000"/>
                                    <w:left w:val="nil"/>
                                    <w:bottom w:val="single" w:sz="8" w:space="0" w:color="000000"/>
                                    <w:right w:val="nil"/>
                                  </w:tcBorders>
                                </w:tcPr>
                                <w:p w14:paraId="13E90DFC" w14:textId="77777777" w:rsidR="00C93BE0" w:rsidRPr="006F0EDD" w:rsidRDefault="00C93BE0" w:rsidP="004E41A6">
                                  <w:pPr>
                                    <w:rPr>
                                      <w:rFonts w:ascii="Arial" w:hAnsi="Arial" w:cs="Arial"/>
                                    </w:rPr>
                                  </w:pPr>
                                </w:p>
                              </w:tc>
                              <w:tc>
                                <w:tcPr>
                                  <w:tcW w:w="2854" w:type="dxa"/>
                                  <w:gridSpan w:val="2"/>
                                  <w:tcBorders>
                                    <w:top w:val="single" w:sz="18" w:space="0" w:color="000000"/>
                                    <w:left w:val="nil"/>
                                    <w:bottom w:val="single" w:sz="8" w:space="0" w:color="000000"/>
                                    <w:right w:val="nil"/>
                                  </w:tcBorders>
                                </w:tcPr>
                                <w:p w14:paraId="6ECA4872" w14:textId="77777777" w:rsidR="00C93BE0" w:rsidRPr="006F0EDD" w:rsidRDefault="00C93BE0" w:rsidP="004E41A6">
                                  <w:pPr>
                                    <w:jc w:val="center"/>
                                    <w:rPr>
                                      <w:rFonts w:ascii="Arial" w:hAnsi="Arial" w:cs="Arial"/>
                                    </w:rPr>
                                  </w:pPr>
                                  <w:r>
                                    <w:rPr>
                                      <w:rFonts w:ascii="Arial" w:hAnsi="Arial" w:cs="Arial"/>
                                    </w:rPr>
                                    <w:t>Red-Green</w:t>
                                  </w:r>
                                  <w:r w:rsidRPr="006F0EDD">
                                    <w:rPr>
                                      <w:rFonts w:ascii="Arial" w:hAnsi="Arial" w:cs="Arial"/>
                                    </w:rPr>
                                    <w:t xml:space="preserve"> </w:t>
                                  </w:r>
                                  <w:r>
                                    <w:rPr>
                                      <w:rFonts w:ascii="Arial" w:hAnsi="Arial" w:cs="Arial"/>
                                    </w:rPr>
                                    <w:t>vs.</w:t>
                                  </w:r>
                                  <w:r w:rsidRPr="006F0EDD">
                                    <w:rPr>
                                      <w:rFonts w:ascii="Arial" w:hAnsi="Arial" w:cs="Arial"/>
                                    </w:rPr>
                                    <w:t xml:space="preserve"> </w:t>
                                  </w:r>
                                  <w:r>
                                    <w:rPr>
                                      <w:rFonts w:ascii="Arial" w:hAnsi="Arial" w:cs="Arial"/>
                                    </w:rPr>
                                    <w:t>Blue-Yellow</w:t>
                                  </w:r>
                                </w:p>
                              </w:tc>
                              <w:tc>
                                <w:tcPr>
                                  <w:tcW w:w="2551" w:type="dxa"/>
                                  <w:gridSpan w:val="2"/>
                                  <w:tcBorders>
                                    <w:top w:val="single" w:sz="18" w:space="0" w:color="000000"/>
                                    <w:left w:val="nil"/>
                                    <w:bottom w:val="single" w:sz="8" w:space="0" w:color="000000"/>
                                    <w:right w:val="nil"/>
                                  </w:tcBorders>
                                </w:tcPr>
                                <w:p w14:paraId="614A3DB1" w14:textId="77777777" w:rsidR="00C93BE0" w:rsidRPr="006F0EDD" w:rsidRDefault="00C93BE0" w:rsidP="004E41A6">
                                  <w:pPr>
                                    <w:jc w:val="center"/>
                                    <w:rPr>
                                      <w:rFonts w:ascii="Arial" w:hAnsi="Arial" w:cs="Arial"/>
                                    </w:rPr>
                                  </w:pPr>
                                  <w:r>
                                    <w:rPr>
                                      <w:rFonts w:ascii="Arial" w:hAnsi="Arial" w:cs="Arial"/>
                                    </w:rPr>
                                    <w:t>Red-Green</w:t>
                                  </w:r>
                                  <w:r w:rsidRPr="006F0EDD">
                                    <w:rPr>
                                      <w:rFonts w:ascii="Arial" w:hAnsi="Arial" w:cs="Arial"/>
                                    </w:rPr>
                                    <w:t xml:space="preserve"> </w:t>
                                  </w:r>
                                  <w:r>
                                    <w:rPr>
                                      <w:rFonts w:ascii="Arial" w:hAnsi="Arial" w:cs="Arial"/>
                                    </w:rPr>
                                    <w:t>vs.</w:t>
                                  </w:r>
                                  <w:r w:rsidRPr="006F0EDD">
                                    <w:rPr>
                                      <w:rFonts w:ascii="Arial" w:hAnsi="Arial" w:cs="Arial"/>
                                    </w:rPr>
                                    <w:t xml:space="preserve"> </w:t>
                                  </w:r>
                                  <w:r>
                                    <w:rPr>
                                      <w:rFonts w:ascii="Arial" w:hAnsi="Arial" w:cs="Arial"/>
                                    </w:rPr>
                                    <w:t>Achromatic</w:t>
                                  </w:r>
                                </w:p>
                              </w:tc>
                              <w:tc>
                                <w:tcPr>
                                  <w:tcW w:w="2283" w:type="dxa"/>
                                  <w:gridSpan w:val="2"/>
                                  <w:tcBorders>
                                    <w:top w:val="single" w:sz="18" w:space="0" w:color="000000"/>
                                    <w:left w:val="nil"/>
                                    <w:bottom w:val="single" w:sz="8" w:space="0" w:color="000000"/>
                                    <w:right w:val="nil"/>
                                  </w:tcBorders>
                                </w:tcPr>
                                <w:p w14:paraId="782D87F0" w14:textId="77777777" w:rsidR="00C93BE0" w:rsidRPr="006F0EDD" w:rsidRDefault="00C93BE0" w:rsidP="004E41A6">
                                  <w:pPr>
                                    <w:jc w:val="center"/>
                                    <w:rPr>
                                      <w:rFonts w:ascii="Arial" w:hAnsi="Arial" w:cs="Arial"/>
                                    </w:rPr>
                                  </w:pPr>
                                  <w:r>
                                    <w:rPr>
                                      <w:rFonts w:ascii="Arial" w:hAnsi="Arial" w:cs="Arial"/>
                                    </w:rPr>
                                    <w:t>Blue-Yellow</w:t>
                                  </w:r>
                                  <w:r w:rsidRPr="006F0EDD">
                                    <w:rPr>
                                      <w:rFonts w:ascii="Arial" w:hAnsi="Arial" w:cs="Arial"/>
                                    </w:rPr>
                                    <w:t xml:space="preserve"> </w:t>
                                  </w:r>
                                  <w:r>
                                    <w:rPr>
                                      <w:rFonts w:ascii="Arial" w:hAnsi="Arial" w:cs="Arial"/>
                                    </w:rPr>
                                    <w:t>vs.</w:t>
                                  </w:r>
                                  <w:r w:rsidRPr="006F0EDD">
                                    <w:rPr>
                                      <w:rFonts w:ascii="Arial" w:hAnsi="Arial" w:cs="Arial"/>
                                    </w:rPr>
                                    <w:t xml:space="preserve"> </w:t>
                                  </w:r>
                                  <w:r>
                                    <w:rPr>
                                      <w:rFonts w:ascii="Arial" w:hAnsi="Arial" w:cs="Arial"/>
                                    </w:rPr>
                                    <w:t>Achromatic</w:t>
                                  </w:r>
                                </w:p>
                              </w:tc>
                            </w:tr>
                            <w:tr w:rsidR="00C93BE0" w14:paraId="00C92D34"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bottom w:val="single" w:sz="8" w:space="0" w:color="000000"/>
                                  </w:tcBorders>
                                </w:tcPr>
                                <w:p w14:paraId="714A3009" w14:textId="77777777" w:rsidR="00C93BE0" w:rsidRPr="006F0EDD" w:rsidRDefault="00C93BE0" w:rsidP="004E41A6">
                                  <w:pPr>
                                    <w:jc w:val="center"/>
                                    <w:rPr>
                                      <w:rFonts w:ascii="Arial" w:hAnsi="Arial" w:cs="Arial"/>
                                    </w:rPr>
                                  </w:pPr>
                                  <w:r>
                                    <w:rPr>
                                      <w:rFonts w:ascii="Arial" w:hAnsi="Arial" w:cs="Arial"/>
                                    </w:rPr>
                                    <w:t>ROI</w:t>
                                  </w:r>
                                </w:p>
                              </w:tc>
                              <w:tc>
                                <w:tcPr>
                                  <w:tcW w:w="1285" w:type="dxa"/>
                                  <w:tcBorders>
                                    <w:top w:val="single" w:sz="8" w:space="0" w:color="000000"/>
                                    <w:bottom w:val="single" w:sz="8" w:space="0" w:color="auto"/>
                                  </w:tcBorders>
                                </w:tcPr>
                                <w:p w14:paraId="4621C5CD" w14:textId="77777777" w:rsidR="00C93BE0" w:rsidRPr="006F0EDD" w:rsidRDefault="00C93BE0" w:rsidP="004E41A6">
                                  <w:pPr>
                                    <w:jc w:val="center"/>
                                    <w:rPr>
                                      <w:rFonts w:ascii="Arial" w:hAnsi="Arial" w:cs="Arial"/>
                                    </w:rPr>
                                  </w:pPr>
                                  <w:r>
                                    <w:rPr>
                                      <w:rFonts w:ascii="Arial" w:hAnsi="Arial" w:cs="Arial"/>
                                    </w:rPr>
                                    <w:t>Z</w:t>
                                  </w:r>
                                </w:p>
                              </w:tc>
                              <w:tc>
                                <w:tcPr>
                                  <w:tcW w:w="1569" w:type="dxa"/>
                                  <w:tcBorders>
                                    <w:top w:val="single" w:sz="8" w:space="0" w:color="000000"/>
                                    <w:bottom w:val="single" w:sz="8" w:space="0" w:color="auto"/>
                                  </w:tcBorders>
                                </w:tcPr>
                                <w:p w14:paraId="18AE1F1E" w14:textId="77777777" w:rsidR="00C93BE0" w:rsidRPr="006F0EDD" w:rsidRDefault="00C93BE0" w:rsidP="004E41A6">
                                  <w:pPr>
                                    <w:jc w:val="center"/>
                                    <w:rPr>
                                      <w:rFonts w:ascii="Arial" w:hAnsi="Arial" w:cs="Arial"/>
                                      <w:i/>
                                      <w:iCs/>
                                    </w:rPr>
                                  </w:pPr>
                                  <w:r>
                                    <w:rPr>
                                      <w:rFonts w:ascii="Arial" w:hAnsi="Arial" w:cs="Arial"/>
                                      <w:i/>
                                      <w:iCs/>
                                    </w:rPr>
                                    <w:t>p</w:t>
                                  </w:r>
                                </w:p>
                              </w:tc>
                              <w:tc>
                                <w:tcPr>
                                  <w:tcW w:w="1076" w:type="dxa"/>
                                  <w:tcBorders>
                                    <w:top w:val="single" w:sz="8" w:space="0" w:color="000000"/>
                                    <w:bottom w:val="single" w:sz="8" w:space="0" w:color="auto"/>
                                  </w:tcBorders>
                                </w:tcPr>
                                <w:p w14:paraId="6AEC8CF9" w14:textId="77777777" w:rsidR="00C93BE0" w:rsidRPr="006F0EDD" w:rsidRDefault="00C93BE0" w:rsidP="004E41A6">
                                  <w:pPr>
                                    <w:jc w:val="center"/>
                                    <w:rPr>
                                      <w:rFonts w:ascii="Arial" w:hAnsi="Arial" w:cs="Arial"/>
                                    </w:rPr>
                                  </w:pPr>
                                  <w:r>
                                    <w:rPr>
                                      <w:rFonts w:ascii="Arial" w:hAnsi="Arial" w:cs="Arial"/>
                                    </w:rPr>
                                    <w:t>Z</w:t>
                                  </w:r>
                                </w:p>
                              </w:tc>
                              <w:tc>
                                <w:tcPr>
                                  <w:tcW w:w="1475" w:type="dxa"/>
                                  <w:tcBorders>
                                    <w:top w:val="single" w:sz="8" w:space="0" w:color="000000"/>
                                    <w:bottom w:val="single" w:sz="8" w:space="0" w:color="auto"/>
                                  </w:tcBorders>
                                </w:tcPr>
                                <w:p w14:paraId="0FE92CD0" w14:textId="77777777" w:rsidR="00C93BE0" w:rsidRPr="006F0EDD" w:rsidRDefault="00C93BE0" w:rsidP="004E41A6">
                                  <w:pPr>
                                    <w:jc w:val="center"/>
                                    <w:rPr>
                                      <w:rFonts w:ascii="Arial" w:hAnsi="Arial" w:cs="Arial"/>
                                      <w:i/>
                                      <w:iCs/>
                                    </w:rPr>
                                  </w:pPr>
                                  <w:r>
                                    <w:rPr>
                                      <w:rFonts w:ascii="Arial" w:hAnsi="Arial" w:cs="Arial"/>
                                      <w:i/>
                                      <w:iCs/>
                                    </w:rPr>
                                    <w:t>p</w:t>
                                  </w:r>
                                </w:p>
                              </w:tc>
                              <w:tc>
                                <w:tcPr>
                                  <w:tcW w:w="1079" w:type="dxa"/>
                                  <w:tcBorders>
                                    <w:top w:val="single" w:sz="8" w:space="0" w:color="000000"/>
                                    <w:bottom w:val="single" w:sz="8" w:space="0" w:color="auto"/>
                                  </w:tcBorders>
                                </w:tcPr>
                                <w:p w14:paraId="7F68E0E1" w14:textId="77777777" w:rsidR="00C93BE0" w:rsidRPr="006F0EDD" w:rsidRDefault="00C93BE0" w:rsidP="004E41A6">
                                  <w:pPr>
                                    <w:jc w:val="center"/>
                                    <w:rPr>
                                      <w:rFonts w:ascii="Arial" w:hAnsi="Arial" w:cs="Arial"/>
                                    </w:rPr>
                                  </w:pPr>
                                  <w:r>
                                    <w:rPr>
                                      <w:rFonts w:ascii="Arial" w:hAnsi="Arial" w:cs="Arial"/>
                                    </w:rPr>
                                    <w:t>Z</w:t>
                                  </w:r>
                                </w:p>
                              </w:tc>
                              <w:tc>
                                <w:tcPr>
                                  <w:tcW w:w="1204" w:type="dxa"/>
                                  <w:tcBorders>
                                    <w:top w:val="single" w:sz="8" w:space="0" w:color="000000"/>
                                    <w:bottom w:val="single" w:sz="8" w:space="0" w:color="auto"/>
                                  </w:tcBorders>
                                </w:tcPr>
                                <w:p w14:paraId="75881637" w14:textId="77777777" w:rsidR="00C93BE0" w:rsidRPr="006F0EDD" w:rsidRDefault="00C93BE0" w:rsidP="004E41A6">
                                  <w:pPr>
                                    <w:jc w:val="center"/>
                                    <w:rPr>
                                      <w:rFonts w:ascii="Arial" w:hAnsi="Arial" w:cs="Arial"/>
                                      <w:i/>
                                      <w:iCs/>
                                    </w:rPr>
                                  </w:pPr>
                                  <w:r>
                                    <w:rPr>
                                      <w:rFonts w:ascii="Arial" w:hAnsi="Arial" w:cs="Arial"/>
                                      <w:i/>
                                      <w:iCs/>
                                    </w:rPr>
                                    <w:t>p</w:t>
                                  </w:r>
                                </w:p>
                              </w:tc>
                            </w:tr>
                            <w:tr w:rsidR="00C93BE0" w14:paraId="5C526806"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tcBorders>
                                </w:tcPr>
                                <w:p w14:paraId="40D7C2B0" w14:textId="77777777" w:rsidR="00C93BE0" w:rsidRPr="006F0EDD" w:rsidRDefault="00C93BE0" w:rsidP="004E41A6">
                                  <w:pPr>
                                    <w:jc w:val="center"/>
                                    <w:rPr>
                                      <w:rFonts w:ascii="Arial" w:hAnsi="Arial" w:cs="Arial"/>
                                    </w:rPr>
                                  </w:pPr>
                                  <w:r w:rsidRPr="006F0EDD">
                                    <w:rPr>
                                      <w:rFonts w:ascii="Arial" w:hAnsi="Arial" w:cs="Arial"/>
                                    </w:rPr>
                                    <w:t>V1</w:t>
                                  </w:r>
                                </w:p>
                              </w:tc>
                              <w:tc>
                                <w:tcPr>
                                  <w:tcW w:w="1285" w:type="dxa"/>
                                  <w:tcBorders>
                                    <w:top w:val="single" w:sz="8" w:space="0" w:color="auto"/>
                                  </w:tcBorders>
                                </w:tcPr>
                                <w:p w14:paraId="3054A684" w14:textId="77777777" w:rsidR="00C93BE0" w:rsidRPr="006F0EDD" w:rsidRDefault="00C93BE0" w:rsidP="004E41A6">
                                  <w:pPr>
                                    <w:jc w:val="center"/>
                                    <w:rPr>
                                      <w:rFonts w:ascii="Arial" w:hAnsi="Arial" w:cs="Arial"/>
                                    </w:rPr>
                                  </w:pPr>
                                  <w:r>
                                    <w:rPr>
                                      <w:rFonts w:ascii="Arial" w:hAnsi="Arial" w:cs="Arial"/>
                                    </w:rPr>
                                    <w:t>3.07</w:t>
                                  </w:r>
                                </w:p>
                              </w:tc>
                              <w:tc>
                                <w:tcPr>
                                  <w:tcW w:w="1569" w:type="dxa"/>
                                  <w:tcBorders>
                                    <w:top w:val="single" w:sz="8" w:space="0" w:color="auto"/>
                                  </w:tcBorders>
                                </w:tcPr>
                                <w:p w14:paraId="3A84ED52" w14:textId="77777777" w:rsidR="00C93BE0" w:rsidRPr="006F0EDD" w:rsidRDefault="00C93BE0" w:rsidP="004E41A6">
                                  <w:pPr>
                                    <w:jc w:val="center"/>
                                    <w:rPr>
                                      <w:rFonts w:ascii="Arial" w:hAnsi="Arial" w:cs="Arial"/>
                                    </w:rPr>
                                  </w:pPr>
                                  <w:r>
                                    <w:rPr>
                                      <w:rFonts w:ascii="Arial" w:hAnsi="Arial" w:cs="Arial"/>
                                    </w:rPr>
                                    <w:t>.028*</w:t>
                                  </w:r>
                                </w:p>
                              </w:tc>
                              <w:tc>
                                <w:tcPr>
                                  <w:tcW w:w="1076" w:type="dxa"/>
                                  <w:tcBorders>
                                    <w:top w:val="single" w:sz="8" w:space="0" w:color="auto"/>
                                  </w:tcBorders>
                                </w:tcPr>
                                <w:p w14:paraId="189134B0" w14:textId="77777777" w:rsidR="00C93BE0" w:rsidRPr="006F0EDD" w:rsidRDefault="00C93BE0" w:rsidP="004E41A6">
                                  <w:pPr>
                                    <w:jc w:val="center"/>
                                    <w:rPr>
                                      <w:rFonts w:ascii="Arial" w:hAnsi="Arial" w:cs="Arial"/>
                                    </w:rPr>
                                  </w:pPr>
                                  <w:r>
                                    <w:rPr>
                                      <w:rFonts w:ascii="Arial" w:hAnsi="Arial" w:cs="Arial"/>
                                    </w:rPr>
                                    <w:t>2.59</w:t>
                                  </w:r>
                                </w:p>
                              </w:tc>
                              <w:tc>
                                <w:tcPr>
                                  <w:tcW w:w="1475" w:type="dxa"/>
                                  <w:tcBorders>
                                    <w:top w:val="single" w:sz="8" w:space="0" w:color="auto"/>
                                  </w:tcBorders>
                                </w:tcPr>
                                <w:p w14:paraId="159F0BDF" w14:textId="77777777" w:rsidR="00C93BE0" w:rsidRPr="006F0EDD" w:rsidRDefault="00C93BE0" w:rsidP="004E41A6">
                                  <w:pPr>
                                    <w:jc w:val="center"/>
                                    <w:rPr>
                                      <w:rFonts w:ascii="Arial" w:hAnsi="Arial" w:cs="Arial"/>
                                    </w:rPr>
                                  </w:pPr>
                                  <w:r>
                                    <w:rPr>
                                      <w:rFonts w:ascii="Arial" w:hAnsi="Arial" w:cs="Arial"/>
                                    </w:rPr>
                                    <w:t>.047*</w:t>
                                  </w:r>
                                </w:p>
                              </w:tc>
                              <w:tc>
                                <w:tcPr>
                                  <w:tcW w:w="1079" w:type="dxa"/>
                                  <w:tcBorders>
                                    <w:top w:val="single" w:sz="8" w:space="0" w:color="auto"/>
                                  </w:tcBorders>
                                </w:tcPr>
                                <w:p w14:paraId="11972BE0" w14:textId="77777777" w:rsidR="00C93BE0" w:rsidRPr="006F0EDD" w:rsidRDefault="00C93BE0" w:rsidP="004E41A6">
                                  <w:pPr>
                                    <w:jc w:val="center"/>
                                    <w:rPr>
                                      <w:rFonts w:ascii="Arial" w:hAnsi="Arial" w:cs="Arial"/>
                                    </w:rPr>
                                  </w:pPr>
                                  <w:r>
                                    <w:rPr>
                                      <w:rFonts w:ascii="Arial" w:hAnsi="Arial" w:cs="Arial"/>
                                    </w:rPr>
                                    <w:t>2.36</w:t>
                                  </w:r>
                                </w:p>
                              </w:tc>
                              <w:tc>
                                <w:tcPr>
                                  <w:tcW w:w="1204" w:type="dxa"/>
                                  <w:tcBorders>
                                    <w:top w:val="single" w:sz="8" w:space="0" w:color="auto"/>
                                  </w:tcBorders>
                                </w:tcPr>
                                <w:p w14:paraId="6F7AFD40" w14:textId="77777777" w:rsidR="00C93BE0" w:rsidRPr="006F0EDD" w:rsidRDefault="00C93BE0" w:rsidP="004E41A6">
                                  <w:pPr>
                                    <w:jc w:val="center"/>
                                    <w:rPr>
                                      <w:rFonts w:ascii="Arial" w:hAnsi="Arial" w:cs="Arial"/>
                                    </w:rPr>
                                  </w:pPr>
                                  <w:r>
                                    <w:rPr>
                                      <w:rFonts w:ascii="Arial" w:hAnsi="Arial" w:cs="Arial"/>
                                    </w:rPr>
                                    <w:t>.083</w:t>
                                  </w:r>
                                </w:p>
                              </w:tc>
                            </w:tr>
                            <w:tr w:rsidR="00C93BE0" w14:paraId="01ACF92E"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606D9E0C" w14:textId="3F5A353E" w:rsidR="00C93BE0" w:rsidRPr="006F0EDD" w:rsidRDefault="00C93BE0" w:rsidP="004E41A6">
                                  <w:pPr>
                                    <w:jc w:val="center"/>
                                    <w:rPr>
                                      <w:rFonts w:ascii="Arial" w:hAnsi="Arial" w:cs="Arial"/>
                                    </w:rPr>
                                  </w:pPr>
                                  <w:r w:rsidRPr="006F0EDD">
                                    <w:rPr>
                                      <w:rFonts w:ascii="Arial" w:hAnsi="Arial" w:cs="Arial"/>
                                    </w:rPr>
                                    <w:t>V3A</w:t>
                                  </w:r>
                                  <w:r>
                                    <w:rPr>
                                      <w:rFonts w:ascii="Arial" w:hAnsi="Arial" w:cs="Arial"/>
                                    </w:rPr>
                                    <w:t>/</w:t>
                                  </w:r>
                                  <w:r w:rsidRPr="006F0EDD">
                                    <w:rPr>
                                      <w:rFonts w:ascii="Arial" w:hAnsi="Arial" w:cs="Arial"/>
                                    </w:rPr>
                                    <w:t>B</w:t>
                                  </w:r>
                                </w:p>
                              </w:tc>
                              <w:tc>
                                <w:tcPr>
                                  <w:tcW w:w="1285" w:type="dxa"/>
                                </w:tcPr>
                                <w:p w14:paraId="68551377" w14:textId="77777777" w:rsidR="00C93BE0" w:rsidRPr="006F0EDD" w:rsidRDefault="00C93BE0" w:rsidP="004E41A6">
                                  <w:pPr>
                                    <w:jc w:val="center"/>
                                    <w:rPr>
                                      <w:rFonts w:ascii="Arial" w:hAnsi="Arial" w:cs="Arial"/>
                                    </w:rPr>
                                  </w:pPr>
                                  <w:r>
                                    <w:rPr>
                                      <w:rFonts w:ascii="Arial" w:hAnsi="Arial" w:cs="Arial"/>
                                    </w:rPr>
                                    <w:t>1.29</w:t>
                                  </w:r>
                                </w:p>
                              </w:tc>
                              <w:tc>
                                <w:tcPr>
                                  <w:tcW w:w="1569" w:type="dxa"/>
                                </w:tcPr>
                                <w:p w14:paraId="22D8A5A8" w14:textId="77777777" w:rsidR="00C93BE0" w:rsidRPr="006F0EDD" w:rsidRDefault="00C93BE0" w:rsidP="004E41A6">
                                  <w:pPr>
                                    <w:jc w:val="center"/>
                                    <w:rPr>
                                      <w:rFonts w:ascii="Arial" w:hAnsi="Arial" w:cs="Arial"/>
                                    </w:rPr>
                                  </w:pPr>
                                  <w:r>
                                    <w:rPr>
                                      <w:rFonts w:ascii="Arial" w:hAnsi="Arial" w:cs="Arial"/>
                                    </w:rPr>
                                    <w:t>.065</w:t>
                                  </w:r>
                                </w:p>
                              </w:tc>
                              <w:tc>
                                <w:tcPr>
                                  <w:tcW w:w="1076" w:type="dxa"/>
                                </w:tcPr>
                                <w:p w14:paraId="6C57E74F" w14:textId="77777777" w:rsidR="00C93BE0" w:rsidRPr="006F0EDD" w:rsidRDefault="00C93BE0" w:rsidP="004E41A6">
                                  <w:pPr>
                                    <w:jc w:val="center"/>
                                    <w:rPr>
                                      <w:rFonts w:ascii="Arial" w:hAnsi="Arial" w:cs="Arial"/>
                                    </w:rPr>
                                  </w:pPr>
                                  <w:r>
                                    <w:rPr>
                                      <w:rFonts w:ascii="Arial" w:hAnsi="Arial" w:cs="Arial"/>
                                    </w:rPr>
                                    <w:t>2.75</w:t>
                                  </w:r>
                                </w:p>
                              </w:tc>
                              <w:tc>
                                <w:tcPr>
                                  <w:tcW w:w="1475" w:type="dxa"/>
                                </w:tcPr>
                                <w:p w14:paraId="0351B445" w14:textId="77777777" w:rsidR="00C93BE0" w:rsidRPr="006F0EDD" w:rsidRDefault="00C93BE0" w:rsidP="004E41A6">
                                  <w:pPr>
                                    <w:jc w:val="center"/>
                                    <w:rPr>
                                      <w:rFonts w:ascii="Arial" w:hAnsi="Arial" w:cs="Arial"/>
                                    </w:rPr>
                                  </w:pPr>
                                  <w:r>
                                    <w:rPr>
                                      <w:rFonts w:ascii="Arial" w:hAnsi="Arial" w:cs="Arial"/>
                                    </w:rPr>
                                    <w:t>.037*</w:t>
                                  </w:r>
                                </w:p>
                              </w:tc>
                              <w:tc>
                                <w:tcPr>
                                  <w:tcW w:w="1079" w:type="dxa"/>
                                </w:tcPr>
                                <w:p w14:paraId="707D6433" w14:textId="77777777" w:rsidR="00C93BE0" w:rsidRPr="006F0EDD" w:rsidRDefault="00C93BE0" w:rsidP="004E41A6">
                                  <w:pPr>
                                    <w:jc w:val="center"/>
                                    <w:rPr>
                                      <w:rFonts w:ascii="Arial" w:hAnsi="Arial" w:cs="Arial"/>
                                    </w:rPr>
                                  </w:pPr>
                                  <w:r>
                                    <w:rPr>
                                      <w:rFonts w:ascii="Arial" w:hAnsi="Arial" w:cs="Arial"/>
                                    </w:rPr>
                                    <w:t>2.76</w:t>
                                  </w:r>
                                </w:p>
                              </w:tc>
                              <w:tc>
                                <w:tcPr>
                                  <w:tcW w:w="1204" w:type="dxa"/>
                                </w:tcPr>
                                <w:p w14:paraId="1579EE05" w14:textId="77777777" w:rsidR="00C93BE0" w:rsidRPr="006F0EDD" w:rsidRDefault="00C93BE0" w:rsidP="004E41A6">
                                  <w:pPr>
                                    <w:jc w:val="center"/>
                                    <w:rPr>
                                      <w:rFonts w:ascii="Arial" w:hAnsi="Arial" w:cs="Arial"/>
                                    </w:rPr>
                                  </w:pPr>
                                  <w:r>
                                    <w:rPr>
                                      <w:rFonts w:ascii="Arial" w:hAnsi="Arial" w:cs="Arial"/>
                                    </w:rPr>
                                    <w:t>.037*</w:t>
                                  </w:r>
                                </w:p>
                              </w:tc>
                            </w:tr>
                            <w:tr w:rsidR="00C93BE0" w14:paraId="16DCEE6B"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63E01880" w14:textId="77777777" w:rsidR="00C93BE0" w:rsidRPr="006F0EDD" w:rsidRDefault="00C93BE0" w:rsidP="004E41A6">
                                  <w:pPr>
                                    <w:jc w:val="center"/>
                                    <w:rPr>
                                      <w:rFonts w:ascii="Arial" w:hAnsi="Arial" w:cs="Arial"/>
                                    </w:rPr>
                                  </w:pPr>
                                  <w:r w:rsidRPr="006F0EDD">
                                    <w:rPr>
                                      <w:rFonts w:ascii="Arial" w:hAnsi="Arial" w:cs="Arial"/>
                                    </w:rPr>
                                    <w:t>hV4</w:t>
                                  </w:r>
                                </w:p>
                              </w:tc>
                              <w:tc>
                                <w:tcPr>
                                  <w:tcW w:w="1285" w:type="dxa"/>
                                </w:tcPr>
                                <w:p w14:paraId="2718C896" w14:textId="77777777" w:rsidR="00C93BE0" w:rsidRPr="006F0EDD" w:rsidRDefault="00C93BE0" w:rsidP="004E41A6">
                                  <w:pPr>
                                    <w:jc w:val="center"/>
                                    <w:rPr>
                                      <w:rFonts w:ascii="Arial" w:hAnsi="Arial" w:cs="Arial"/>
                                    </w:rPr>
                                  </w:pPr>
                                  <w:r>
                                    <w:rPr>
                                      <w:rFonts w:ascii="Arial" w:hAnsi="Arial" w:cs="Arial"/>
                                    </w:rPr>
                                    <w:t>3.07</w:t>
                                  </w:r>
                                </w:p>
                              </w:tc>
                              <w:tc>
                                <w:tcPr>
                                  <w:tcW w:w="1569" w:type="dxa"/>
                                </w:tcPr>
                                <w:p w14:paraId="7CD3E40D" w14:textId="77777777" w:rsidR="00C93BE0" w:rsidRPr="006F0EDD" w:rsidRDefault="00C93BE0" w:rsidP="004E41A6">
                                  <w:pPr>
                                    <w:jc w:val="center"/>
                                    <w:rPr>
                                      <w:rFonts w:ascii="Arial" w:hAnsi="Arial" w:cs="Arial"/>
                                    </w:rPr>
                                  </w:pPr>
                                  <w:r>
                                    <w:rPr>
                                      <w:rFonts w:ascii="Arial" w:hAnsi="Arial" w:cs="Arial"/>
                                    </w:rPr>
                                    <w:t>.028*</w:t>
                                  </w:r>
                                </w:p>
                              </w:tc>
                              <w:tc>
                                <w:tcPr>
                                  <w:tcW w:w="1076" w:type="dxa"/>
                                </w:tcPr>
                                <w:p w14:paraId="67E0C473" w14:textId="77777777" w:rsidR="00C93BE0" w:rsidRPr="006F0EDD" w:rsidRDefault="00C93BE0" w:rsidP="004E41A6">
                                  <w:pPr>
                                    <w:jc w:val="center"/>
                                    <w:rPr>
                                      <w:rFonts w:ascii="Arial" w:hAnsi="Arial" w:cs="Arial"/>
                                    </w:rPr>
                                  </w:pPr>
                                  <w:r>
                                    <w:rPr>
                                      <w:rFonts w:ascii="Arial" w:hAnsi="Arial" w:cs="Arial"/>
                                    </w:rPr>
                                    <w:t>2.95</w:t>
                                  </w:r>
                                </w:p>
                              </w:tc>
                              <w:tc>
                                <w:tcPr>
                                  <w:tcW w:w="1475" w:type="dxa"/>
                                </w:tcPr>
                                <w:p w14:paraId="34DD6830" w14:textId="77777777" w:rsidR="00C93BE0" w:rsidRPr="006F0EDD" w:rsidRDefault="00C93BE0" w:rsidP="004E41A6">
                                  <w:pPr>
                                    <w:jc w:val="center"/>
                                    <w:rPr>
                                      <w:rFonts w:ascii="Arial" w:hAnsi="Arial" w:cs="Arial"/>
                                    </w:rPr>
                                  </w:pPr>
                                  <w:r>
                                    <w:rPr>
                                      <w:rFonts w:ascii="Arial" w:hAnsi="Arial" w:cs="Arial"/>
                                    </w:rPr>
                                    <w:t>.028*</w:t>
                                  </w:r>
                                </w:p>
                              </w:tc>
                              <w:tc>
                                <w:tcPr>
                                  <w:tcW w:w="1079" w:type="dxa"/>
                                </w:tcPr>
                                <w:p w14:paraId="2CF2CF4F" w14:textId="77777777" w:rsidR="00C93BE0" w:rsidRPr="006F0EDD" w:rsidRDefault="00C93BE0" w:rsidP="004E41A6">
                                  <w:pPr>
                                    <w:jc w:val="center"/>
                                    <w:rPr>
                                      <w:rFonts w:ascii="Arial" w:hAnsi="Arial" w:cs="Arial"/>
                                    </w:rPr>
                                  </w:pPr>
                                  <w:r>
                                    <w:rPr>
                                      <w:rFonts w:ascii="Arial" w:hAnsi="Arial" w:cs="Arial"/>
                                    </w:rPr>
                                    <w:t>3.06</w:t>
                                  </w:r>
                                </w:p>
                              </w:tc>
                              <w:tc>
                                <w:tcPr>
                                  <w:tcW w:w="1204" w:type="dxa"/>
                                </w:tcPr>
                                <w:p w14:paraId="7A07C351" w14:textId="77777777" w:rsidR="00C93BE0" w:rsidRPr="006F0EDD" w:rsidRDefault="00C93BE0" w:rsidP="004E41A6">
                                  <w:pPr>
                                    <w:jc w:val="center"/>
                                    <w:rPr>
                                      <w:rFonts w:ascii="Arial" w:hAnsi="Arial" w:cs="Arial"/>
                                    </w:rPr>
                                  </w:pPr>
                                  <w:r>
                                    <w:rPr>
                                      <w:rFonts w:ascii="Arial" w:hAnsi="Arial" w:cs="Arial"/>
                                    </w:rPr>
                                    <w:t>.028*</w:t>
                                  </w:r>
                                </w:p>
                              </w:tc>
                            </w:tr>
                            <w:tr w:rsidR="00C93BE0" w14:paraId="6054AA5F"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34B3393E" w14:textId="77777777" w:rsidR="00C93BE0" w:rsidRPr="006F0EDD" w:rsidRDefault="00C93BE0" w:rsidP="004E41A6">
                                  <w:pPr>
                                    <w:jc w:val="center"/>
                                    <w:rPr>
                                      <w:rFonts w:ascii="Arial" w:hAnsi="Arial" w:cs="Arial"/>
                                    </w:rPr>
                                  </w:pPr>
                                  <w:r w:rsidRPr="006F0EDD">
                                    <w:rPr>
                                      <w:rFonts w:ascii="Arial" w:hAnsi="Arial" w:cs="Arial"/>
                                    </w:rPr>
                                    <w:t>LO-1</w:t>
                                  </w:r>
                                </w:p>
                              </w:tc>
                              <w:tc>
                                <w:tcPr>
                                  <w:tcW w:w="1285" w:type="dxa"/>
                                </w:tcPr>
                                <w:p w14:paraId="5AA7C61B" w14:textId="77777777" w:rsidR="00C93BE0" w:rsidRPr="006F0EDD" w:rsidRDefault="00C93BE0" w:rsidP="004E41A6">
                                  <w:pPr>
                                    <w:jc w:val="center"/>
                                    <w:rPr>
                                      <w:rFonts w:ascii="Arial" w:hAnsi="Arial" w:cs="Arial"/>
                                    </w:rPr>
                                  </w:pPr>
                                  <w:r>
                                    <w:rPr>
                                      <w:rFonts w:ascii="Arial" w:hAnsi="Arial" w:cs="Arial"/>
                                    </w:rPr>
                                    <w:t>2.63</w:t>
                                  </w:r>
                                </w:p>
                              </w:tc>
                              <w:tc>
                                <w:tcPr>
                                  <w:tcW w:w="1569" w:type="dxa"/>
                                </w:tcPr>
                                <w:p w14:paraId="7167D7B1" w14:textId="77777777" w:rsidR="00C93BE0" w:rsidRPr="006F0EDD" w:rsidRDefault="00C93BE0" w:rsidP="004E41A6">
                                  <w:pPr>
                                    <w:jc w:val="center"/>
                                    <w:rPr>
                                      <w:rFonts w:ascii="Arial" w:hAnsi="Arial" w:cs="Arial"/>
                                    </w:rPr>
                                  </w:pPr>
                                  <w:r>
                                    <w:rPr>
                                      <w:rFonts w:ascii="Arial" w:hAnsi="Arial" w:cs="Arial"/>
                                    </w:rPr>
                                    <w:t>.047*</w:t>
                                  </w:r>
                                </w:p>
                              </w:tc>
                              <w:tc>
                                <w:tcPr>
                                  <w:tcW w:w="1076" w:type="dxa"/>
                                </w:tcPr>
                                <w:p w14:paraId="37CA91FE" w14:textId="77777777" w:rsidR="00C93BE0" w:rsidRPr="006F0EDD" w:rsidRDefault="00C93BE0" w:rsidP="004E41A6">
                                  <w:pPr>
                                    <w:jc w:val="center"/>
                                    <w:rPr>
                                      <w:rFonts w:ascii="Arial" w:hAnsi="Arial" w:cs="Arial"/>
                                    </w:rPr>
                                  </w:pPr>
                                  <w:r>
                                    <w:rPr>
                                      <w:rFonts w:ascii="Arial" w:hAnsi="Arial" w:cs="Arial"/>
                                    </w:rPr>
                                    <w:t>2.94</w:t>
                                  </w:r>
                                </w:p>
                              </w:tc>
                              <w:tc>
                                <w:tcPr>
                                  <w:tcW w:w="1475" w:type="dxa"/>
                                </w:tcPr>
                                <w:p w14:paraId="714F9E4E" w14:textId="77777777" w:rsidR="00C93BE0" w:rsidRPr="006F0EDD" w:rsidRDefault="00C93BE0" w:rsidP="004E41A6">
                                  <w:pPr>
                                    <w:jc w:val="center"/>
                                    <w:rPr>
                                      <w:rFonts w:ascii="Arial" w:hAnsi="Arial" w:cs="Arial"/>
                                    </w:rPr>
                                  </w:pPr>
                                  <w:r>
                                    <w:rPr>
                                      <w:rFonts w:ascii="Arial" w:hAnsi="Arial" w:cs="Arial"/>
                                    </w:rPr>
                                    <w:t>.028*</w:t>
                                  </w:r>
                                </w:p>
                              </w:tc>
                              <w:tc>
                                <w:tcPr>
                                  <w:tcW w:w="1079" w:type="dxa"/>
                                </w:tcPr>
                                <w:p w14:paraId="1678F8CB" w14:textId="77777777" w:rsidR="00C93BE0" w:rsidRPr="006F0EDD" w:rsidRDefault="00C93BE0" w:rsidP="004E41A6">
                                  <w:pPr>
                                    <w:jc w:val="center"/>
                                    <w:rPr>
                                      <w:rFonts w:ascii="Arial" w:hAnsi="Arial" w:cs="Arial"/>
                                    </w:rPr>
                                  </w:pPr>
                                  <w:r>
                                    <w:rPr>
                                      <w:rFonts w:ascii="Arial" w:hAnsi="Arial" w:cs="Arial"/>
                                    </w:rPr>
                                    <w:t>2.94</w:t>
                                  </w:r>
                                </w:p>
                              </w:tc>
                              <w:tc>
                                <w:tcPr>
                                  <w:tcW w:w="1204" w:type="dxa"/>
                                </w:tcPr>
                                <w:p w14:paraId="39ED514C" w14:textId="77777777" w:rsidR="00C93BE0" w:rsidRPr="006F0EDD" w:rsidRDefault="00C93BE0" w:rsidP="004E41A6">
                                  <w:pPr>
                                    <w:jc w:val="center"/>
                                    <w:rPr>
                                      <w:rFonts w:ascii="Arial" w:hAnsi="Arial" w:cs="Arial"/>
                                    </w:rPr>
                                  </w:pPr>
                                  <w:r>
                                    <w:rPr>
                                      <w:rFonts w:ascii="Arial" w:hAnsi="Arial" w:cs="Arial"/>
                                    </w:rPr>
                                    <w:t>.028*</w:t>
                                  </w:r>
                                </w:p>
                              </w:tc>
                            </w:tr>
                            <w:tr w:rsidR="00C93BE0" w14:paraId="105CD032"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bottom w:val="single" w:sz="8" w:space="0" w:color="000000"/>
                                  </w:tcBorders>
                                </w:tcPr>
                                <w:p w14:paraId="2B18EF95" w14:textId="77777777" w:rsidR="00C93BE0" w:rsidRPr="006F0EDD" w:rsidRDefault="00C93BE0" w:rsidP="004E41A6">
                                  <w:pPr>
                                    <w:jc w:val="center"/>
                                    <w:rPr>
                                      <w:rFonts w:ascii="Arial" w:hAnsi="Arial" w:cs="Arial"/>
                                    </w:rPr>
                                  </w:pPr>
                                  <w:r w:rsidRPr="006F0EDD">
                                    <w:rPr>
                                      <w:rFonts w:ascii="Arial" w:hAnsi="Arial" w:cs="Arial"/>
                                    </w:rPr>
                                    <w:t>LO-2</w:t>
                                  </w:r>
                                </w:p>
                              </w:tc>
                              <w:tc>
                                <w:tcPr>
                                  <w:tcW w:w="1285" w:type="dxa"/>
                                  <w:tcBorders>
                                    <w:bottom w:val="single" w:sz="8" w:space="0" w:color="000000"/>
                                  </w:tcBorders>
                                </w:tcPr>
                                <w:p w14:paraId="76ABDE46" w14:textId="77777777" w:rsidR="00C93BE0" w:rsidRPr="006F0EDD" w:rsidRDefault="00C93BE0" w:rsidP="004E41A6">
                                  <w:pPr>
                                    <w:jc w:val="center"/>
                                    <w:rPr>
                                      <w:rFonts w:ascii="Arial" w:hAnsi="Arial" w:cs="Arial"/>
                                    </w:rPr>
                                  </w:pPr>
                                  <w:r>
                                    <w:rPr>
                                      <w:rFonts w:ascii="Arial" w:hAnsi="Arial" w:cs="Arial"/>
                                    </w:rPr>
                                    <w:t>1.80</w:t>
                                  </w:r>
                                </w:p>
                              </w:tc>
                              <w:tc>
                                <w:tcPr>
                                  <w:tcW w:w="1569" w:type="dxa"/>
                                  <w:tcBorders>
                                    <w:bottom w:val="single" w:sz="8" w:space="0" w:color="000000"/>
                                  </w:tcBorders>
                                </w:tcPr>
                                <w:p w14:paraId="3A7B17A5" w14:textId="77777777" w:rsidR="00C93BE0" w:rsidRPr="006F0EDD" w:rsidRDefault="00C93BE0" w:rsidP="004E41A6">
                                  <w:pPr>
                                    <w:jc w:val="center"/>
                                    <w:rPr>
                                      <w:rFonts w:ascii="Arial" w:hAnsi="Arial" w:cs="Arial"/>
                                    </w:rPr>
                                  </w:pPr>
                                  <w:r>
                                    <w:rPr>
                                      <w:rFonts w:ascii="Arial" w:hAnsi="Arial" w:cs="Arial"/>
                                    </w:rPr>
                                    <w:t>.258</w:t>
                                  </w:r>
                                </w:p>
                              </w:tc>
                              <w:tc>
                                <w:tcPr>
                                  <w:tcW w:w="1076" w:type="dxa"/>
                                  <w:tcBorders>
                                    <w:bottom w:val="single" w:sz="8" w:space="0" w:color="000000"/>
                                  </w:tcBorders>
                                </w:tcPr>
                                <w:p w14:paraId="1F46E44B" w14:textId="77777777" w:rsidR="00C93BE0" w:rsidRPr="006F0EDD" w:rsidRDefault="00C93BE0" w:rsidP="004E41A6">
                                  <w:pPr>
                                    <w:jc w:val="center"/>
                                    <w:rPr>
                                      <w:rFonts w:ascii="Arial" w:hAnsi="Arial" w:cs="Arial"/>
                                    </w:rPr>
                                  </w:pPr>
                                  <w:r>
                                    <w:rPr>
                                      <w:rFonts w:ascii="Arial" w:hAnsi="Arial" w:cs="Arial"/>
                                    </w:rPr>
                                    <w:t>2.28</w:t>
                                  </w:r>
                                </w:p>
                              </w:tc>
                              <w:tc>
                                <w:tcPr>
                                  <w:tcW w:w="1475" w:type="dxa"/>
                                  <w:tcBorders>
                                    <w:bottom w:val="single" w:sz="8" w:space="0" w:color="000000"/>
                                  </w:tcBorders>
                                </w:tcPr>
                                <w:p w14:paraId="7DB0D26E" w14:textId="77777777" w:rsidR="00C93BE0" w:rsidRPr="006F0EDD" w:rsidRDefault="00C93BE0" w:rsidP="004E41A6">
                                  <w:pPr>
                                    <w:jc w:val="center"/>
                                    <w:rPr>
                                      <w:rFonts w:ascii="Arial" w:hAnsi="Arial" w:cs="Arial"/>
                                    </w:rPr>
                                  </w:pPr>
                                  <w:r>
                                    <w:rPr>
                                      <w:rFonts w:ascii="Arial" w:hAnsi="Arial" w:cs="Arial"/>
                                    </w:rPr>
                                    <w:t>.088</w:t>
                                  </w:r>
                                </w:p>
                              </w:tc>
                              <w:tc>
                                <w:tcPr>
                                  <w:tcW w:w="1079" w:type="dxa"/>
                                  <w:tcBorders>
                                    <w:bottom w:val="single" w:sz="8" w:space="0" w:color="000000"/>
                                  </w:tcBorders>
                                </w:tcPr>
                                <w:p w14:paraId="0385C737" w14:textId="77777777" w:rsidR="00C93BE0" w:rsidRPr="006F0EDD" w:rsidRDefault="00C93BE0" w:rsidP="004E41A6">
                                  <w:pPr>
                                    <w:jc w:val="center"/>
                                    <w:rPr>
                                      <w:rFonts w:ascii="Arial" w:hAnsi="Arial" w:cs="Arial"/>
                                    </w:rPr>
                                  </w:pPr>
                                  <w:r>
                                    <w:rPr>
                                      <w:rFonts w:ascii="Arial" w:hAnsi="Arial" w:cs="Arial"/>
                                    </w:rPr>
                                    <w:t>2.28</w:t>
                                  </w:r>
                                </w:p>
                              </w:tc>
                              <w:tc>
                                <w:tcPr>
                                  <w:tcW w:w="1204" w:type="dxa"/>
                                  <w:tcBorders>
                                    <w:bottom w:val="single" w:sz="8" w:space="0" w:color="000000"/>
                                  </w:tcBorders>
                                </w:tcPr>
                                <w:p w14:paraId="3E384932" w14:textId="77777777" w:rsidR="00C93BE0" w:rsidRPr="006F0EDD" w:rsidRDefault="00C93BE0" w:rsidP="004E41A6">
                                  <w:pPr>
                                    <w:jc w:val="center"/>
                                    <w:rPr>
                                      <w:rFonts w:ascii="Arial" w:hAnsi="Arial" w:cs="Arial"/>
                                    </w:rPr>
                                  </w:pPr>
                                  <w:r>
                                    <w:rPr>
                                      <w:rFonts w:ascii="Arial" w:hAnsi="Arial" w:cs="Arial"/>
                                    </w:rPr>
                                    <w:t>.088</w:t>
                                  </w:r>
                                </w:p>
                              </w:tc>
                            </w:tr>
                          </w:tbl>
                          <w:p w14:paraId="53ABB726" w14:textId="77777777" w:rsidR="00C93BE0" w:rsidRPr="006F0EDD" w:rsidRDefault="00C93BE0" w:rsidP="00023D9B">
                            <w:pPr>
                              <w:rPr>
                                <w:rFonts w:ascii="Arial" w:hAnsi="Arial" w:cs="Arial"/>
                                <w:i/>
                                <w:iCs/>
                              </w:rPr>
                            </w:pPr>
                            <w:r w:rsidRPr="006F0EDD">
                              <w:rPr>
                                <w:rFonts w:ascii="Arial" w:hAnsi="Arial" w:cs="Arial"/>
                                <w:i/>
                                <w:iCs/>
                              </w:rPr>
                              <w:t>*</w:t>
                            </w:r>
                            <w:r>
                              <w:rPr>
                                <w:rFonts w:ascii="Arial" w:hAnsi="Arial" w:cs="Arial"/>
                                <w:i/>
                                <w:iCs/>
                              </w:rPr>
                              <w:t xml:space="preserve"> p &lt;.05, ** p&lt;.01, *** p&lt;.001</w:t>
                            </w:r>
                          </w:p>
                          <w:p w14:paraId="7D9E145A" w14:textId="77777777" w:rsidR="00C93BE0" w:rsidRDefault="00C93BE0" w:rsidP="00023D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379CD" id="Text Box 3" o:spid="_x0000_s1057" type="#_x0000_t202" style="position:absolute;margin-left:-12.4pt;margin-top:66.8pt;width:457.75pt;height:183.1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" filled="f" stroked="f" strokeweight=".5pt">
                <v:textbox>
                  <w:txbxContent>
                    <w:p w14:paraId="03A96089" w14:textId="77777777" w:rsidR="00C93BE0" w:rsidRPr="00A92335" w:rsidRDefault="00C93BE0" w:rsidP="00023D9B">
                      <w:pPr>
                        <w:pStyle w:val="Caption"/>
                        <w:keepNext/>
                        <w:rPr>
                          <w:rFonts w:ascii="Arial" w:hAnsi="Arial" w:cs="Arial"/>
                          <w:i w:val="0"/>
                          <w:iCs w:val="0"/>
                          <w:color w:val="000000" w:themeColor="text1"/>
                          <w:sz w:val="24"/>
                          <w:szCs w:val="24"/>
                        </w:rPr>
                      </w:pPr>
                      <w:r w:rsidRPr="00A92335">
                        <w:rPr>
                          <w:rFonts w:ascii="Arial" w:hAnsi="Arial" w:cs="Arial"/>
                          <w:b/>
                          <w:bCs/>
                          <w:i w:val="0"/>
                          <w:iCs w:val="0"/>
                          <w:color w:val="000000" w:themeColor="text1"/>
                          <w:sz w:val="24"/>
                          <w:szCs w:val="24"/>
                        </w:rPr>
                        <w:t xml:space="preserve">Table </w:t>
                      </w:r>
                      <w:r>
                        <w:rPr>
                          <w:rFonts w:ascii="Arial" w:hAnsi="Arial" w:cs="Arial"/>
                          <w:b/>
                          <w:bCs/>
                          <w:i w:val="0"/>
                          <w:iCs w:val="0"/>
                          <w:color w:val="000000" w:themeColor="text1"/>
                          <w:sz w:val="24"/>
                          <w:szCs w:val="24"/>
                        </w:rPr>
                        <w:t>5</w:t>
                      </w:r>
                      <w:r w:rsidRPr="00A92335">
                        <w:rPr>
                          <w:rFonts w:ascii="Arial" w:hAnsi="Arial" w:cs="Arial"/>
                          <w:b/>
                          <w:bCs/>
                          <w:i w:val="0"/>
                          <w:iCs w:val="0"/>
                          <w:color w:val="000000" w:themeColor="text1"/>
                          <w:sz w:val="24"/>
                          <w:szCs w:val="24"/>
                        </w:rPr>
                        <w:t>.</w:t>
                      </w:r>
                      <w:r>
                        <w:rPr>
                          <w:rFonts w:ascii="Arial" w:hAnsi="Arial" w:cs="Arial"/>
                          <w:b/>
                          <w:bCs/>
                          <w:i w:val="0"/>
                          <w:iCs w:val="0"/>
                          <w:color w:val="000000" w:themeColor="text1"/>
                          <w:sz w:val="24"/>
                          <w:szCs w:val="24"/>
                        </w:rPr>
                        <w:t xml:space="preserve">2 </w:t>
                      </w:r>
                      <w:r>
                        <w:rPr>
                          <w:rFonts w:ascii="Arial" w:hAnsi="Arial" w:cs="Arial"/>
                          <w:i w:val="0"/>
                          <w:iCs w:val="0"/>
                          <w:color w:val="000000" w:themeColor="text1"/>
                          <w:sz w:val="24"/>
                          <w:szCs w:val="24"/>
                        </w:rPr>
                        <w:t xml:space="preserve">Attention directed toward red-green, blue-yellow and achromatic stimuli can be decoded through two-way classification in visual ROIs.  </w:t>
                      </w:r>
                    </w:p>
                    <w:tbl>
                      <w:tblPr>
                        <w:tblStyle w:val="TableGrid"/>
                        <w:tblW w:w="0" w:type="auto"/>
                        <w:tblLook w:val="04A0" w:firstRow="1" w:lastRow="0" w:firstColumn="1" w:lastColumn="0" w:noHBand="0" w:noVBand="1"/>
                      </w:tblPr>
                      <w:tblGrid>
                        <w:gridCol w:w="974"/>
                        <w:gridCol w:w="1285"/>
                        <w:gridCol w:w="1569"/>
                        <w:gridCol w:w="1076"/>
                        <w:gridCol w:w="1475"/>
                        <w:gridCol w:w="1079"/>
                        <w:gridCol w:w="1204"/>
                      </w:tblGrid>
                      <w:tr w:rsidR="00C93BE0" w14:paraId="05C4FDD3" w14:textId="77777777" w:rsidTr="004E41A6">
                        <w:tc>
                          <w:tcPr>
                            <w:tcW w:w="974" w:type="dxa"/>
                            <w:tcBorders>
                              <w:top w:val="single" w:sz="18" w:space="0" w:color="000000"/>
                              <w:left w:val="nil"/>
                              <w:bottom w:val="single" w:sz="8" w:space="0" w:color="000000"/>
                              <w:right w:val="nil"/>
                            </w:tcBorders>
                          </w:tcPr>
                          <w:p w14:paraId="13E90DFC" w14:textId="77777777" w:rsidR="00C93BE0" w:rsidRPr="006F0EDD" w:rsidRDefault="00C93BE0" w:rsidP="004E41A6">
                            <w:pPr>
                              <w:rPr>
                                <w:rFonts w:ascii="Arial" w:hAnsi="Arial" w:cs="Arial"/>
                              </w:rPr>
                            </w:pPr>
                          </w:p>
                        </w:tc>
                        <w:tc>
                          <w:tcPr>
                            <w:tcW w:w="2854" w:type="dxa"/>
                            <w:gridSpan w:val="2"/>
                            <w:tcBorders>
                              <w:top w:val="single" w:sz="18" w:space="0" w:color="000000"/>
                              <w:left w:val="nil"/>
                              <w:bottom w:val="single" w:sz="8" w:space="0" w:color="000000"/>
                              <w:right w:val="nil"/>
                            </w:tcBorders>
                          </w:tcPr>
                          <w:p w14:paraId="6ECA4872" w14:textId="77777777" w:rsidR="00C93BE0" w:rsidRPr="006F0EDD" w:rsidRDefault="00C93BE0" w:rsidP="004E41A6">
                            <w:pPr>
                              <w:jc w:val="center"/>
                              <w:rPr>
                                <w:rFonts w:ascii="Arial" w:hAnsi="Arial" w:cs="Arial"/>
                              </w:rPr>
                            </w:pPr>
                            <w:r>
                              <w:rPr>
                                <w:rFonts w:ascii="Arial" w:hAnsi="Arial" w:cs="Arial"/>
                              </w:rPr>
                              <w:t>Red-Green</w:t>
                            </w:r>
                            <w:r w:rsidRPr="006F0EDD">
                              <w:rPr>
                                <w:rFonts w:ascii="Arial" w:hAnsi="Arial" w:cs="Arial"/>
                              </w:rPr>
                              <w:t xml:space="preserve"> </w:t>
                            </w:r>
                            <w:r>
                              <w:rPr>
                                <w:rFonts w:ascii="Arial" w:hAnsi="Arial" w:cs="Arial"/>
                              </w:rPr>
                              <w:t>vs.</w:t>
                            </w:r>
                            <w:r w:rsidRPr="006F0EDD">
                              <w:rPr>
                                <w:rFonts w:ascii="Arial" w:hAnsi="Arial" w:cs="Arial"/>
                              </w:rPr>
                              <w:t xml:space="preserve"> </w:t>
                            </w:r>
                            <w:r>
                              <w:rPr>
                                <w:rFonts w:ascii="Arial" w:hAnsi="Arial" w:cs="Arial"/>
                              </w:rPr>
                              <w:t>Blue-Yellow</w:t>
                            </w:r>
                          </w:p>
                        </w:tc>
                        <w:tc>
                          <w:tcPr>
                            <w:tcW w:w="2551" w:type="dxa"/>
                            <w:gridSpan w:val="2"/>
                            <w:tcBorders>
                              <w:top w:val="single" w:sz="18" w:space="0" w:color="000000"/>
                              <w:left w:val="nil"/>
                              <w:bottom w:val="single" w:sz="8" w:space="0" w:color="000000"/>
                              <w:right w:val="nil"/>
                            </w:tcBorders>
                          </w:tcPr>
                          <w:p w14:paraId="614A3DB1" w14:textId="77777777" w:rsidR="00C93BE0" w:rsidRPr="006F0EDD" w:rsidRDefault="00C93BE0" w:rsidP="004E41A6">
                            <w:pPr>
                              <w:jc w:val="center"/>
                              <w:rPr>
                                <w:rFonts w:ascii="Arial" w:hAnsi="Arial" w:cs="Arial"/>
                              </w:rPr>
                            </w:pPr>
                            <w:r>
                              <w:rPr>
                                <w:rFonts w:ascii="Arial" w:hAnsi="Arial" w:cs="Arial"/>
                              </w:rPr>
                              <w:t>Red-Green</w:t>
                            </w:r>
                            <w:r w:rsidRPr="006F0EDD">
                              <w:rPr>
                                <w:rFonts w:ascii="Arial" w:hAnsi="Arial" w:cs="Arial"/>
                              </w:rPr>
                              <w:t xml:space="preserve"> </w:t>
                            </w:r>
                            <w:r>
                              <w:rPr>
                                <w:rFonts w:ascii="Arial" w:hAnsi="Arial" w:cs="Arial"/>
                              </w:rPr>
                              <w:t>vs.</w:t>
                            </w:r>
                            <w:r w:rsidRPr="006F0EDD">
                              <w:rPr>
                                <w:rFonts w:ascii="Arial" w:hAnsi="Arial" w:cs="Arial"/>
                              </w:rPr>
                              <w:t xml:space="preserve"> </w:t>
                            </w:r>
                            <w:r>
                              <w:rPr>
                                <w:rFonts w:ascii="Arial" w:hAnsi="Arial" w:cs="Arial"/>
                              </w:rPr>
                              <w:t>Achromatic</w:t>
                            </w:r>
                          </w:p>
                        </w:tc>
                        <w:tc>
                          <w:tcPr>
                            <w:tcW w:w="2283" w:type="dxa"/>
                            <w:gridSpan w:val="2"/>
                            <w:tcBorders>
                              <w:top w:val="single" w:sz="18" w:space="0" w:color="000000"/>
                              <w:left w:val="nil"/>
                              <w:bottom w:val="single" w:sz="8" w:space="0" w:color="000000"/>
                              <w:right w:val="nil"/>
                            </w:tcBorders>
                          </w:tcPr>
                          <w:p w14:paraId="782D87F0" w14:textId="77777777" w:rsidR="00C93BE0" w:rsidRPr="006F0EDD" w:rsidRDefault="00C93BE0" w:rsidP="004E41A6">
                            <w:pPr>
                              <w:jc w:val="center"/>
                              <w:rPr>
                                <w:rFonts w:ascii="Arial" w:hAnsi="Arial" w:cs="Arial"/>
                              </w:rPr>
                            </w:pPr>
                            <w:r>
                              <w:rPr>
                                <w:rFonts w:ascii="Arial" w:hAnsi="Arial" w:cs="Arial"/>
                              </w:rPr>
                              <w:t>Blue-Yellow</w:t>
                            </w:r>
                            <w:r w:rsidRPr="006F0EDD">
                              <w:rPr>
                                <w:rFonts w:ascii="Arial" w:hAnsi="Arial" w:cs="Arial"/>
                              </w:rPr>
                              <w:t xml:space="preserve"> </w:t>
                            </w:r>
                            <w:r>
                              <w:rPr>
                                <w:rFonts w:ascii="Arial" w:hAnsi="Arial" w:cs="Arial"/>
                              </w:rPr>
                              <w:t>vs.</w:t>
                            </w:r>
                            <w:r w:rsidRPr="006F0EDD">
                              <w:rPr>
                                <w:rFonts w:ascii="Arial" w:hAnsi="Arial" w:cs="Arial"/>
                              </w:rPr>
                              <w:t xml:space="preserve"> </w:t>
                            </w:r>
                            <w:r>
                              <w:rPr>
                                <w:rFonts w:ascii="Arial" w:hAnsi="Arial" w:cs="Arial"/>
                              </w:rPr>
                              <w:t>Achromatic</w:t>
                            </w:r>
                          </w:p>
                        </w:tc>
                      </w:tr>
                      <w:tr w:rsidR="00C93BE0" w14:paraId="00C92D34"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bottom w:val="single" w:sz="8" w:space="0" w:color="000000"/>
                            </w:tcBorders>
                          </w:tcPr>
                          <w:p w14:paraId="714A3009" w14:textId="77777777" w:rsidR="00C93BE0" w:rsidRPr="006F0EDD" w:rsidRDefault="00C93BE0" w:rsidP="004E41A6">
                            <w:pPr>
                              <w:jc w:val="center"/>
                              <w:rPr>
                                <w:rFonts w:ascii="Arial" w:hAnsi="Arial" w:cs="Arial"/>
                              </w:rPr>
                            </w:pPr>
                            <w:r>
                              <w:rPr>
                                <w:rFonts w:ascii="Arial" w:hAnsi="Arial" w:cs="Arial"/>
                              </w:rPr>
                              <w:t>ROI</w:t>
                            </w:r>
                          </w:p>
                        </w:tc>
                        <w:tc>
                          <w:tcPr>
                            <w:tcW w:w="1285" w:type="dxa"/>
                            <w:tcBorders>
                              <w:top w:val="single" w:sz="8" w:space="0" w:color="000000"/>
                              <w:bottom w:val="single" w:sz="8" w:space="0" w:color="auto"/>
                            </w:tcBorders>
                          </w:tcPr>
                          <w:p w14:paraId="4621C5CD" w14:textId="77777777" w:rsidR="00C93BE0" w:rsidRPr="006F0EDD" w:rsidRDefault="00C93BE0" w:rsidP="004E41A6">
                            <w:pPr>
                              <w:jc w:val="center"/>
                              <w:rPr>
                                <w:rFonts w:ascii="Arial" w:hAnsi="Arial" w:cs="Arial"/>
                              </w:rPr>
                            </w:pPr>
                            <w:r>
                              <w:rPr>
                                <w:rFonts w:ascii="Arial" w:hAnsi="Arial" w:cs="Arial"/>
                              </w:rPr>
                              <w:t>Z</w:t>
                            </w:r>
                          </w:p>
                        </w:tc>
                        <w:tc>
                          <w:tcPr>
                            <w:tcW w:w="1569" w:type="dxa"/>
                            <w:tcBorders>
                              <w:top w:val="single" w:sz="8" w:space="0" w:color="000000"/>
                              <w:bottom w:val="single" w:sz="8" w:space="0" w:color="auto"/>
                            </w:tcBorders>
                          </w:tcPr>
                          <w:p w14:paraId="18AE1F1E" w14:textId="77777777" w:rsidR="00C93BE0" w:rsidRPr="006F0EDD" w:rsidRDefault="00C93BE0" w:rsidP="004E41A6">
                            <w:pPr>
                              <w:jc w:val="center"/>
                              <w:rPr>
                                <w:rFonts w:ascii="Arial" w:hAnsi="Arial" w:cs="Arial"/>
                                <w:i/>
                                <w:iCs/>
                              </w:rPr>
                            </w:pPr>
                            <w:r>
                              <w:rPr>
                                <w:rFonts w:ascii="Arial" w:hAnsi="Arial" w:cs="Arial"/>
                                <w:i/>
                                <w:iCs/>
                              </w:rPr>
                              <w:t>p</w:t>
                            </w:r>
                          </w:p>
                        </w:tc>
                        <w:tc>
                          <w:tcPr>
                            <w:tcW w:w="1076" w:type="dxa"/>
                            <w:tcBorders>
                              <w:top w:val="single" w:sz="8" w:space="0" w:color="000000"/>
                              <w:bottom w:val="single" w:sz="8" w:space="0" w:color="auto"/>
                            </w:tcBorders>
                          </w:tcPr>
                          <w:p w14:paraId="6AEC8CF9" w14:textId="77777777" w:rsidR="00C93BE0" w:rsidRPr="006F0EDD" w:rsidRDefault="00C93BE0" w:rsidP="004E41A6">
                            <w:pPr>
                              <w:jc w:val="center"/>
                              <w:rPr>
                                <w:rFonts w:ascii="Arial" w:hAnsi="Arial" w:cs="Arial"/>
                              </w:rPr>
                            </w:pPr>
                            <w:r>
                              <w:rPr>
                                <w:rFonts w:ascii="Arial" w:hAnsi="Arial" w:cs="Arial"/>
                              </w:rPr>
                              <w:t>Z</w:t>
                            </w:r>
                          </w:p>
                        </w:tc>
                        <w:tc>
                          <w:tcPr>
                            <w:tcW w:w="1475" w:type="dxa"/>
                            <w:tcBorders>
                              <w:top w:val="single" w:sz="8" w:space="0" w:color="000000"/>
                              <w:bottom w:val="single" w:sz="8" w:space="0" w:color="auto"/>
                            </w:tcBorders>
                          </w:tcPr>
                          <w:p w14:paraId="0FE92CD0" w14:textId="77777777" w:rsidR="00C93BE0" w:rsidRPr="006F0EDD" w:rsidRDefault="00C93BE0" w:rsidP="004E41A6">
                            <w:pPr>
                              <w:jc w:val="center"/>
                              <w:rPr>
                                <w:rFonts w:ascii="Arial" w:hAnsi="Arial" w:cs="Arial"/>
                                <w:i/>
                                <w:iCs/>
                              </w:rPr>
                            </w:pPr>
                            <w:r>
                              <w:rPr>
                                <w:rFonts w:ascii="Arial" w:hAnsi="Arial" w:cs="Arial"/>
                                <w:i/>
                                <w:iCs/>
                              </w:rPr>
                              <w:t>p</w:t>
                            </w:r>
                          </w:p>
                        </w:tc>
                        <w:tc>
                          <w:tcPr>
                            <w:tcW w:w="1079" w:type="dxa"/>
                            <w:tcBorders>
                              <w:top w:val="single" w:sz="8" w:space="0" w:color="000000"/>
                              <w:bottom w:val="single" w:sz="8" w:space="0" w:color="auto"/>
                            </w:tcBorders>
                          </w:tcPr>
                          <w:p w14:paraId="7F68E0E1" w14:textId="77777777" w:rsidR="00C93BE0" w:rsidRPr="006F0EDD" w:rsidRDefault="00C93BE0" w:rsidP="004E41A6">
                            <w:pPr>
                              <w:jc w:val="center"/>
                              <w:rPr>
                                <w:rFonts w:ascii="Arial" w:hAnsi="Arial" w:cs="Arial"/>
                              </w:rPr>
                            </w:pPr>
                            <w:r>
                              <w:rPr>
                                <w:rFonts w:ascii="Arial" w:hAnsi="Arial" w:cs="Arial"/>
                              </w:rPr>
                              <w:t>Z</w:t>
                            </w:r>
                          </w:p>
                        </w:tc>
                        <w:tc>
                          <w:tcPr>
                            <w:tcW w:w="1204" w:type="dxa"/>
                            <w:tcBorders>
                              <w:top w:val="single" w:sz="8" w:space="0" w:color="000000"/>
                              <w:bottom w:val="single" w:sz="8" w:space="0" w:color="auto"/>
                            </w:tcBorders>
                          </w:tcPr>
                          <w:p w14:paraId="75881637" w14:textId="77777777" w:rsidR="00C93BE0" w:rsidRPr="006F0EDD" w:rsidRDefault="00C93BE0" w:rsidP="004E41A6">
                            <w:pPr>
                              <w:jc w:val="center"/>
                              <w:rPr>
                                <w:rFonts w:ascii="Arial" w:hAnsi="Arial" w:cs="Arial"/>
                                <w:i/>
                                <w:iCs/>
                              </w:rPr>
                            </w:pPr>
                            <w:r>
                              <w:rPr>
                                <w:rFonts w:ascii="Arial" w:hAnsi="Arial" w:cs="Arial"/>
                                <w:i/>
                                <w:iCs/>
                              </w:rPr>
                              <w:t>p</w:t>
                            </w:r>
                          </w:p>
                        </w:tc>
                      </w:tr>
                      <w:tr w:rsidR="00C93BE0" w14:paraId="5C526806"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tcBorders>
                          </w:tcPr>
                          <w:p w14:paraId="40D7C2B0" w14:textId="77777777" w:rsidR="00C93BE0" w:rsidRPr="006F0EDD" w:rsidRDefault="00C93BE0" w:rsidP="004E41A6">
                            <w:pPr>
                              <w:jc w:val="center"/>
                              <w:rPr>
                                <w:rFonts w:ascii="Arial" w:hAnsi="Arial" w:cs="Arial"/>
                              </w:rPr>
                            </w:pPr>
                            <w:r w:rsidRPr="006F0EDD">
                              <w:rPr>
                                <w:rFonts w:ascii="Arial" w:hAnsi="Arial" w:cs="Arial"/>
                              </w:rPr>
                              <w:t>V1</w:t>
                            </w:r>
                          </w:p>
                        </w:tc>
                        <w:tc>
                          <w:tcPr>
                            <w:tcW w:w="1285" w:type="dxa"/>
                            <w:tcBorders>
                              <w:top w:val="single" w:sz="8" w:space="0" w:color="auto"/>
                            </w:tcBorders>
                          </w:tcPr>
                          <w:p w14:paraId="3054A684" w14:textId="77777777" w:rsidR="00C93BE0" w:rsidRPr="006F0EDD" w:rsidRDefault="00C93BE0" w:rsidP="004E41A6">
                            <w:pPr>
                              <w:jc w:val="center"/>
                              <w:rPr>
                                <w:rFonts w:ascii="Arial" w:hAnsi="Arial" w:cs="Arial"/>
                              </w:rPr>
                            </w:pPr>
                            <w:r>
                              <w:rPr>
                                <w:rFonts w:ascii="Arial" w:hAnsi="Arial" w:cs="Arial"/>
                              </w:rPr>
                              <w:t>3.07</w:t>
                            </w:r>
                          </w:p>
                        </w:tc>
                        <w:tc>
                          <w:tcPr>
                            <w:tcW w:w="1569" w:type="dxa"/>
                            <w:tcBorders>
                              <w:top w:val="single" w:sz="8" w:space="0" w:color="auto"/>
                            </w:tcBorders>
                          </w:tcPr>
                          <w:p w14:paraId="3A84ED52" w14:textId="77777777" w:rsidR="00C93BE0" w:rsidRPr="006F0EDD" w:rsidRDefault="00C93BE0" w:rsidP="004E41A6">
                            <w:pPr>
                              <w:jc w:val="center"/>
                              <w:rPr>
                                <w:rFonts w:ascii="Arial" w:hAnsi="Arial" w:cs="Arial"/>
                              </w:rPr>
                            </w:pPr>
                            <w:r>
                              <w:rPr>
                                <w:rFonts w:ascii="Arial" w:hAnsi="Arial" w:cs="Arial"/>
                              </w:rPr>
                              <w:t>.028*</w:t>
                            </w:r>
                          </w:p>
                        </w:tc>
                        <w:tc>
                          <w:tcPr>
                            <w:tcW w:w="1076" w:type="dxa"/>
                            <w:tcBorders>
                              <w:top w:val="single" w:sz="8" w:space="0" w:color="auto"/>
                            </w:tcBorders>
                          </w:tcPr>
                          <w:p w14:paraId="189134B0" w14:textId="77777777" w:rsidR="00C93BE0" w:rsidRPr="006F0EDD" w:rsidRDefault="00C93BE0" w:rsidP="004E41A6">
                            <w:pPr>
                              <w:jc w:val="center"/>
                              <w:rPr>
                                <w:rFonts w:ascii="Arial" w:hAnsi="Arial" w:cs="Arial"/>
                              </w:rPr>
                            </w:pPr>
                            <w:r>
                              <w:rPr>
                                <w:rFonts w:ascii="Arial" w:hAnsi="Arial" w:cs="Arial"/>
                              </w:rPr>
                              <w:t>2.59</w:t>
                            </w:r>
                          </w:p>
                        </w:tc>
                        <w:tc>
                          <w:tcPr>
                            <w:tcW w:w="1475" w:type="dxa"/>
                            <w:tcBorders>
                              <w:top w:val="single" w:sz="8" w:space="0" w:color="auto"/>
                            </w:tcBorders>
                          </w:tcPr>
                          <w:p w14:paraId="159F0BDF" w14:textId="77777777" w:rsidR="00C93BE0" w:rsidRPr="006F0EDD" w:rsidRDefault="00C93BE0" w:rsidP="004E41A6">
                            <w:pPr>
                              <w:jc w:val="center"/>
                              <w:rPr>
                                <w:rFonts w:ascii="Arial" w:hAnsi="Arial" w:cs="Arial"/>
                              </w:rPr>
                            </w:pPr>
                            <w:r>
                              <w:rPr>
                                <w:rFonts w:ascii="Arial" w:hAnsi="Arial" w:cs="Arial"/>
                              </w:rPr>
                              <w:t>.047*</w:t>
                            </w:r>
                          </w:p>
                        </w:tc>
                        <w:tc>
                          <w:tcPr>
                            <w:tcW w:w="1079" w:type="dxa"/>
                            <w:tcBorders>
                              <w:top w:val="single" w:sz="8" w:space="0" w:color="auto"/>
                            </w:tcBorders>
                          </w:tcPr>
                          <w:p w14:paraId="11972BE0" w14:textId="77777777" w:rsidR="00C93BE0" w:rsidRPr="006F0EDD" w:rsidRDefault="00C93BE0" w:rsidP="004E41A6">
                            <w:pPr>
                              <w:jc w:val="center"/>
                              <w:rPr>
                                <w:rFonts w:ascii="Arial" w:hAnsi="Arial" w:cs="Arial"/>
                              </w:rPr>
                            </w:pPr>
                            <w:r>
                              <w:rPr>
                                <w:rFonts w:ascii="Arial" w:hAnsi="Arial" w:cs="Arial"/>
                              </w:rPr>
                              <w:t>2.36</w:t>
                            </w:r>
                          </w:p>
                        </w:tc>
                        <w:tc>
                          <w:tcPr>
                            <w:tcW w:w="1204" w:type="dxa"/>
                            <w:tcBorders>
                              <w:top w:val="single" w:sz="8" w:space="0" w:color="auto"/>
                            </w:tcBorders>
                          </w:tcPr>
                          <w:p w14:paraId="6F7AFD40" w14:textId="77777777" w:rsidR="00C93BE0" w:rsidRPr="006F0EDD" w:rsidRDefault="00C93BE0" w:rsidP="004E41A6">
                            <w:pPr>
                              <w:jc w:val="center"/>
                              <w:rPr>
                                <w:rFonts w:ascii="Arial" w:hAnsi="Arial" w:cs="Arial"/>
                              </w:rPr>
                            </w:pPr>
                            <w:r>
                              <w:rPr>
                                <w:rFonts w:ascii="Arial" w:hAnsi="Arial" w:cs="Arial"/>
                              </w:rPr>
                              <w:t>.083</w:t>
                            </w:r>
                          </w:p>
                        </w:tc>
                      </w:tr>
                      <w:tr w:rsidR="00C93BE0" w14:paraId="01ACF92E"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606D9E0C" w14:textId="3F5A353E" w:rsidR="00C93BE0" w:rsidRPr="006F0EDD" w:rsidRDefault="00C93BE0" w:rsidP="004E41A6">
                            <w:pPr>
                              <w:jc w:val="center"/>
                              <w:rPr>
                                <w:rFonts w:ascii="Arial" w:hAnsi="Arial" w:cs="Arial"/>
                              </w:rPr>
                            </w:pPr>
                            <w:r w:rsidRPr="006F0EDD">
                              <w:rPr>
                                <w:rFonts w:ascii="Arial" w:hAnsi="Arial" w:cs="Arial"/>
                              </w:rPr>
                              <w:t>V3A</w:t>
                            </w:r>
                            <w:r>
                              <w:rPr>
                                <w:rFonts w:ascii="Arial" w:hAnsi="Arial" w:cs="Arial"/>
                              </w:rPr>
                              <w:t>/</w:t>
                            </w:r>
                            <w:r w:rsidRPr="006F0EDD">
                              <w:rPr>
                                <w:rFonts w:ascii="Arial" w:hAnsi="Arial" w:cs="Arial"/>
                              </w:rPr>
                              <w:t>B</w:t>
                            </w:r>
                          </w:p>
                        </w:tc>
                        <w:tc>
                          <w:tcPr>
                            <w:tcW w:w="1285" w:type="dxa"/>
                          </w:tcPr>
                          <w:p w14:paraId="68551377" w14:textId="77777777" w:rsidR="00C93BE0" w:rsidRPr="006F0EDD" w:rsidRDefault="00C93BE0" w:rsidP="004E41A6">
                            <w:pPr>
                              <w:jc w:val="center"/>
                              <w:rPr>
                                <w:rFonts w:ascii="Arial" w:hAnsi="Arial" w:cs="Arial"/>
                              </w:rPr>
                            </w:pPr>
                            <w:r>
                              <w:rPr>
                                <w:rFonts w:ascii="Arial" w:hAnsi="Arial" w:cs="Arial"/>
                              </w:rPr>
                              <w:t>1.29</w:t>
                            </w:r>
                          </w:p>
                        </w:tc>
                        <w:tc>
                          <w:tcPr>
                            <w:tcW w:w="1569" w:type="dxa"/>
                          </w:tcPr>
                          <w:p w14:paraId="22D8A5A8" w14:textId="77777777" w:rsidR="00C93BE0" w:rsidRPr="006F0EDD" w:rsidRDefault="00C93BE0" w:rsidP="004E41A6">
                            <w:pPr>
                              <w:jc w:val="center"/>
                              <w:rPr>
                                <w:rFonts w:ascii="Arial" w:hAnsi="Arial" w:cs="Arial"/>
                              </w:rPr>
                            </w:pPr>
                            <w:r>
                              <w:rPr>
                                <w:rFonts w:ascii="Arial" w:hAnsi="Arial" w:cs="Arial"/>
                              </w:rPr>
                              <w:t>.065</w:t>
                            </w:r>
                          </w:p>
                        </w:tc>
                        <w:tc>
                          <w:tcPr>
                            <w:tcW w:w="1076" w:type="dxa"/>
                          </w:tcPr>
                          <w:p w14:paraId="6C57E74F" w14:textId="77777777" w:rsidR="00C93BE0" w:rsidRPr="006F0EDD" w:rsidRDefault="00C93BE0" w:rsidP="004E41A6">
                            <w:pPr>
                              <w:jc w:val="center"/>
                              <w:rPr>
                                <w:rFonts w:ascii="Arial" w:hAnsi="Arial" w:cs="Arial"/>
                              </w:rPr>
                            </w:pPr>
                            <w:r>
                              <w:rPr>
                                <w:rFonts w:ascii="Arial" w:hAnsi="Arial" w:cs="Arial"/>
                              </w:rPr>
                              <w:t>2.75</w:t>
                            </w:r>
                          </w:p>
                        </w:tc>
                        <w:tc>
                          <w:tcPr>
                            <w:tcW w:w="1475" w:type="dxa"/>
                          </w:tcPr>
                          <w:p w14:paraId="0351B445" w14:textId="77777777" w:rsidR="00C93BE0" w:rsidRPr="006F0EDD" w:rsidRDefault="00C93BE0" w:rsidP="004E41A6">
                            <w:pPr>
                              <w:jc w:val="center"/>
                              <w:rPr>
                                <w:rFonts w:ascii="Arial" w:hAnsi="Arial" w:cs="Arial"/>
                              </w:rPr>
                            </w:pPr>
                            <w:r>
                              <w:rPr>
                                <w:rFonts w:ascii="Arial" w:hAnsi="Arial" w:cs="Arial"/>
                              </w:rPr>
                              <w:t>.037*</w:t>
                            </w:r>
                          </w:p>
                        </w:tc>
                        <w:tc>
                          <w:tcPr>
                            <w:tcW w:w="1079" w:type="dxa"/>
                          </w:tcPr>
                          <w:p w14:paraId="707D6433" w14:textId="77777777" w:rsidR="00C93BE0" w:rsidRPr="006F0EDD" w:rsidRDefault="00C93BE0" w:rsidP="004E41A6">
                            <w:pPr>
                              <w:jc w:val="center"/>
                              <w:rPr>
                                <w:rFonts w:ascii="Arial" w:hAnsi="Arial" w:cs="Arial"/>
                              </w:rPr>
                            </w:pPr>
                            <w:r>
                              <w:rPr>
                                <w:rFonts w:ascii="Arial" w:hAnsi="Arial" w:cs="Arial"/>
                              </w:rPr>
                              <w:t>2.76</w:t>
                            </w:r>
                          </w:p>
                        </w:tc>
                        <w:tc>
                          <w:tcPr>
                            <w:tcW w:w="1204" w:type="dxa"/>
                          </w:tcPr>
                          <w:p w14:paraId="1579EE05" w14:textId="77777777" w:rsidR="00C93BE0" w:rsidRPr="006F0EDD" w:rsidRDefault="00C93BE0" w:rsidP="004E41A6">
                            <w:pPr>
                              <w:jc w:val="center"/>
                              <w:rPr>
                                <w:rFonts w:ascii="Arial" w:hAnsi="Arial" w:cs="Arial"/>
                              </w:rPr>
                            </w:pPr>
                            <w:r>
                              <w:rPr>
                                <w:rFonts w:ascii="Arial" w:hAnsi="Arial" w:cs="Arial"/>
                              </w:rPr>
                              <w:t>.037*</w:t>
                            </w:r>
                          </w:p>
                        </w:tc>
                      </w:tr>
                      <w:tr w:rsidR="00C93BE0" w14:paraId="16DCEE6B"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63E01880" w14:textId="77777777" w:rsidR="00C93BE0" w:rsidRPr="006F0EDD" w:rsidRDefault="00C93BE0" w:rsidP="004E41A6">
                            <w:pPr>
                              <w:jc w:val="center"/>
                              <w:rPr>
                                <w:rFonts w:ascii="Arial" w:hAnsi="Arial" w:cs="Arial"/>
                              </w:rPr>
                            </w:pPr>
                            <w:r w:rsidRPr="006F0EDD">
                              <w:rPr>
                                <w:rFonts w:ascii="Arial" w:hAnsi="Arial" w:cs="Arial"/>
                              </w:rPr>
                              <w:t>hV4</w:t>
                            </w:r>
                          </w:p>
                        </w:tc>
                        <w:tc>
                          <w:tcPr>
                            <w:tcW w:w="1285" w:type="dxa"/>
                          </w:tcPr>
                          <w:p w14:paraId="2718C896" w14:textId="77777777" w:rsidR="00C93BE0" w:rsidRPr="006F0EDD" w:rsidRDefault="00C93BE0" w:rsidP="004E41A6">
                            <w:pPr>
                              <w:jc w:val="center"/>
                              <w:rPr>
                                <w:rFonts w:ascii="Arial" w:hAnsi="Arial" w:cs="Arial"/>
                              </w:rPr>
                            </w:pPr>
                            <w:r>
                              <w:rPr>
                                <w:rFonts w:ascii="Arial" w:hAnsi="Arial" w:cs="Arial"/>
                              </w:rPr>
                              <w:t>3.07</w:t>
                            </w:r>
                          </w:p>
                        </w:tc>
                        <w:tc>
                          <w:tcPr>
                            <w:tcW w:w="1569" w:type="dxa"/>
                          </w:tcPr>
                          <w:p w14:paraId="7CD3E40D" w14:textId="77777777" w:rsidR="00C93BE0" w:rsidRPr="006F0EDD" w:rsidRDefault="00C93BE0" w:rsidP="004E41A6">
                            <w:pPr>
                              <w:jc w:val="center"/>
                              <w:rPr>
                                <w:rFonts w:ascii="Arial" w:hAnsi="Arial" w:cs="Arial"/>
                              </w:rPr>
                            </w:pPr>
                            <w:r>
                              <w:rPr>
                                <w:rFonts w:ascii="Arial" w:hAnsi="Arial" w:cs="Arial"/>
                              </w:rPr>
                              <w:t>.028*</w:t>
                            </w:r>
                          </w:p>
                        </w:tc>
                        <w:tc>
                          <w:tcPr>
                            <w:tcW w:w="1076" w:type="dxa"/>
                          </w:tcPr>
                          <w:p w14:paraId="67E0C473" w14:textId="77777777" w:rsidR="00C93BE0" w:rsidRPr="006F0EDD" w:rsidRDefault="00C93BE0" w:rsidP="004E41A6">
                            <w:pPr>
                              <w:jc w:val="center"/>
                              <w:rPr>
                                <w:rFonts w:ascii="Arial" w:hAnsi="Arial" w:cs="Arial"/>
                              </w:rPr>
                            </w:pPr>
                            <w:r>
                              <w:rPr>
                                <w:rFonts w:ascii="Arial" w:hAnsi="Arial" w:cs="Arial"/>
                              </w:rPr>
                              <w:t>2.95</w:t>
                            </w:r>
                          </w:p>
                        </w:tc>
                        <w:tc>
                          <w:tcPr>
                            <w:tcW w:w="1475" w:type="dxa"/>
                          </w:tcPr>
                          <w:p w14:paraId="34DD6830" w14:textId="77777777" w:rsidR="00C93BE0" w:rsidRPr="006F0EDD" w:rsidRDefault="00C93BE0" w:rsidP="004E41A6">
                            <w:pPr>
                              <w:jc w:val="center"/>
                              <w:rPr>
                                <w:rFonts w:ascii="Arial" w:hAnsi="Arial" w:cs="Arial"/>
                              </w:rPr>
                            </w:pPr>
                            <w:r>
                              <w:rPr>
                                <w:rFonts w:ascii="Arial" w:hAnsi="Arial" w:cs="Arial"/>
                              </w:rPr>
                              <w:t>.028*</w:t>
                            </w:r>
                          </w:p>
                        </w:tc>
                        <w:tc>
                          <w:tcPr>
                            <w:tcW w:w="1079" w:type="dxa"/>
                          </w:tcPr>
                          <w:p w14:paraId="2CF2CF4F" w14:textId="77777777" w:rsidR="00C93BE0" w:rsidRPr="006F0EDD" w:rsidRDefault="00C93BE0" w:rsidP="004E41A6">
                            <w:pPr>
                              <w:jc w:val="center"/>
                              <w:rPr>
                                <w:rFonts w:ascii="Arial" w:hAnsi="Arial" w:cs="Arial"/>
                              </w:rPr>
                            </w:pPr>
                            <w:r>
                              <w:rPr>
                                <w:rFonts w:ascii="Arial" w:hAnsi="Arial" w:cs="Arial"/>
                              </w:rPr>
                              <w:t>3.06</w:t>
                            </w:r>
                          </w:p>
                        </w:tc>
                        <w:tc>
                          <w:tcPr>
                            <w:tcW w:w="1204" w:type="dxa"/>
                          </w:tcPr>
                          <w:p w14:paraId="7A07C351" w14:textId="77777777" w:rsidR="00C93BE0" w:rsidRPr="006F0EDD" w:rsidRDefault="00C93BE0" w:rsidP="004E41A6">
                            <w:pPr>
                              <w:jc w:val="center"/>
                              <w:rPr>
                                <w:rFonts w:ascii="Arial" w:hAnsi="Arial" w:cs="Arial"/>
                              </w:rPr>
                            </w:pPr>
                            <w:r>
                              <w:rPr>
                                <w:rFonts w:ascii="Arial" w:hAnsi="Arial" w:cs="Arial"/>
                              </w:rPr>
                              <w:t>.028*</w:t>
                            </w:r>
                          </w:p>
                        </w:tc>
                      </w:tr>
                      <w:tr w:rsidR="00C93BE0" w14:paraId="6054AA5F"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34B3393E" w14:textId="77777777" w:rsidR="00C93BE0" w:rsidRPr="006F0EDD" w:rsidRDefault="00C93BE0" w:rsidP="004E41A6">
                            <w:pPr>
                              <w:jc w:val="center"/>
                              <w:rPr>
                                <w:rFonts w:ascii="Arial" w:hAnsi="Arial" w:cs="Arial"/>
                              </w:rPr>
                            </w:pPr>
                            <w:r w:rsidRPr="006F0EDD">
                              <w:rPr>
                                <w:rFonts w:ascii="Arial" w:hAnsi="Arial" w:cs="Arial"/>
                              </w:rPr>
                              <w:t>LO-1</w:t>
                            </w:r>
                          </w:p>
                        </w:tc>
                        <w:tc>
                          <w:tcPr>
                            <w:tcW w:w="1285" w:type="dxa"/>
                          </w:tcPr>
                          <w:p w14:paraId="5AA7C61B" w14:textId="77777777" w:rsidR="00C93BE0" w:rsidRPr="006F0EDD" w:rsidRDefault="00C93BE0" w:rsidP="004E41A6">
                            <w:pPr>
                              <w:jc w:val="center"/>
                              <w:rPr>
                                <w:rFonts w:ascii="Arial" w:hAnsi="Arial" w:cs="Arial"/>
                              </w:rPr>
                            </w:pPr>
                            <w:r>
                              <w:rPr>
                                <w:rFonts w:ascii="Arial" w:hAnsi="Arial" w:cs="Arial"/>
                              </w:rPr>
                              <w:t>2.63</w:t>
                            </w:r>
                          </w:p>
                        </w:tc>
                        <w:tc>
                          <w:tcPr>
                            <w:tcW w:w="1569" w:type="dxa"/>
                          </w:tcPr>
                          <w:p w14:paraId="7167D7B1" w14:textId="77777777" w:rsidR="00C93BE0" w:rsidRPr="006F0EDD" w:rsidRDefault="00C93BE0" w:rsidP="004E41A6">
                            <w:pPr>
                              <w:jc w:val="center"/>
                              <w:rPr>
                                <w:rFonts w:ascii="Arial" w:hAnsi="Arial" w:cs="Arial"/>
                              </w:rPr>
                            </w:pPr>
                            <w:r>
                              <w:rPr>
                                <w:rFonts w:ascii="Arial" w:hAnsi="Arial" w:cs="Arial"/>
                              </w:rPr>
                              <w:t>.047*</w:t>
                            </w:r>
                          </w:p>
                        </w:tc>
                        <w:tc>
                          <w:tcPr>
                            <w:tcW w:w="1076" w:type="dxa"/>
                          </w:tcPr>
                          <w:p w14:paraId="37CA91FE" w14:textId="77777777" w:rsidR="00C93BE0" w:rsidRPr="006F0EDD" w:rsidRDefault="00C93BE0" w:rsidP="004E41A6">
                            <w:pPr>
                              <w:jc w:val="center"/>
                              <w:rPr>
                                <w:rFonts w:ascii="Arial" w:hAnsi="Arial" w:cs="Arial"/>
                              </w:rPr>
                            </w:pPr>
                            <w:r>
                              <w:rPr>
                                <w:rFonts w:ascii="Arial" w:hAnsi="Arial" w:cs="Arial"/>
                              </w:rPr>
                              <w:t>2.94</w:t>
                            </w:r>
                          </w:p>
                        </w:tc>
                        <w:tc>
                          <w:tcPr>
                            <w:tcW w:w="1475" w:type="dxa"/>
                          </w:tcPr>
                          <w:p w14:paraId="714F9E4E" w14:textId="77777777" w:rsidR="00C93BE0" w:rsidRPr="006F0EDD" w:rsidRDefault="00C93BE0" w:rsidP="004E41A6">
                            <w:pPr>
                              <w:jc w:val="center"/>
                              <w:rPr>
                                <w:rFonts w:ascii="Arial" w:hAnsi="Arial" w:cs="Arial"/>
                              </w:rPr>
                            </w:pPr>
                            <w:r>
                              <w:rPr>
                                <w:rFonts w:ascii="Arial" w:hAnsi="Arial" w:cs="Arial"/>
                              </w:rPr>
                              <w:t>.028*</w:t>
                            </w:r>
                          </w:p>
                        </w:tc>
                        <w:tc>
                          <w:tcPr>
                            <w:tcW w:w="1079" w:type="dxa"/>
                          </w:tcPr>
                          <w:p w14:paraId="1678F8CB" w14:textId="77777777" w:rsidR="00C93BE0" w:rsidRPr="006F0EDD" w:rsidRDefault="00C93BE0" w:rsidP="004E41A6">
                            <w:pPr>
                              <w:jc w:val="center"/>
                              <w:rPr>
                                <w:rFonts w:ascii="Arial" w:hAnsi="Arial" w:cs="Arial"/>
                              </w:rPr>
                            </w:pPr>
                            <w:r>
                              <w:rPr>
                                <w:rFonts w:ascii="Arial" w:hAnsi="Arial" w:cs="Arial"/>
                              </w:rPr>
                              <w:t>2.94</w:t>
                            </w:r>
                          </w:p>
                        </w:tc>
                        <w:tc>
                          <w:tcPr>
                            <w:tcW w:w="1204" w:type="dxa"/>
                          </w:tcPr>
                          <w:p w14:paraId="39ED514C" w14:textId="77777777" w:rsidR="00C93BE0" w:rsidRPr="006F0EDD" w:rsidRDefault="00C93BE0" w:rsidP="004E41A6">
                            <w:pPr>
                              <w:jc w:val="center"/>
                              <w:rPr>
                                <w:rFonts w:ascii="Arial" w:hAnsi="Arial" w:cs="Arial"/>
                              </w:rPr>
                            </w:pPr>
                            <w:r>
                              <w:rPr>
                                <w:rFonts w:ascii="Arial" w:hAnsi="Arial" w:cs="Arial"/>
                              </w:rPr>
                              <w:t>.028*</w:t>
                            </w:r>
                          </w:p>
                        </w:tc>
                      </w:tr>
                      <w:tr w:rsidR="00C93BE0" w14:paraId="105CD032"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bottom w:val="single" w:sz="8" w:space="0" w:color="000000"/>
                            </w:tcBorders>
                          </w:tcPr>
                          <w:p w14:paraId="2B18EF95" w14:textId="77777777" w:rsidR="00C93BE0" w:rsidRPr="006F0EDD" w:rsidRDefault="00C93BE0" w:rsidP="004E41A6">
                            <w:pPr>
                              <w:jc w:val="center"/>
                              <w:rPr>
                                <w:rFonts w:ascii="Arial" w:hAnsi="Arial" w:cs="Arial"/>
                              </w:rPr>
                            </w:pPr>
                            <w:r w:rsidRPr="006F0EDD">
                              <w:rPr>
                                <w:rFonts w:ascii="Arial" w:hAnsi="Arial" w:cs="Arial"/>
                              </w:rPr>
                              <w:t>LO-2</w:t>
                            </w:r>
                          </w:p>
                        </w:tc>
                        <w:tc>
                          <w:tcPr>
                            <w:tcW w:w="1285" w:type="dxa"/>
                            <w:tcBorders>
                              <w:bottom w:val="single" w:sz="8" w:space="0" w:color="000000"/>
                            </w:tcBorders>
                          </w:tcPr>
                          <w:p w14:paraId="76ABDE46" w14:textId="77777777" w:rsidR="00C93BE0" w:rsidRPr="006F0EDD" w:rsidRDefault="00C93BE0" w:rsidP="004E41A6">
                            <w:pPr>
                              <w:jc w:val="center"/>
                              <w:rPr>
                                <w:rFonts w:ascii="Arial" w:hAnsi="Arial" w:cs="Arial"/>
                              </w:rPr>
                            </w:pPr>
                            <w:r>
                              <w:rPr>
                                <w:rFonts w:ascii="Arial" w:hAnsi="Arial" w:cs="Arial"/>
                              </w:rPr>
                              <w:t>1.80</w:t>
                            </w:r>
                          </w:p>
                        </w:tc>
                        <w:tc>
                          <w:tcPr>
                            <w:tcW w:w="1569" w:type="dxa"/>
                            <w:tcBorders>
                              <w:bottom w:val="single" w:sz="8" w:space="0" w:color="000000"/>
                            </w:tcBorders>
                          </w:tcPr>
                          <w:p w14:paraId="3A7B17A5" w14:textId="77777777" w:rsidR="00C93BE0" w:rsidRPr="006F0EDD" w:rsidRDefault="00C93BE0" w:rsidP="004E41A6">
                            <w:pPr>
                              <w:jc w:val="center"/>
                              <w:rPr>
                                <w:rFonts w:ascii="Arial" w:hAnsi="Arial" w:cs="Arial"/>
                              </w:rPr>
                            </w:pPr>
                            <w:r>
                              <w:rPr>
                                <w:rFonts w:ascii="Arial" w:hAnsi="Arial" w:cs="Arial"/>
                              </w:rPr>
                              <w:t>.258</w:t>
                            </w:r>
                          </w:p>
                        </w:tc>
                        <w:tc>
                          <w:tcPr>
                            <w:tcW w:w="1076" w:type="dxa"/>
                            <w:tcBorders>
                              <w:bottom w:val="single" w:sz="8" w:space="0" w:color="000000"/>
                            </w:tcBorders>
                          </w:tcPr>
                          <w:p w14:paraId="1F46E44B" w14:textId="77777777" w:rsidR="00C93BE0" w:rsidRPr="006F0EDD" w:rsidRDefault="00C93BE0" w:rsidP="004E41A6">
                            <w:pPr>
                              <w:jc w:val="center"/>
                              <w:rPr>
                                <w:rFonts w:ascii="Arial" w:hAnsi="Arial" w:cs="Arial"/>
                              </w:rPr>
                            </w:pPr>
                            <w:r>
                              <w:rPr>
                                <w:rFonts w:ascii="Arial" w:hAnsi="Arial" w:cs="Arial"/>
                              </w:rPr>
                              <w:t>2.28</w:t>
                            </w:r>
                          </w:p>
                        </w:tc>
                        <w:tc>
                          <w:tcPr>
                            <w:tcW w:w="1475" w:type="dxa"/>
                            <w:tcBorders>
                              <w:bottom w:val="single" w:sz="8" w:space="0" w:color="000000"/>
                            </w:tcBorders>
                          </w:tcPr>
                          <w:p w14:paraId="7DB0D26E" w14:textId="77777777" w:rsidR="00C93BE0" w:rsidRPr="006F0EDD" w:rsidRDefault="00C93BE0" w:rsidP="004E41A6">
                            <w:pPr>
                              <w:jc w:val="center"/>
                              <w:rPr>
                                <w:rFonts w:ascii="Arial" w:hAnsi="Arial" w:cs="Arial"/>
                              </w:rPr>
                            </w:pPr>
                            <w:r>
                              <w:rPr>
                                <w:rFonts w:ascii="Arial" w:hAnsi="Arial" w:cs="Arial"/>
                              </w:rPr>
                              <w:t>.088</w:t>
                            </w:r>
                          </w:p>
                        </w:tc>
                        <w:tc>
                          <w:tcPr>
                            <w:tcW w:w="1079" w:type="dxa"/>
                            <w:tcBorders>
                              <w:bottom w:val="single" w:sz="8" w:space="0" w:color="000000"/>
                            </w:tcBorders>
                          </w:tcPr>
                          <w:p w14:paraId="0385C737" w14:textId="77777777" w:rsidR="00C93BE0" w:rsidRPr="006F0EDD" w:rsidRDefault="00C93BE0" w:rsidP="004E41A6">
                            <w:pPr>
                              <w:jc w:val="center"/>
                              <w:rPr>
                                <w:rFonts w:ascii="Arial" w:hAnsi="Arial" w:cs="Arial"/>
                              </w:rPr>
                            </w:pPr>
                            <w:r>
                              <w:rPr>
                                <w:rFonts w:ascii="Arial" w:hAnsi="Arial" w:cs="Arial"/>
                              </w:rPr>
                              <w:t>2.28</w:t>
                            </w:r>
                          </w:p>
                        </w:tc>
                        <w:tc>
                          <w:tcPr>
                            <w:tcW w:w="1204" w:type="dxa"/>
                            <w:tcBorders>
                              <w:bottom w:val="single" w:sz="8" w:space="0" w:color="000000"/>
                            </w:tcBorders>
                          </w:tcPr>
                          <w:p w14:paraId="3E384932" w14:textId="77777777" w:rsidR="00C93BE0" w:rsidRPr="006F0EDD" w:rsidRDefault="00C93BE0" w:rsidP="004E41A6">
                            <w:pPr>
                              <w:jc w:val="center"/>
                              <w:rPr>
                                <w:rFonts w:ascii="Arial" w:hAnsi="Arial" w:cs="Arial"/>
                              </w:rPr>
                            </w:pPr>
                            <w:r>
                              <w:rPr>
                                <w:rFonts w:ascii="Arial" w:hAnsi="Arial" w:cs="Arial"/>
                              </w:rPr>
                              <w:t>.088</w:t>
                            </w:r>
                          </w:p>
                        </w:tc>
                      </w:tr>
                    </w:tbl>
                    <w:p w14:paraId="53ABB726" w14:textId="77777777" w:rsidR="00C93BE0" w:rsidRPr="006F0EDD" w:rsidRDefault="00C93BE0" w:rsidP="00023D9B">
                      <w:pPr>
                        <w:rPr>
                          <w:rFonts w:ascii="Arial" w:hAnsi="Arial" w:cs="Arial"/>
                          <w:i/>
                          <w:iCs/>
                        </w:rPr>
                      </w:pPr>
                      <w:r w:rsidRPr="006F0EDD">
                        <w:rPr>
                          <w:rFonts w:ascii="Arial" w:hAnsi="Arial" w:cs="Arial"/>
                          <w:i/>
                          <w:iCs/>
                        </w:rPr>
                        <w:t>*</w:t>
                      </w:r>
                      <w:r>
                        <w:rPr>
                          <w:rFonts w:ascii="Arial" w:hAnsi="Arial" w:cs="Arial"/>
                          <w:i/>
                          <w:iCs/>
                        </w:rPr>
                        <w:t xml:space="preserve"> p &lt;.05, ** p&lt;.01, *** p&lt;.001</w:t>
                      </w:r>
                    </w:p>
                    <w:p w14:paraId="7D9E145A" w14:textId="77777777" w:rsidR="00C93BE0" w:rsidRDefault="00C93BE0" w:rsidP="00023D9B"/>
                  </w:txbxContent>
                </v:textbox>
                <w10:wrap type="square"/>
              </v:shape>
            </w:pict>
          </mc:Fallback>
        </mc:AlternateContent>
      </w:r>
      <w:r w:rsidRPr="00225AB0">
        <w:rPr>
          <w:rFonts w:ascii="Arial" w:hAnsi="Arial" w:cs="Arial"/>
        </w:rPr>
        <w:t>evident</w:t>
      </w:r>
      <w:r w:rsidR="00EB01D5">
        <w:rPr>
          <w:rFonts w:ascii="Arial" w:hAnsi="Arial" w:cs="Arial"/>
        </w:rPr>
        <w:t xml:space="preserve"> </w:t>
      </w:r>
      <w:r w:rsidRPr="00225AB0">
        <w:rPr>
          <w:rFonts w:ascii="Arial" w:hAnsi="Arial" w:cs="Arial"/>
        </w:rPr>
        <w:t>(see Figure</w:t>
      </w:r>
      <w:r w:rsidR="0068545F">
        <w:rPr>
          <w:rFonts w:ascii="Arial" w:hAnsi="Arial" w:cs="Arial"/>
        </w:rPr>
        <w:t xml:space="preserve"> 5.5</w:t>
      </w:r>
      <w:r w:rsidRPr="00225AB0">
        <w:rPr>
          <w:rFonts w:ascii="Arial" w:hAnsi="Arial" w:cs="Arial"/>
        </w:rPr>
        <w:t>B</w:t>
      </w:r>
      <w:r w:rsidR="00EB01D5">
        <w:rPr>
          <w:rFonts w:ascii="Arial" w:hAnsi="Arial" w:cs="Arial"/>
        </w:rPr>
        <w:t xml:space="preserve"> and Tab</w:t>
      </w:r>
      <w:r w:rsidR="00023D9B">
        <w:rPr>
          <w:rFonts w:ascii="Arial" w:hAnsi="Arial" w:cs="Arial"/>
        </w:rPr>
        <w:t>le 5.2</w:t>
      </w:r>
      <w:r w:rsidRPr="00225AB0">
        <w:rPr>
          <w:rFonts w:ascii="Arial" w:hAnsi="Arial" w:cs="Arial"/>
        </w:rPr>
        <w:t xml:space="preserve">). </w:t>
      </w:r>
    </w:p>
    <w:p w14:paraId="0ED09899" w14:textId="77777777" w:rsidR="006832FB" w:rsidRPr="00225AB0" w:rsidRDefault="006832FB" w:rsidP="006832FB">
      <w:pPr>
        <w:rPr>
          <w:rFonts w:ascii="Arial" w:hAnsi="Arial" w:cs="Arial"/>
        </w:rPr>
      </w:pPr>
    </w:p>
    <w:p w14:paraId="737AD203" w14:textId="77777777" w:rsidR="006832FB" w:rsidRPr="00225AB0" w:rsidRDefault="006832FB" w:rsidP="006832FB">
      <w:pPr>
        <w:spacing w:line="480" w:lineRule="auto"/>
        <w:rPr>
          <w:rFonts w:ascii="Arial" w:hAnsi="Arial" w:cs="Arial"/>
        </w:rPr>
      </w:pPr>
      <w:r w:rsidRPr="00225AB0">
        <w:rPr>
          <w:rFonts w:ascii="Arial" w:hAnsi="Arial" w:cs="Arial"/>
        </w:rPr>
        <w:t xml:space="preserve">Finally, the spatial </w:t>
      </w:r>
      <w:proofErr w:type="spellStart"/>
      <w:r w:rsidRPr="00225AB0">
        <w:rPr>
          <w:rFonts w:ascii="Arial" w:hAnsi="Arial" w:cs="Arial"/>
        </w:rPr>
        <w:t>backprojection</w:t>
      </w:r>
      <w:proofErr w:type="spellEnd"/>
      <w:r w:rsidRPr="00225AB0">
        <w:rPr>
          <w:rFonts w:ascii="Arial" w:hAnsi="Arial" w:cs="Arial"/>
        </w:rPr>
        <w:t xml:space="preserve"> analysis was also performed for visual ROIs V1, V2, V3 and hV4, to identify if any large-scale biases in the organisation of chromatic preference were driving our multivariate classification results. We calculated he mean chromatic-specific support vector weights for each voxel and back-projected these values into their eccentricity and polar angle coordinates, and these maps were averaged across participants. Again, we identify no large-scale biases in voxel preference for any stimulus chromaticity condition in any of the early visual ROIs examined (see Figure</w:t>
      </w:r>
      <w:r w:rsidR="0068545F">
        <w:rPr>
          <w:rFonts w:ascii="Arial" w:hAnsi="Arial" w:cs="Arial"/>
        </w:rPr>
        <w:t xml:space="preserve"> 5.5</w:t>
      </w:r>
      <w:r w:rsidRPr="00225AB0">
        <w:rPr>
          <w:rFonts w:ascii="Arial" w:hAnsi="Arial" w:cs="Arial"/>
        </w:rPr>
        <w:t xml:space="preserve">C). </w:t>
      </w:r>
    </w:p>
    <w:p w14:paraId="49D7B247" w14:textId="42AD7125" w:rsidR="006832FB" w:rsidRPr="00225AB0" w:rsidRDefault="009F3085" w:rsidP="006832FB">
      <w:pPr>
        <w:rPr>
          <w:rFonts w:ascii="Arial" w:hAnsi="Arial" w:cs="Arial"/>
        </w:rPr>
      </w:pPr>
      <w:r w:rsidRPr="00225AB0">
        <w:rPr>
          <w:rFonts w:ascii="Arial" w:hAnsi="Arial" w:cs="Arial"/>
          <w:noProof/>
          <w:lang w:eastAsia="en-GB"/>
        </w:rPr>
        <w:lastRenderedPageBreak/>
        <mc:AlternateContent>
          <mc:Choice Requires="wps">
            <w:drawing>
              <wp:anchor distT="0" distB="0" distL="114300" distR="114300" simplePos="0" relativeHeight="251828224" behindDoc="1" locked="0" layoutInCell="1" allowOverlap="1" wp14:anchorId="12DA7FD8" wp14:editId="7B53D46E">
                <wp:simplePos x="0" y="0"/>
                <wp:positionH relativeFrom="column">
                  <wp:posOffset>-163830</wp:posOffset>
                </wp:positionH>
                <wp:positionV relativeFrom="paragraph">
                  <wp:posOffset>0</wp:posOffset>
                </wp:positionV>
                <wp:extent cx="5831205" cy="935101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5831205" cy="9351010"/>
                        </a:xfrm>
                        <a:prstGeom prst="rect">
                          <a:avLst/>
                        </a:prstGeom>
                        <a:noFill/>
                        <a:ln w="6350">
                          <a:noFill/>
                        </a:ln>
                      </wps:spPr>
                      <wps:txbx>
                        <w:txbxContent>
                          <w:p w14:paraId="1A47D00E" w14:textId="3660A152" w:rsidR="00C93BE0" w:rsidRDefault="00C93BE0" w:rsidP="009F3085">
                            <w:pPr>
                              <w:keepNext/>
                              <w:jc w:val="center"/>
                            </w:pPr>
                            <w:r>
                              <w:rPr>
                                <w:noProof/>
                              </w:rPr>
                              <w:drawing>
                                <wp:inline distT="0" distB="0" distL="0" distR="0" wp14:anchorId="324BFE76" wp14:editId="092DB963">
                                  <wp:extent cx="5537200" cy="4658265"/>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gure5.5-colour_multivariate_matrix.png"/>
                                          <pic:cNvPicPr/>
                                        </pic:nvPicPr>
                                        <pic:blipFill rotWithShape="1">
                                          <a:blip r:embed="rId62">
                                            <a:extLst>
                                              <a:ext uri="{28A0092B-C50C-407E-A947-70E740481C1C}">
                                                <a14:useLocalDpi xmlns:a14="http://schemas.microsoft.com/office/drawing/2010/main" val="0"/>
                                              </a:ext>
                                            </a:extLst>
                                          </a:blip>
                                          <a:srcRect l="4760" t="2797" r="2234" b="2805"/>
                                          <a:stretch/>
                                        </pic:blipFill>
                                        <pic:spPr bwMode="auto">
                                          <a:xfrm>
                                            <a:off x="0" y="0"/>
                                            <a:ext cx="5548451" cy="4667730"/>
                                          </a:xfrm>
                                          <a:prstGeom prst="rect">
                                            <a:avLst/>
                                          </a:prstGeom>
                                          <a:ln>
                                            <a:noFill/>
                                          </a:ln>
                                          <a:extLst>
                                            <a:ext uri="{53640926-AAD7-44D8-BBD7-CCE9431645EC}">
                                              <a14:shadowObscured xmlns:a14="http://schemas.microsoft.com/office/drawing/2010/main"/>
                                            </a:ext>
                                          </a:extLst>
                                        </pic:spPr>
                                      </pic:pic>
                                    </a:graphicData>
                                  </a:graphic>
                                </wp:inline>
                              </w:drawing>
                            </w:r>
                          </w:p>
                          <w:p w14:paraId="500562EE" w14:textId="1D1D36D8" w:rsidR="00C93BE0" w:rsidRPr="007B68C2" w:rsidRDefault="00C93BE0" w:rsidP="009F3085">
                            <w:pPr>
                              <w:pStyle w:val="Caption"/>
                              <w:spacing w:line="360" w:lineRule="auto"/>
                              <w:jc w:val="both"/>
                              <w:rPr>
                                <w:rFonts w:ascii="Arial" w:hAnsi="Arial" w:cs="Arial"/>
                                <w:i w:val="0"/>
                                <w:color w:val="000000" w:themeColor="text1"/>
                                <w:sz w:val="24"/>
                                <w:szCs w:val="24"/>
                              </w:rPr>
                            </w:pPr>
                            <w:bookmarkStart w:id="698" w:name="_Toc12363358"/>
                            <w:bookmarkStart w:id="699" w:name="_Toc16242715"/>
                            <w:r w:rsidRPr="007B68C2">
                              <w:rPr>
                                <w:rFonts w:ascii="Arial" w:hAnsi="Arial" w:cs="Arial"/>
                                <w:b/>
                                <w:i w:val="0"/>
                                <w:color w:val="000000" w:themeColor="text1"/>
                                <w:sz w:val="24"/>
                                <w:szCs w:val="24"/>
                              </w:rPr>
                              <w:t xml:space="preserve">Figure </w:t>
                            </w:r>
                            <w:r w:rsidRPr="007B68C2">
                              <w:rPr>
                                <w:rFonts w:ascii="Arial" w:hAnsi="Arial" w:cs="Arial"/>
                                <w:b/>
                                <w:i w:val="0"/>
                                <w:color w:val="000000" w:themeColor="text1"/>
                                <w:sz w:val="24"/>
                                <w:szCs w:val="24"/>
                              </w:rPr>
                              <w:fldChar w:fldCharType="begin"/>
                            </w:r>
                            <w:r w:rsidRPr="007B68C2">
                              <w:rPr>
                                <w:rFonts w:ascii="Arial" w:hAnsi="Arial" w:cs="Arial"/>
                                <w:b/>
                                <w:i w:val="0"/>
                                <w:color w:val="000000" w:themeColor="text1"/>
                                <w:sz w:val="24"/>
                                <w:szCs w:val="24"/>
                              </w:rPr>
                              <w:instrText xml:space="preserve"> STYLEREF 1 \s </w:instrText>
                            </w:r>
                            <w:r w:rsidRPr="007B68C2">
                              <w:rPr>
                                <w:rFonts w:ascii="Arial" w:hAnsi="Arial" w:cs="Arial"/>
                                <w:b/>
                                <w:i w:val="0"/>
                                <w:color w:val="000000" w:themeColor="text1"/>
                                <w:sz w:val="24"/>
                                <w:szCs w:val="24"/>
                              </w:rPr>
                              <w:fldChar w:fldCharType="separate"/>
                            </w:r>
                            <w:r w:rsidRPr="007B68C2">
                              <w:rPr>
                                <w:rFonts w:ascii="Arial" w:hAnsi="Arial" w:cs="Arial"/>
                                <w:b/>
                                <w:i w:val="0"/>
                                <w:noProof/>
                                <w:color w:val="000000" w:themeColor="text1"/>
                                <w:sz w:val="24"/>
                                <w:szCs w:val="24"/>
                              </w:rPr>
                              <w:t>5</w:t>
                            </w:r>
                            <w:r w:rsidRPr="007B68C2">
                              <w:rPr>
                                <w:rFonts w:ascii="Arial" w:hAnsi="Arial" w:cs="Arial"/>
                                <w:b/>
                                <w:i w:val="0"/>
                                <w:color w:val="000000" w:themeColor="text1"/>
                                <w:sz w:val="24"/>
                                <w:szCs w:val="24"/>
                              </w:rPr>
                              <w:fldChar w:fldCharType="end"/>
                            </w:r>
                            <w:r w:rsidRPr="007B68C2">
                              <w:rPr>
                                <w:rFonts w:ascii="Arial" w:hAnsi="Arial" w:cs="Arial"/>
                                <w:b/>
                                <w:i w:val="0"/>
                                <w:color w:val="000000" w:themeColor="text1"/>
                                <w:sz w:val="24"/>
                                <w:szCs w:val="24"/>
                              </w:rPr>
                              <w:t>.</w:t>
                            </w:r>
                            <w:r w:rsidRPr="007B68C2">
                              <w:rPr>
                                <w:rFonts w:ascii="Arial" w:hAnsi="Arial" w:cs="Arial"/>
                                <w:b/>
                                <w:i w:val="0"/>
                                <w:color w:val="000000" w:themeColor="text1"/>
                                <w:sz w:val="24"/>
                                <w:szCs w:val="24"/>
                              </w:rPr>
                              <w:fldChar w:fldCharType="begin"/>
                            </w:r>
                            <w:r w:rsidRPr="007B68C2">
                              <w:rPr>
                                <w:rFonts w:ascii="Arial" w:hAnsi="Arial" w:cs="Arial"/>
                                <w:b/>
                                <w:i w:val="0"/>
                                <w:color w:val="000000" w:themeColor="text1"/>
                                <w:sz w:val="24"/>
                                <w:szCs w:val="24"/>
                              </w:rPr>
                              <w:instrText xml:space="preserve"> SEQ Figure \* ARABIC \s 1 </w:instrText>
                            </w:r>
                            <w:r w:rsidRPr="007B68C2">
                              <w:rPr>
                                <w:rFonts w:ascii="Arial" w:hAnsi="Arial" w:cs="Arial"/>
                                <w:b/>
                                <w:i w:val="0"/>
                                <w:color w:val="000000" w:themeColor="text1"/>
                                <w:sz w:val="24"/>
                                <w:szCs w:val="24"/>
                              </w:rPr>
                              <w:fldChar w:fldCharType="separate"/>
                            </w:r>
                            <w:r w:rsidRPr="007B68C2">
                              <w:rPr>
                                <w:rFonts w:ascii="Arial" w:hAnsi="Arial" w:cs="Arial"/>
                                <w:b/>
                                <w:i w:val="0"/>
                                <w:noProof/>
                                <w:color w:val="000000" w:themeColor="text1"/>
                                <w:sz w:val="24"/>
                                <w:szCs w:val="24"/>
                              </w:rPr>
                              <w:t>5</w:t>
                            </w:r>
                            <w:r w:rsidRPr="007B68C2">
                              <w:rPr>
                                <w:rFonts w:ascii="Arial" w:hAnsi="Arial" w:cs="Arial"/>
                                <w:b/>
                                <w:i w:val="0"/>
                                <w:color w:val="000000" w:themeColor="text1"/>
                                <w:sz w:val="24"/>
                                <w:szCs w:val="24"/>
                              </w:rPr>
                              <w:fldChar w:fldCharType="end"/>
                            </w:r>
                            <w:r w:rsidRPr="007B68C2">
                              <w:rPr>
                                <w:rFonts w:ascii="Arial" w:hAnsi="Arial" w:cs="Arial"/>
                                <w:i w:val="0"/>
                                <w:color w:val="000000" w:themeColor="text1"/>
                                <w:sz w:val="24"/>
                                <w:szCs w:val="24"/>
                              </w:rPr>
                              <w:t xml:space="preserve"> </w:t>
                            </w:r>
                            <w:r w:rsidRPr="007B68C2">
                              <w:rPr>
                                <w:rFonts w:ascii="Arial" w:hAnsi="Arial" w:cs="Arial"/>
                                <w:i w:val="0"/>
                                <w:iCs w:val="0"/>
                                <w:color w:val="000000" w:themeColor="text1"/>
                                <w:sz w:val="24"/>
                                <w:szCs w:val="24"/>
                                <w:lang w:val="en-US"/>
                              </w:rPr>
                              <w:t>Colour-specific Multivariate Support Vector Machine Decoding and Group-averaged voxel feature-specific weights as a function of eccentricity (6°) and polar angle (360°). Voxel-level responses with ind</w:t>
                            </w:r>
                            <w:r w:rsidRPr="0083451C">
                              <w:rPr>
                                <w:rFonts w:ascii="Arial" w:hAnsi="Arial" w:cs="Arial"/>
                                <w:i w:val="0"/>
                                <w:iCs w:val="0"/>
                                <w:color w:val="000000" w:themeColor="text1"/>
                                <w:sz w:val="24"/>
                                <w:szCs w:val="24"/>
                                <w:lang w:val="en-US"/>
                              </w:rPr>
                              <w:t>ividual ROIs are modulated by attentional state. A) Overall three-way decoding accuracies. Chromatic attentional state can be deco</w:t>
                            </w:r>
                            <w:r w:rsidRPr="007B68C2">
                              <w:rPr>
                                <w:rFonts w:ascii="Arial" w:hAnsi="Arial" w:cs="Arial"/>
                                <w:i w:val="0"/>
                                <w:iCs w:val="0"/>
                                <w:color w:val="000000" w:themeColor="text1"/>
                                <w:sz w:val="24"/>
                                <w:szCs w:val="24"/>
                                <w:lang w:val="en-US"/>
                              </w:rPr>
                              <w:t>ded above chance in all ROIs except LO-2 and A1.  Error bars reflect +/- 1 SEM. B) Two-way classification accuracies across pairwise combinations of attentional focus (red-green versus blue-yellow, red-green versus achromatic and blue-yellow versus achromatic). Voxel patterns in all almost areas differ significantly between attention to red-green and achromatic-defined stimuli, with successful classifications also evident for red-green versus blue-yellow-defined stimuli and blue-yellow versus achromatic activation comparisons. Significance asterisks indicate Benjamini-Hochberg corrected values. C) Spatial backprojection analyses reveal no large-scale biases in voxel weights (chromatic preference) across location. The gray annulus reflects averaged voxel modulation at 1° intervals across 1.5-2.5° visual space. Deviations from circularity indicate positive (feature-specific) or negative (passive viewing) preferring clusters of voxels. An RFP stimulus overlay is provided for reference. Activation is thresholded at +/- 1.7 z-score (p</w:t>
                            </w:r>
                            <w:r w:rsidRPr="007B68C2">
                              <w:rPr>
                                <w:rFonts w:ascii="Arial" w:hAnsi="Arial" w:cs="Arial"/>
                                <w:i w:val="0"/>
                                <w:color w:val="000000" w:themeColor="text1"/>
                                <w:sz w:val="24"/>
                                <w:szCs w:val="24"/>
                                <w:lang w:val="en-US"/>
                              </w:rPr>
                              <w:t xml:space="preserve"> &lt;.05).</w:t>
                            </w:r>
                            <w:bookmarkEnd w:id="698"/>
                            <w:bookmarkEnd w:id="699"/>
                          </w:p>
                          <w:p w14:paraId="79B126FD" w14:textId="77777777" w:rsidR="00C93BE0" w:rsidRDefault="00C93BE0" w:rsidP="009F3085">
                            <w:pPr>
                              <w:jc w:val="center"/>
                            </w:pPr>
                          </w:p>
                          <w:p w14:paraId="1C31B2A5"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A7FD8" id="Text Box 25" o:spid="_x0000_s1058" type="#_x0000_t202" style="position:absolute;margin-left:-12.9pt;margin-top:0;width:459.15pt;height:736.3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" filled="f" stroked="f" strokeweight=".5pt">
                <v:textbox>
                  <w:txbxContent>
                    <w:p w14:paraId="1A47D00E" w14:textId="3660A152" w:rsidR="00C93BE0" w:rsidRDefault="00C93BE0" w:rsidP="009F3085">
                      <w:pPr>
                        <w:keepNext/>
                        <w:jc w:val="center"/>
                      </w:pPr>
                      <w:r>
                        <w:rPr>
                          <w:noProof/>
                        </w:rPr>
                        <w:drawing>
                          <wp:inline distT="0" distB="0" distL="0" distR="0" wp14:anchorId="324BFE76" wp14:editId="092DB963">
                            <wp:extent cx="5537200" cy="4658265"/>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gure5.5-colour_multivariate_matrix.png"/>
                                    <pic:cNvPicPr/>
                                  </pic:nvPicPr>
                                  <pic:blipFill rotWithShape="1">
                                    <a:blip r:embed="rId63">
                                      <a:extLst>
                                        <a:ext uri="{28A0092B-C50C-407E-A947-70E740481C1C}">
                                          <a14:useLocalDpi xmlns:a14="http://schemas.microsoft.com/office/drawing/2010/main" val="0"/>
                                        </a:ext>
                                      </a:extLst>
                                    </a:blip>
                                    <a:srcRect l="4760" t="2797" r="2234" b="2805"/>
                                    <a:stretch/>
                                  </pic:blipFill>
                                  <pic:spPr bwMode="auto">
                                    <a:xfrm>
                                      <a:off x="0" y="0"/>
                                      <a:ext cx="5548451" cy="4667730"/>
                                    </a:xfrm>
                                    <a:prstGeom prst="rect">
                                      <a:avLst/>
                                    </a:prstGeom>
                                    <a:ln>
                                      <a:noFill/>
                                    </a:ln>
                                    <a:extLst>
                                      <a:ext uri="{53640926-AAD7-44D8-BBD7-CCE9431645EC}">
                                        <a14:shadowObscured xmlns:a14="http://schemas.microsoft.com/office/drawing/2010/main"/>
                                      </a:ext>
                                    </a:extLst>
                                  </pic:spPr>
                                </pic:pic>
                              </a:graphicData>
                            </a:graphic>
                          </wp:inline>
                        </w:drawing>
                      </w:r>
                    </w:p>
                    <w:p w14:paraId="500562EE" w14:textId="1D1D36D8" w:rsidR="00C93BE0" w:rsidRPr="007B68C2" w:rsidRDefault="00C93BE0" w:rsidP="009F3085">
                      <w:pPr>
                        <w:pStyle w:val="Caption"/>
                        <w:spacing w:line="360" w:lineRule="auto"/>
                        <w:jc w:val="both"/>
                        <w:rPr>
                          <w:rFonts w:ascii="Arial" w:hAnsi="Arial" w:cs="Arial"/>
                          <w:i w:val="0"/>
                          <w:color w:val="000000" w:themeColor="text1"/>
                          <w:sz w:val="24"/>
                          <w:szCs w:val="24"/>
                        </w:rPr>
                      </w:pPr>
                      <w:bookmarkStart w:id="751" w:name="_Toc12363358"/>
                      <w:bookmarkStart w:id="752" w:name="_Toc16242715"/>
                      <w:r w:rsidRPr="007B68C2">
                        <w:rPr>
                          <w:rFonts w:ascii="Arial" w:hAnsi="Arial" w:cs="Arial"/>
                          <w:b/>
                          <w:i w:val="0"/>
                          <w:color w:val="000000" w:themeColor="text1"/>
                          <w:sz w:val="24"/>
                          <w:szCs w:val="24"/>
                        </w:rPr>
                        <w:t xml:space="preserve">Figure </w:t>
                      </w:r>
                      <w:r w:rsidRPr="007B68C2">
                        <w:rPr>
                          <w:rFonts w:ascii="Arial" w:hAnsi="Arial" w:cs="Arial"/>
                          <w:b/>
                          <w:i w:val="0"/>
                          <w:color w:val="000000" w:themeColor="text1"/>
                          <w:sz w:val="24"/>
                          <w:szCs w:val="24"/>
                        </w:rPr>
                        <w:fldChar w:fldCharType="begin"/>
                      </w:r>
                      <w:r w:rsidRPr="007B68C2">
                        <w:rPr>
                          <w:rFonts w:ascii="Arial" w:hAnsi="Arial" w:cs="Arial"/>
                          <w:b/>
                          <w:i w:val="0"/>
                          <w:color w:val="000000" w:themeColor="text1"/>
                          <w:sz w:val="24"/>
                          <w:szCs w:val="24"/>
                        </w:rPr>
                        <w:instrText xml:space="preserve"> STYLEREF 1 \s </w:instrText>
                      </w:r>
                      <w:r w:rsidRPr="007B68C2">
                        <w:rPr>
                          <w:rFonts w:ascii="Arial" w:hAnsi="Arial" w:cs="Arial"/>
                          <w:b/>
                          <w:i w:val="0"/>
                          <w:color w:val="000000" w:themeColor="text1"/>
                          <w:sz w:val="24"/>
                          <w:szCs w:val="24"/>
                        </w:rPr>
                        <w:fldChar w:fldCharType="separate"/>
                      </w:r>
                      <w:r w:rsidRPr="007B68C2">
                        <w:rPr>
                          <w:rFonts w:ascii="Arial" w:hAnsi="Arial" w:cs="Arial"/>
                          <w:b/>
                          <w:i w:val="0"/>
                          <w:noProof/>
                          <w:color w:val="000000" w:themeColor="text1"/>
                          <w:sz w:val="24"/>
                          <w:szCs w:val="24"/>
                        </w:rPr>
                        <w:t>5</w:t>
                      </w:r>
                      <w:r w:rsidRPr="007B68C2">
                        <w:rPr>
                          <w:rFonts w:ascii="Arial" w:hAnsi="Arial" w:cs="Arial"/>
                          <w:b/>
                          <w:i w:val="0"/>
                          <w:color w:val="000000" w:themeColor="text1"/>
                          <w:sz w:val="24"/>
                          <w:szCs w:val="24"/>
                        </w:rPr>
                        <w:fldChar w:fldCharType="end"/>
                      </w:r>
                      <w:r w:rsidRPr="007B68C2">
                        <w:rPr>
                          <w:rFonts w:ascii="Arial" w:hAnsi="Arial" w:cs="Arial"/>
                          <w:b/>
                          <w:i w:val="0"/>
                          <w:color w:val="000000" w:themeColor="text1"/>
                          <w:sz w:val="24"/>
                          <w:szCs w:val="24"/>
                        </w:rPr>
                        <w:t>.</w:t>
                      </w:r>
                      <w:r w:rsidRPr="007B68C2">
                        <w:rPr>
                          <w:rFonts w:ascii="Arial" w:hAnsi="Arial" w:cs="Arial"/>
                          <w:b/>
                          <w:i w:val="0"/>
                          <w:color w:val="000000" w:themeColor="text1"/>
                          <w:sz w:val="24"/>
                          <w:szCs w:val="24"/>
                        </w:rPr>
                        <w:fldChar w:fldCharType="begin"/>
                      </w:r>
                      <w:r w:rsidRPr="007B68C2">
                        <w:rPr>
                          <w:rFonts w:ascii="Arial" w:hAnsi="Arial" w:cs="Arial"/>
                          <w:b/>
                          <w:i w:val="0"/>
                          <w:color w:val="000000" w:themeColor="text1"/>
                          <w:sz w:val="24"/>
                          <w:szCs w:val="24"/>
                        </w:rPr>
                        <w:instrText xml:space="preserve"> SEQ Figure \* ARABIC \s 1 </w:instrText>
                      </w:r>
                      <w:r w:rsidRPr="007B68C2">
                        <w:rPr>
                          <w:rFonts w:ascii="Arial" w:hAnsi="Arial" w:cs="Arial"/>
                          <w:b/>
                          <w:i w:val="0"/>
                          <w:color w:val="000000" w:themeColor="text1"/>
                          <w:sz w:val="24"/>
                          <w:szCs w:val="24"/>
                        </w:rPr>
                        <w:fldChar w:fldCharType="separate"/>
                      </w:r>
                      <w:r w:rsidRPr="007B68C2">
                        <w:rPr>
                          <w:rFonts w:ascii="Arial" w:hAnsi="Arial" w:cs="Arial"/>
                          <w:b/>
                          <w:i w:val="0"/>
                          <w:noProof/>
                          <w:color w:val="000000" w:themeColor="text1"/>
                          <w:sz w:val="24"/>
                          <w:szCs w:val="24"/>
                        </w:rPr>
                        <w:t>5</w:t>
                      </w:r>
                      <w:r w:rsidRPr="007B68C2">
                        <w:rPr>
                          <w:rFonts w:ascii="Arial" w:hAnsi="Arial" w:cs="Arial"/>
                          <w:b/>
                          <w:i w:val="0"/>
                          <w:color w:val="000000" w:themeColor="text1"/>
                          <w:sz w:val="24"/>
                          <w:szCs w:val="24"/>
                        </w:rPr>
                        <w:fldChar w:fldCharType="end"/>
                      </w:r>
                      <w:r w:rsidRPr="007B68C2">
                        <w:rPr>
                          <w:rFonts w:ascii="Arial" w:hAnsi="Arial" w:cs="Arial"/>
                          <w:i w:val="0"/>
                          <w:color w:val="000000" w:themeColor="text1"/>
                          <w:sz w:val="24"/>
                          <w:szCs w:val="24"/>
                        </w:rPr>
                        <w:t xml:space="preserve"> </w:t>
                      </w:r>
                      <w:r w:rsidRPr="007B68C2">
                        <w:rPr>
                          <w:rFonts w:ascii="Arial" w:hAnsi="Arial" w:cs="Arial"/>
                          <w:i w:val="0"/>
                          <w:iCs w:val="0"/>
                          <w:color w:val="000000" w:themeColor="text1"/>
                          <w:sz w:val="24"/>
                          <w:szCs w:val="24"/>
                          <w:lang w:val="en-US"/>
                        </w:rPr>
                        <w:t>Colour-specific Multivariate Support Vector Machine Decoding and Group-averaged voxel feature-specific weights as a function of eccentricity (6°) and polar angle (360°). Voxel-level responses with ind</w:t>
                      </w:r>
                      <w:r w:rsidRPr="0083451C">
                        <w:rPr>
                          <w:rFonts w:ascii="Arial" w:hAnsi="Arial" w:cs="Arial"/>
                          <w:i w:val="0"/>
                          <w:iCs w:val="0"/>
                          <w:color w:val="000000" w:themeColor="text1"/>
                          <w:sz w:val="24"/>
                          <w:szCs w:val="24"/>
                          <w:lang w:val="en-US"/>
                        </w:rPr>
                        <w:t>ividual ROIs are modulated by attentional state. A) Overall three-way decoding accuracies. Chromatic attentional state can be deco</w:t>
                      </w:r>
                      <w:r w:rsidRPr="007B68C2">
                        <w:rPr>
                          <w:rFonts w:ascii="Arial" w:hAnsi="Arial" w:cs="Arial"/>
                          <w:i w:val="0"/>
                          <w:iCs w:val="0"/>
                          <w:color w:val="000000" w:themeColor="text1"/>
                          <w:sz w:val="24"/>
                          <w:szCs w:val="24"/>
                          <w:lang w:val="en-US"/>
                        </w:rPr>
                        <w:t>ded above chance in all ROIs except LO-2 and A1.  Error bars reflect +/- 1 SEM. B) Two-way classification accuracies across pairwise combinations of attentional focus (red-green versus blue-yellow, red-green versus achromatic and blue-yellow versus achromatic). Voxel patterns in all almost areas differ significantly between attention to red-green and achromatic-defined stimuli, with successful classifications also evident for red-green versus blue-yellow-defined stimuli and blue-yellow versus achromatic activation comparisons. Significance asterisks indicate Benjamini-Hochberg corrected values. C) Spatial backprojection analyses reveal no large-scale biases in voxel weights (chromatic preference) across location. The gray annulus reflects averaged voxel modulation at 1° intervals across 1.5-2.5° visual space. Deviations from circularity indicate positive (feature-specific) or negative (passive viewing) preferring clusters of voxels. An RFP stimulus overlay is provided for reference. Activation is thresholded at +/- 1.7 z-score (p</w:t>
                      </w:r>
                      <w:r w:rsidRPr="007B68C2">
                        <w:rPr>
                          <w:rFonts w:ascii="Arial" w:hAnsi="Arial" w:cs="Arial"/>
                          <w:i w:val="0"/>
                          <w:color w:val="000000" w:themeColor="text1"/>
                          <w:sz w:val="24"/>
                          <w:szCs w:val="24"/>
                          <w:lang w:val="en-US"/>
                        </w:rPr>
                        <w:t xml:space="preserve"> &lt;.05).</w:t>
                      </w:r>
                      <w:bookmarkEnd w:id="751"/>
                      <w:bookmarkEnd w:id="752"/>
                    </w:p>
                    <w:p w14:paraId="79B126FD" w14:textId="77777777" w:rsidR="00C93BE0" w:rsidRDefault="00C93BE0" w:rsidP="009F3085">
                      <w:pPr>
                        <w:jc w:val="center"/>
                      </w:pPr>
                    </w:p>
                    <w:p w14:paraId="1C31B2A5" w14:textId="77777777" w:rsidR="00C93BE0" w:rsidRDefault="00C93BE0" w:rsidP="009F3085">
                      <w:pPr>
                        <w:jc w:val="center"/>
                      </w:pPr>
                    </w:p>
                  </w:txbxContent>
                </v:textbox>
                <w10:wrap type="square"/>
              </v:shape>
            </w:pict>
          </mc:Fallback>
        </mc:AlternateContent>
      </w:r>
    </w:p>
    <w:p w14:paraId="72DF2AED" w14:textId="77777777" w:rsidR="006832FB" w:rsidRDefault="006832FB" w:rsidP="001811CC">
      <w:pPr>
        <w:pStyle w:val="Heading3"/>
        <w:numPr>
          <w:ilvl w:val="2"/>
          <w:numId w:val="6"/>
        </w:numPr>
        <w:rPr>
          <w:rFonts w:ascii="Arial" w:hAnsi="Arial" w:cs="Arial"/>
          <w:b/>
          <w:i/>
          <w:color w:val="000000" w:themeColor="text1"/>
          <w:sz w:val="28"/>
          <w:szCs w:val="28"/>
        </w:rPr>
      </w:pPr>
      <w:bookmarkStart w:id="700" w:name="_Toc11148033"/>
      <w:bookmarkStart w:id="701" w:name="_Toc11153982"/>
      <w:bookmarkStart w:id="702" w:name="_Toc11753669"/>
      <w:bookmarkStart w:id="703" w:name="_Toc11926855"/>
      <w:bookmarkStart w:id="704" w:name="_Toc11930116"/>
      <w:bookmarkStart w:id="705" w:name="_Toc16075432"/>
      <w:bookmarkStart w:id="706" w:name="_Toc16237027"/>
      <w:r w:rsidRPr="00734436">
        <w:rPr>
          <w:rFonts w:ascii="Arial" w:hAnsi="Arial" w:cs="Arial"/>
          <w:b/>
          <w:i/>
          <w:color w:val="000000" w:themeColor="text1"/>
          <w:sz w:val="28"/>
          <w:szCs w:val="28"/>
        </w:rPr>
        <w:lastRenderedPageBreak/>
        <w:t>Timeseries Connectivity Analysis</w:t>
      </w:r>
      <w:bookmarkEnd w:id="700"/>
      <w:bookmarkEnd w:id="701"/>
      <w:bookmarkEnd w:id="702"/>
      <w:bookmarkEnd w:id="703"/>
      <w:bookmarkEnd w:id="704"/>
      <w:bookmarkEnd w:id="705"/>
      <w:bookmarkEnd w:id="706"/>
    </w:p>
    <w:p w14:paraId="767EBDD5" w14:textId="77777777" w:rsidR="00734436" w:rsidRPr="00734436" w:rsidRDefault="00734436" w:rsidP="00734436"/>
    <w:p w14:paraId="77457868" w14:textId="77777777" w:rsidR="006832FB" w:rsidRPr="00734436" w:rsidRDefault="006832FB" w:rsidP="001811CC">
      <w:pPr>
        <w:pStyle w:val="Heading4"/>
        <w:numPr>
          <w:ilvl w:val="3"/>
          <w:numId w:val="6"/>
        </w:numPr>
        <w:rPr>
          <w:rFonts w:ascii="Arial" w:hAnsi="Arial" w:cs="Arial"/>
          <w:color w:val="000000" w:themeColor="text1"/>
          <w:sz w:val="28"/>
          <w:szCs w:val="28"/>
        </w:rPr>
      </w:pPr>
      <w:bookmarkStart w:id="707" w:name="_Toc11148034"/>
      <w:bookmarkStart w:id="708" w:name="_Toc11153983"/>
      <w:bookmarkStart w:id="709" w:name="_Toc11930117"/>
      <w:bookmarkStart w:id="710" w:name="_Toc16075433"/>
      <w:r w:rsidRPr="00734436">
        <w:rPr>
          <w:rFonts w:ascii="Arial" w:hAnsi="Arial" w:cs="Arial"/>
          <w:color w:val="000000" w:themeColor="text1"/>
          <w:sz w:val="28"/>
          <w:szCs w:val="28"/>
        </w:rPr>
        <w:t>Feature</w:t>
      </w:r>
      <w:bookmarkEnd w:id="707"/>
      <w:bookmarkEnd w:id="708"/>
      <w:bookmarkEnd w:id="709"/>
      <w:bookmarkEnd w:id="710"/>
    </w:p>
    <w:p w14:paraId="3F291A81" w14:textId="77777777" w:rsidR="006832FB" w:rsidRPr="00225AB0" w:rsidRDefault="006832FB" w:rsidP="006832FB">
      <w:pPr>
        <w:spacing w:line="480" w:lineRule="auto"/>
        <w:rPr>
          <w:rFonts w:ascii="Arial" w:hAnsi="Arial" w:cs="Arial"/>
        </w:rPr>
      </w:pPr>
      <w:r w:rsidRPr="00225AB0">
        <w:rPr>
          <w:rFonts w:ascii="Arial" w:hAnsi="Arial" w:cs="Arial"/>
        </w:rPr>
        <w:t xml:space="preserve">Our univariate analysis demonstrated that overall, attention had relatively little effect on time-averaged BOLD responses in individual visual areas. In our final analysis, we asked whether attention may exert a clearer effect at a slightly coarser scale; influencing the way that individual ROIs communicate with each other. Specifically, we investigated differing functional connectivity between ROIs as a function of attentional state. </w:t>
      </w:r>
    </w:p>
    <w:p w14:paraId="26EA8FEC" w14:textId="77777777" w:rsidR="006832FB" w:rsidRPr="00225AB0" w:rsidRDefault="006832FB" w:rsidP="006832FB">
      <w:pPr>
        <w:spacing w:line="480" w:lineRule="auto"/>
        <w:rPr>
          <w:rFonts w:ascii="Arial" w:hAnsi="Arial" w:cs="Arial"/>
        </w:rPr>
      </w:pPr>
    </w:p>
    <w:p w14:paraId="0FA00809" w14:textId="77777777" w:rsidR="006832FB" w:rsidRPr="00225AB0" w:rsidRDefault="006832FB" w:rsidP="006832FB">
      <w:pPr>
        <w:spacing w:line="480" w:lineRule="auto"/>
        <w:rPr>
          <w:rFonts w:ascii="Arial" w:hAnsi="Arial" w:cs="Arial"/>
        </w:rPr>
      </w:pPr>
      <w:r w:rsidRPr="00225AB0">
        <w:rPr>
          <w:rFonts w:ascii="Arial" w:hAnsi="Arial" w:cs="Arial"/>
        </w:rPr>
        <w:t xml:space="preserve">We first conducted non-parametric Kendall’s Tau correlations between ROI-average (univariate) </w:t>
      </w:r>
      <w:proofErr w:type="spellStart"/>
      <w:r w:rsidRPr="00225AB0">
        <w:rPr>
          <w:rFonts w:ascii="Arial" w:hAnsi="Arial" w:cs="Arial"/>
        </w:rPr>
        <w:t>timecourses</w:t>
      </w:r>
      <w:proofErr w:type="spellEnd"/>
      <w:r w:rsidRPr="00225AB0">
        <w:rPr>
          <w:rFonts w:ascii="Arial" w:hAnsi="Arial" w:cs="Arial"/>
        </w:rPr>
        <w:t xml:space="preserve"> from each pairwise comparison of visual ROIs for each featural attention condition. These correlation patterns across visual ROIs (V1, V3A/B, hV4, LO-1, LO-2 and IPS0) represent a ‘fingerprint’ for each attentional task (see Figure</w:t>
      </w:r>
      <w:r w:rsidR="009D2FD7">
        <w:rPr>
          <w:rFonts w:ascii="Arial" w:hAnsi="Arial" w:cs="Arial"/>
        </w:rPr>
        <w:t xml:space="preserve"> 5.6</w:t>
      </w:r>
      <w:r w:rsidRPr="00225AB0">
        <w:rPr>
          <w:rFonts w:ascii="Arial" w:hAnsi="Arial" w:cs="Arial"/>
        </w:rPr>
        <w:t xml:space="preserve">A).  We examined if these connectivity fingerprints were altered by attentional task, though a </w:t>
      </w:r>
      <w:proofErr w:type="gramStart"/>
      <w:r w:rsidRPr="00225AB0">
        <w:rPr>
          <w:rFonts w:ascii="Arial" w:hAnsi="Arial" w:cs="Arial"/>
        </w:rPr>
        <w:t>one-way repeated measures</w:t>
      </w:r>
      <w:proofErr w:type="gramEnd"/>
      <w:r w:rsidRPr="00225AB0">
        <w:rPr>
          <w:rFonts w:ascii="Arial" w:hAnsi="Arial" w:cs="Arial"/>
        </w:rPr>
        <w:t xml:space="preserve"> ANOVA with Bonferroni-corrected post-hoc tests, conducted on normalised and Fisher-z transformed coefficients. This analysis revealed significantly greater positive correlation between ROIs during passive viewing compared to attention to orientation (</w:t>
      </w:r>
      <w:proofErr w:type="gramStart"/>
      <w:r w:rsidRPr="00225AB0">
        <w:rPr>
          <w:rFonts w:ascii="Arial" w:hAnsi="Arial" w:cs="Arial"/>
        </w:rPr>
        <w:t>F(</w:t>
      </w:r>
      <w:proofErr w:type="gramEnd"/>
      <w:r w:rsidRPr="00225AB0">
        <w:rPr>
          <w:rFonts w:ascii="Arial" w:hAnsi="Arial" w:cs="Arial"/>
        </w:rPr>
        <w:t xml:space="preserve">3,42) = 5.05, </w:t>
      </w:r>
      <w:r w:rsidRPr="00225AB0">
        <w:rPr>
          <w:rFonts w:ascii="Arial" w:hAnsi="Arial" w:cs="Arial"/>
          <w:i/>
        </w:rPr>
        <w:t>p</w:t>
      </w:r>
      <w:r w:rsidRPr="00225AB0">
        <w:rPr>
          <w:rFonts w:ascii="Arial" w:hAnsi="Arial" w:cs="Arial"/>
        </w:rPr>
        <w:t xml:space="preserve"> = .015, post-hoc </w:t>
      </w:r>
      <w:r w:rsidRPr="00225AB0">
        <w:rPr>
          <w:rFonts w:ascii="Arial" w:hAnsi="Arial" w:cs="Arial"/>
          <w:i/>
        </w:rPr>
        <w:t>p</w:t>
      </w:r>
      <w:r w:rsidRPr="00225AB0">
        <w:rPr>
          <w:rFonts w:ascii="Arial" w:hAnsi="Arial" w:cs="Arial"/>
        </w:rPr>
        <w:t xml:space="preserve"> = .002). No other differences in patterns of connectivity between attentional conditions were identified (</w:t>
      </w:r>
      <w:r w:rsidRPr="00225AB0">
        <w:rPr>
          <w:rFonts w:ascii="Arial" w:hAnsi="Arial" w:cs="Arial"/>
          <w:i/>
        </w:rPr>
        <w:t>p</w:t>
      </w:r>
      <w:r w:rsidRPr="00225AB0">
        <w:rPr>
          <w:rFonts w:ascii="Arial" w:hAnsi="Arial" w:cs="Arial"/>
        </w:rPr>
        <w:t xml:space="preserve"> &gt; .05). </w:t>
      </w:r>
    </w:p>
    <w:p w14:paraId="0960F6B2" w14:textId="77777777" w:rsidR="006832FB" w:rsidRPr="00225AB0" w:rsidRDefault="006832FB" w:rsidP="006832FB">
      <w:pPr>
        <w:rPr>
          <w:rFonts w:ascii="Arial" w:hAnsi="Arial" w:cs="Arial"/>
        </w:rPr>
      </w:pPr>
    </w:p>
    <w:p w14:paraId="67E4D1B2" w14:textId="77777777" w:rsidR="006832FB" w:rsidRPr="00225AB0" w:rsidRDefault="006832FB" w:rsidP="006832FB">
      <w:pPr>
        <w:spacing w:line="480" w:lineRule="auto"/>
        <w:rPr>
          <w:rFonts w:ascii="Arial" w:hAnsi="Arial" w:cs="Arial"/>
        </w:rPr>
      </w:pPr>
      <w:r w:rsidRPr="00225AB0">
        <w:rPr>
          <w:rFonts w:ascii="Arial" w:hAnsi="Arial" w:cs="Arial"/>
        </w:rPr>
        <w:t xml:space="preserve">Next, we asked whether differences in connectivity fingerprints between attentional task may be driven by connections with a particular ROI, rather than examining patterns of connectivity across all ROIs simultaneously. For this, we calculated the Euclidian distance (RMSE) between pairwise </w:t>
      </w:r>
      <w:r w:rsidRPr="00225AB0">
        <w:rPr>
          <w:rFonts w:ascii="Arial" w:hAnsi="Arial" w:cs="Arial"/>
        </w:rPr>
        <w:lastRenderedPageBreak/>
        <w:t xml:space="preserve">comparisons of attentional task condition (averaged across a subsample of participants for each condition), for both observed and noise (scrambled attention-condition label) datasets, bootstrapped across 10,000 iterations. </w:t>
      </w:r>
    </w:p>
    <w:p w14:paraId="504D7AFF" w14:textId="77777777" w:rsidR="006832FB" w:rsidRPr="00225AB0" w:rsidRDefault="006832FB" w:rsidP="006832FB">
      <w:pPr>
        <w:rPr>
          <w:rFonts w:ascii="Arial" w:hAnsi="Arial" w:cs="Arial"/>
        </w:rPr>
      </w:pPr>
    </w:p>
    <w:p w14:paraId="4774609A" w14:textId="3CA1BB72" w:rsidR="006832FB" w:rsidRPr="00225AB0" w:rsidRDefault="006832FB" w:rsidP="006832FB">
      <w:pPr>
        <w:spacing w:line="480" w:lineRule="auto"/>
        <w:rPr>
          <w:rFonts w:ascii="Arial" w:hAnsi="Arial" w:cs="Arial"/>
        </w:rPr>
      </w:pPr>
      <w:r w:rsidRPr="00225AB0">
        <w:rPr>
          <w:rFonts w:ascii="Arial" w:hAnsi="Arial" w:cs="Arial"/>
        </w:rPr>
        <w:t>Correlations with visual ROIs V1, hV4, LO-2 and IPS0 show revealed no significant differences in patterns of connectivity across all attentional states (</w:t>
      </w:r>
      <w:r w:rsidRPr="00225AB0">
        <w:rPr>
          <w:rFonts w:ascii="Arial" w:hAnsi="Arial" w:cs="Arial"/>
          <w:i/>
        </w:rPr>
        <w:t>p</w:t>
      </w:r>
      <w:r w:rsidRPr="00225AB0">
        <w:rPr>
          <w:rFonts w:ascii="Arial" w:hAnsi="Arial" w:cs="Arial"/>
        </w:rPr>
        <w:t xml:space="preserve"> &gt; .05). However, correlations from both V3A/B and LO-1 to all other visual areas demonstrated significant differences in patterns of connectivity between attention to contrast and passive viewing (</w:t>
      </w:r>
      <w:r w:rsidRPr="00225AB0">
        <w:rPr>
          <w:rFonts w:ascii="Arial" w:hAnsi="Arial" w:cs="Arial"/>
          <w:i/>
        </w:rPr>
        <w:t>p</w:t>
      </w:r>
      <w:r w:rsidRPr="00225AB0">
        <w:rPr>
          <w:rFonts w:ascii="Arial" w:hAnsi="Arial" w:cs="Arial"/>
        </w:rPr>
        <w:t xml:space="preserve"> = .0</w:t>
      </w:r>
      <w:r w:rsidR="00FA740D">
        <w:rPr>
          <w:rFonts w:ascii="Arial" w:hAnsi="Arial" w:cs="Arial"/>
        </w:rPr>
        <w:t>24</w:t>
      </w:r>
      <w:r w:rsidRPr="00225AB0">
        <w:rPr>
          <w:rFonts w:ascii="Arial" w:hAnsi="Arial" w:cs="Arial"/>
        </w:rPr>
        <w:t xml:space="preserve"> and </w:t>
      </w:r>
      <w:r w:rsidRPr="00225AB0">
        <w:rPr>
          <w:rFonts w:ascii="Arial" w:hAnsi="Arial" w:cs="Arial"/>
          <w:i/>
        </w:rPr>
        <w:t>p</w:t>
      </w:r>
      <w:r w:rsidRPr="00225AB0">
        <w:rPr>
          <w:rFonts w:ascii="Arial" w:hAnsi="Arial" w:cs="Arial"/>
        </w:rPr>
        <w:t xml:space="preserve"> = .00</w:t>
      </w:r>
      <w:r w:rsidR="00FA740D">
        <w:rPr>
          <w:rFonts w:ascii="Arial" w:hAnsi="Arial" w:cs="Arial"/>
        </w:rPr>
        <w:t>4</w:t>
      </w:r>
      <w:r w:rsidRPr="00225AB0">
        <w:rPr>
          <w:rFonts w:ascii="Arial" w:hAnsi="Arial" w:cs="Arial"/>
        </w:rPr>
        <w:t xml:space="preserve"> respectively). Partial correlations with V3A/B also revealed a significant difference in connectivity during attention to shape and passive viewing (</w:t>
      </w:r>
      <w:r w:rsidRPr="00225AB0">
        <w:rPr>
          <w:rFonts w:ascii="Arial" w:hAnsi="Arial" w:cs="Arial"/>
          <w:i/>
        </w:rPr>
        <w:t>p</w:t>
      </w:r>
      <w:r w:rsidRPr="00225AB0">
        <w:rPr>
          <w:rFonts w:ascii="Arial" w:hAnsi="Arial" w:cs="Arial"/>
        </w:rPr>
        <w:t xml:space="preserve"> = .0</w:t>
      </w:r>
      <w:r w:rsidR="00FA740D">
        <w:rPr>
          <w:rFonts w:ascii="Arial" w:hAnsi="Arial" w:cs="Arial"/>
        </w:rPr>
        <w:t>37</w:t>
      </w:r>
      <w:r w:rsidRPr="00225AB0">
        <w:rPr>
          <w:rFonts w:ascii="Arial" w:hAnsi="Arial" w:cs="Arial"/>
        </w:rPr>
        <w:t>) (see Figure</w:t>
      </w:r>
      <w:r w:rsidR="009D2FD7">
        <w:rPr>
          <w:rFonts w:ascii="Arial" w:hAnsi="Arial" w:cs="Arial"/>
        </w:rPr>
        <w:t xml:space="preserve"> 5.6</w:t>
      </w:r>
      <w:r w:rsidRPr="00225AB0">
        <w:rPr>
          <w:rFonts w:ascii="Arial" w:hAnsi="Arial" w:cs="Arial"/>
        </w:rPr>
        <w:t xml:space="preserve">B). </w:t>
      </w:r>
    </w:p>
    <w:p w14:paraId="56AAD739" w14:textId="0B67F17E" w:rsidR="00F72546" w:rsidRPr="00225AB0" w:rsidRDefault="009F3085" w:rsidP="00F72546">
      <w:pPr>
        <w:spacing w:line="480" w:lineRule="auto"/>
        <w:rPr>
          <w:rFonts w:ascii="Arial" w:hAnsi="Arial" w:cs="Arial"/>
        </w:rPr>
      </w:pPr>
      <w:r w:rsidRPr="00225AB0">
        <w:rPr>
          <w:rFonts w:ascii="Arial" w:hAnsi="Arial" w:cs="Arial"/>
          <w:noProof/>
          <w:lang w:eastAsia="en-GB"/>
        </w:rPr>
        <w:lastRenderedPageBreak/>
        <mc:AlternateContent>
          <mc:Choice Requires="wps">
            <w:drawing>
              <wp:anchor distT="0" distB="0" distL="114300" distR="114300" simplePos="0" relativeHeight="251830272" behindDoc="1" locked="0" layoutInCell="1" allowOverlap="1" wp14:anchorId="2DA81E5B" wp14:editId="2AC4B1E1">
                <wp:simplePos x="0" y="0"/>
                <wp:positionH relativeFrom="column">
                  <wp:posOffset>-7620</wp:posOffset>
                </wp:positionH>
                <wp:positionV relativeFrom="paragraph">
                  <wp:posOffset>0</wp:posOffset>
                </wp:positionV>
                <wp:extent cx="5320030" cy="8031480"/>
                <wp:effectExtent l="0" t="0" r="0" b="0"/>
                <wp:wrapTight wrapText="bothSides">
                  <wp:wrapPolygon edited="0">
                    <wp:start x="258" y="34"/>
                    <wp:lineTo x="258" y="21518"/>
                    <wp:lineTo x="21296" y="21518"/>
                    <wp:lineTo x="21296" y="34"/>
                    <wp:lineTo x="258" y="34"/>
                  </wp:wrapPolygon>
                </wp:wrapTight>
                <wp:docPr id="26" name="Text Box 26"/>
                <wp:cNvGraphicFramePr/>
                <a:graphic xmlns:a="http://schemas.openxmlformats.org/drawingml/2006/main">
                  <a:graphicData uri="http://schemas.microsoft.com/office/word/2010/wordprocessingShape">
                    <wps:wsp>
                      <wps:cNvSpPr txBox="1"/>
                      <wps:spPr>
                        <a:xfrm>
                          <a:off x="0" y="0"/>
                          <a:ext cx="5320030" cy="8031480"/>
                        </a:xfrm>
                        <a:prstGeom prst="rect">
                          <a:avLst/>
                        </a:prstGeom>
                        <a:noFill/>
                        <a:ln w="6350">
                          <a:noFill/>
                        </a:ln>
                      </wps:spPr>
                      <wps:txbx>
                        <w:txbxContent>
                          <w:p w14:paraId="7C4FDAEB" w14:textId="04CDCD05" w:rsidR="00C93BE0" w:rsidRDefault="00C93BE0" w:rsidP="009F3085">
                            <w:pPr>
                              <w:keepNext/>
                            </w:pPr>
                            <w:r>
                              <w:rPr>
                                <w:noProof/>
                              </w:rPr>
                              <w:drawing>
                                <wp:inline distT="0" distB="0" distL="0" distR="0" wp14:anchorId="2E76BA9C" wp14:editId="224898F6">
                                  <wp:extent cx="5354768" cy="4537495"/>
                                  <wp:effectExtent l="0" t="0" r="508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figure5.6-feature_connectivity_matrix.png"/>
                                          <pic:cNvPicPr/>
                                        </pic:nvPicPr>
                                        <pic:blipFill rotWithShape="1">
                                          <a:blip r:embed="rId64">
                                            <a:extLst>
                                              <a:ext uri="{28A0092B-C50C-407E-A947-70E740481C1C}">
                                                <a14:useLocalDpi xmlns:a14="http://schemas.microsoft.com/office/drawing/2010/main" val="0"/>
                                              </a:ext>
                                            </a:extLst>
                                          </a:blip>
                                          <a:srcRect t="2805" b="8849"/>
                                          <a:stretch/>
                                        </pic:blipFill>
                                        <pic:spPr bwMode="auto">
                                          <a:xfrm>
                                            <a:off x="0" y="0"/>
                                            <a:ext cx="5359907" cy="4541849"/>
                                          </a:xfrm>
                                          <a:prstGeom prst="rect">
                                            <a:avLst/>
                                          </a:prstGeom>
                                          <a:ln>
                                            <a:noFill/>
                                          </a:ln>
                                          <a:extLst>
                                            <a:ext uri="{53640926-AAD7-44D8-BBD7-CCE9431645EC}">
                                              <a14:shadowObscured xmlns:a14="http://schemas.microsoft.com/office/drawing/2010/main"/>
                                            </a:ext>
                                          </a:extLst>
                                        </pic:spPr>
                                      </pic:pic>
                                    </a:graphicData>
                                  </a:graphic>
                                </wp:inline>
                              </w:drawing>
                            </w:r>
                          </w:p>
                          <w:p w14:paraId="1E8E732B" w14:textId="10E38988" w:rsidR="00C93BE0" w:rsidRPr="009D2FD7" w:rsidRDefault="00C93BE0" w:rsidP="009F3085">
                            <w:pPr>
                              <w:pStyle w:val="Caption"/>
                              <w:spacing w:line="360" w:lineRule="auto"/>
                              <w:jc w:val="both"/>
                              <w:rPr>
                                <w:rFonts w:ascii="Arial" w:hAnsi="Arial" w:cs="Arial"/>
                                <w:i w:val="0"/>
                                <w:color w:val="000000" w:themeColor="text1"/>
                                <w:sz w:val="24"/>
                                <w:szCs w:val="24"/>
                              </w:rPr>
                            </w:pPr>
                            <w:bookmarkStart w:id="711" w:name="_Toc12363359"/>
                            <w:bookmarkStart w:id="712" w:name="_Toc16242716"/>
                            <w:r w:rsidRPr="009D2FD7">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sidRPr="009D2FD7">
                              <w:rPr>
                                <w:rFonts w:ascii="Arial" w:hAnsi="Arial" w:cs="Arial"/>
                                <w:i w:val="0"/>
                                <w:color w:val="000000" w:themeColor="text1"/>
                                <w:sz w:val="24"/>
                                <w:szCs w:val="24"/>
                              </w:rPr>
                              <w:t xml:space="preserve"> Greater overall connectivity during passive viewing compared to directed attention. A) Group feature-specific averaged attentional modulation</w:t>
                            </w:r>
                            <w:r>
                              <w:rPr>
                                <w:rFonts w:ascii="Arial" w:hAnsi="Arial" w:cs="Arial"/>
                                <w:i w:val="0"/>
                                <w:color w:val="000000" w:themeColor="text1"/>
                                <w:sz w:val="24"/>
                                <w:szCs w:val="24"/>
                              </w:rPr>
                              <w:t xml:space="preserve"> </w:t>
                            </w:r>
                            <w:r w:rsidRPr="009D2FD7">
                              <w:rPr>
                                <w:rFonts w:ascii="Arial" w:hAnsi="Arial" w:cs="Arial"/>
                                <w:i w:val="0"/>
                                <w:color w:val="000000" w:themeColor="text1"/>
                                <w:sz w:val="24"/>
                                <w:szCs w:val="24"/>
                              </w:rPr>
                              <w:t xml:space="preserve">connectivity values, indicating significantly greater mean connectivity during passive viewing in the attentional tasks. B) Bootstrapped measures of distance between pairwise combinations of attentional focus conditions, for V1, V3A/B, hV4, LO-1, LO-2 and IPS0 ROIs. </w:t>
                            </w:r>
                            <w:r>
                              <w:rPr>
                                <w:rFonts w:ascii="Arial" w:hAnsi="Arial" w:cs="Arial"/>
                                <w:i w:val="0"/>
                                <w:color w:val="000000" w:themeColor="text1"/>
                                <w:sz w:val="24"/>
                                <w:szCs w:val="24"/>
                              </w:rPr>
                              <w:t xml:space="preserve">The figure demonstrates the percentage overlap between the distribution of RMSE scores across 10,000 iterations of randomly-selected samples of the observed data  and scrambled correlation ‘noise’ data for each ROI across multiple pairwise comparisons. </w:t>
                            </w:r>
                            <w:r w:rsidRPr="009D2FD7">
                              <w:rPr>
                                <w:rFonts w:ascii="Arial" w:hAnsi="Arial" w:cs="Arial"/>
                                <w:i w:val="0"/>
                                <w:color w:val="000000" w:themeColor="text1"/>
                                <w:sz w:val="24"/>
                                <w:szCs w:val="24"/>
                              </w:rPr>
                              <w:t>Significant</w:t>
                            </w:r>
                            <w:r>
                              <w:rPr>
                                <w:rFonts w:ascii="Arial" w:hAnsi="Arial" w:cs="Arial"/>
                                <w:i w:val="0"/>
                                <w:color w:val="000000" w:themeColor="text1"/>
                                <w:sz w:val="24"/>
                                <w:szCs w:val="24"/>
                              </w:rPr>
                              <w:t xml:space="preserve"> overlap (less than 5%) </w:t>
                            </w:r>
                            <w:r w:rsidRPr="009D2FD7">
                              <w:rPr>
                                <w:rFonts w:ascii="Arial" w:hAnsi="Arial" w:cs="Arial"/>
                                <w:i w:val="0"/>
                                <w:color w:val="000000" w:themeColor="text1"/>
                                <w:sz w:val="24"/>
                                <w:szCs w:val="24"/>
                              </w:rPr>
                              <w:t>between pairwise combinations of condition are indicated with asterisks.</w:t>
                            </w:r>
                            <w:bookmarkEnd w:id="711"/>
                            <w:bookmarkEnd w:id="712"/>
                          </w:p>
                          <w:p w14:paraId="59E4ED98" w14:textId="77777777" w:rsidR="00C93BE0" w:rsidRDefault="00C93BE0" w:rsidP="009F3085">
                            <w:pPr>
                              <w:jc w:val="center"/>
                            </w:pPr>
                          </w:p>
                          <w:p w14:paraId="3E7BCA2B" w14:textId="77777777" w:rsidR="00C93BE0" w:rsidRDefault="00C93BE0" w:rsidP="009F3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81E5B" id="Text Box 26" o:spid="_x0000_s1059" type="#_x0000_t202" style="position:absolute;margin-left:-.6pt;margin-top:0;width:418.9pt;height:632.4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" filled="f" stroked="f" strokeweight=".5pt">
                <v:textbox>
                  <w:txbxContent>
                    <w:p w14:paraId="7C4FDAEB" w14:textId="04CDCD05" w:rsidR="00C93BE0" w:rsidRDefault="00C93BE0" w:rsidP="009F3085">
                      <w:pPr>
                        <w:keepNext/>
                      </w:pPr>
                      <w:r>
                        <w:rPr>
                          <w:noProof/>
                        </w:rPr>
                        <w:drawing>
                          <wp:inline distT="0" distB="0" distL="0" distR="0" wp14:anchorId="2E76BA9C" wp14:editId="224898F6">
                            <wp:extent cx="5354768" cy="4537495"/>
                            <wp:effectExtent l="0" t="0" r="508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figure5.6-feature_connectivity_matrix.png"/>
                                    <pic:cNvPicPr/>
                                  </pic:nvPicPr>
                                  <pic:blipFill rotWithShape="1">
                                    <a:blip r:embed="rId65">
                                      <a:extLst>
                                        <a:ext uri="{28A0092B-C50C-407E-A947-70E740481C1C}">
                                          <a14:useLocalDpi xmlns:a14="http://schemas.microsoft.com/office/drawing/2010/main" val="0"/>
                                        </a:ext>
                                      </a:extLst>
                                    </a:blip>
                                    <a:srcRect t="2805" b="8849"/>
                                    <a:stretch/>
                                  </pic:blipFill>
                                  <pic:spPr bwMode="auto">
                                    <a:xfrm>
                                      <a:off x="0" y="0"/>
                                      <a:ext cx="5359907" cy="4541849"/>
                                    </a:xfrm>
                                    <a:prstGeom prst="rect">
                                      <a:avLst/>
                                    </a:prstGeom>
                                    <a:ln>
                                      <a:noFill/>
                                    </a:ln>
                                    <a:extLst>
                                      <a:ext uri="{53640926-AAD7-44D8-BBD7-CCE9431645EC}">
                                        <a14:shadowObscured xmlns:a14="http://schemas.microsoft.com/office/drawing/2010/main"/>
                                      </a:ext>
                                    </a:extLst>
                                  </pic:spPr>
                                </pic:pic>
                              </a:graphicData>
                            </a:graphic>
                          </wp:inline>
                        </w:drawing>
                      </w:r>
                    </w:p>
                    <w:p w14:paraId="1E8E732B" w14:textId="10E38988" w:rsidR="00C93BE0" w:rsidRPr="009D2FD7" w:rsidRDefault="00C93BE0" w:rsidP="009F3085">
                      <w:pPr>
                        <w:pStyle w:val="Caption"/>
                        <w:spacing w:line="360" w:lineRule="auto"/>
                        <w:jc w:val="both"/>
                        <w:rPr>
                          <w:rFonts w:ascii="Arial" w:hAnsi="Arial" w:cs="Arial"/>
                          <w:i w:val="0"/>
                          <w:color w:val="000000" w:themeColor="text1"/>
                          <w:sz w:val="24"/>
                          <w:szCs w:val="24"/>
                        </w:rPr>
                      </w:pPr>
                      <w:bookmarkStart w:id="766" w:name="_Toc12363359"/>
                      <w:bookmarkStart w:id="767" w:name="_Toc16242716"/>
                      <w:r w:rsidRPr="009D2FD7">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sidRPr="009D2FD7">
                        <w:rPr>
                          <w:rFonts w:ascii="Arial" w:hAnsi="Arial" w:cs="Arial"/>
                          <w:i w:val="0"/>
                          <w:color w:val="000000" w:themeColor="text1"/>
                          <w:sz w:val="24"/>
                          <w:szCs w:val="24"/>
                        </w:rPr>
                        <w:t xml:space="preserve"> Greater overall connectivity during passive viewing compared to directed attention. A) Group feature-specific averaged attentional modulation</w:t>
                      </w:r>
                      <w:r>
                        <w:rPr>
                          <w:rFonts w:ascii="Arial" w:hAnsi="Arial" w:cs="Arial"/>
                          <w:i w:val="0"/>
                          <w:color w:val="000000" w:themeColor="text1"/>
                          <w:sz w:val="24"/>
                          <w:szCs w:val="24"/>
                        </w:rPr>
                        <w:t xml:space="preserve"> </w:t>
                      </w:r>
                      <w:r w:rsidRPr="009D2FD7">
                        <w:rPr>
                          <w:rFonts w:ascii="Arial" w:hAnsi="Arial" w:cs="Arial"/>
                          <w:i w:val="0"/>
                          <w:color w:val="000000" w:themeColor="text1"/>
                          <w:sz w:val="24"/>
                          <w:szCs w:val="24"/>
                        </w:rPr>
                        <w:t xml:space="preserve">connectivity values, indicating significantly greater mean connectivity during passive viewing in the attentional tasks. B) Bootstrapped measures of distance between pairwise combinations of attentional focus conditions, for V1, V3A/B, hV4, LO-1, LO-2 and IPS0 ROIs. </w:t>
                      </w:r>
                      <w:r>
                        <w:rPr>
                          <w:rFonts w:ascii="Arial" w:hAnsi="Arial" w:cs="Arial"/>
                          <w:i w:val="0"/>
                          <w:color w:val="000000" w:themeColor="text1"/>
                          <w:sz w:val="24"/>
                          <w:szCs w:val="24"/>
                        </w:rPr>
                        <w:t xml:space="preserve">The figure demonstrates the percentage overlap between the distribution of RMSE scores across 10,000 iterations of randomly-selected samples of the observed data  and scrambled correlation ‘noise’ data for each ROI across multiple pairwise comparisons. </w:t>
                      </w:r>
                      <w:r w:rsidRPr="009D2FD7">
                        <w:rPr>
                          <w:rFonts w:ascii="Arial" w:hAnsi="Arial" w:cs="Arial"/>
                          <w:i w:val="0"/>
                          <w:color w:val="000000" w:themeColor="text1"/>
                          <w:sz w:val="24"/>
                          <w:szCs w:val="24"/>
                        </w:rPr>
                        <w:t>Significant</w:t>
                      </w:r>
                      <w:r>
                        <w:rPr>
                          <w:rFonts w:ascii="Arial" w:hAnsi="Arial" w:cs="Arial"/>
                          <w:i w:val="0"/>
                          <w:color w:val="000000" w:themeColor="text1"/>
                          <w:sz w:val="24"/>
                          <w:szCs w:val="24"/>
                        </w:rPr>
                        <w:t xml:space="preserve"> overlap (less than 5%) </w:t>
                      </w:r>
                      <w:r w:rsidRPr="009D2FD7">
                        <w:rPr>
                          <w:rFonts w:ascii="Arial" w:hAnsi="Arial" w:cs="Arial"/>
                          <w:i w:val="0"/>
                          <w:color w:val="000000" w:themeColor="text1"/>
                          <w:sz w:val="24"/>
                          <w:szCs w:val="24"/>
                        </w:rPr>
                        <w:t>between pairwise combinations of condition are indicated with asterisks.</w:t>
                      </w:r>
                      <w:bookmarkEnd w:id="766"/>
                      <w:bookmarkEnd w:id="767"/>
                    </w:p>
                    <w:p w14:paraId="59E4ED98" w14:textId="77777777" w:rsidR="00C93BE0" w:rsidRDefault="00C93BE0" w:rsidP="009F3085">
                      <w:pPr>
                        <w:jc w:val="center"/>
                      </w:pPr>
                    </w:p>
                    <w:p w14:paraId="3E7BCA2B" w14:textId="77777777" w:rsidR="00C93BE0" w:rsidRDefault="00C93BE0" w:rsidP="009F3085">
                      <w:pPr>
                        <w:jc w:val="center"/>
                      </w:pPr>
                    </w:p>
                  </w:txbxContent>
                </v:textbox>
                <w10:wrap type="tight"/>
              </v:shape>
            </w:pict>
          </mc:Fallback>
        </mc:AlternateContent>
      </w:r>
    </w:p>
    <w:p w14:paraId="730F9965" w14:textId="77777777" w:rsidR="006832FB" w:rsidRPr="00734436" w:rsidRDefault="006832FB" w:rsidP="001811CC">
      <w:pPr>
        <w:pStyle w:val="Heading4"/>
        <w:numPr>
          <w:ilvl w:val="3"/>
          <w:numId w:val="6"/>
        </w:numPr>
        <w:rPr>
          <w:rFonts w:ascii="Arial" w:hAnsi="Arial" w:cs="Arial"/>
          <w:color w:val="000000" w:themeColor="text1"/>
          <w:sz w:val="28"/>
          <w:szCs w:val="28"/>
        </w:rPr>
      </w:pPr>
      <w:bookmarkStart w:id="713" w:name="_Toc11148035"/>
      <w:bookmarkStart w:id="714" w:name="_Toc11153984"/>
      <w:bookmarkStart w:id="715" w:name="_Toc11930118"/>
      <w:bookmarkStart w:id="716" w:name="_Toc16075434"/>
      <w:r w:rsidRPr="00734436">
        <w:rPr>
          <w:rFonts w:ascii="Arial" w:hAnsi="Arial" w:cs="Arial"/>
          <w:color w:val="000000" w:themeColor="text1"/>
          <w:sz w:val="28"/>
          <w:szCs w:val="28"/>
        </w:rPr>
        <w:lastRenderedPageBreak/>
        <w:t>Colour</w:t>
      </w:r>
      <w:bookmarkEnd w:id="713"/>
      <w:bookmarkEnd w:id="714"/>
      <w:bookmarkEnd w:id="715"/>
      <w:bookmarkEnd w:id="716"/>
    </w:p>
    <w:p w14:paraId="387CA2EA" w14:textId="6E2A8D65" w:rsidR="006832FB" w:rsidRPr="00225AB0" w:rsidRDefault="006832FB" w:rsidP="006832FB">
      <w:pPr>
        <w:spacing w:line="480" w:lineRule="auto"/>
        <w:rPr>
          <w:rFonts w:ascii="Arial" w:hAnsi="Arial" w:cs="Arial"/>
        </w:rPr>
      </w:pPr>
      <w:r w:rsidRPr="00225AB0">
        <w:rPr>
          <w:rFonts w:ascii="Arial" w:hAnsi="Arial" w:cs="Arial"/>
        </w:rPr>
        <w:t xml:space="preserve">Finally, we repeated this connectivity analysis pipeline for the chromatic data subset. Firstly, we wished to investigate whether overall patterns of connectivity differ between chromatic attention and passive viewing conditions, as identified </w:t>
      </w:r>
      <w:r w:rsidR="00D44AC6">
        <w:rPr>
          <w:rFonts w:ascii="Arial" w:hAnsi="Arial" w:cs="Arial"/>
        </w:rPr>
        <w:t>in</w:t>
      </w:r>
      <w:r w:rsidRPr="00225AB0">
        <w:rPr>
          <w:rFonts w:ascii="Arial" w:hAnsi="Arial" w:cs="Arial"/>
        </w:rPr>
        <w:t xml:space="preserve"> the feature-specific analysis and </w:t>
      </w:r>
      <w:r w:rsidR="00D44AC6">
        <w:rPr>
          <w:rFonts w:ascii="Arial" w:hAnsi="Arial" w:cs="Arial"/>
        </w:rPr>
        <w:t>in</w:t>
      </w:r>
      <w:r w:rsidRPr="00225AB0">
        <w:rPr>
          <w:rFonts w:ascii="Arial" w:hAnsi="Arial" w:cs="Arial"/>
        </w:rPr>
        <w:t xml:space="preserve"> Chapter 4. We replicated the same process, performing non-parametric Kendall’s Tau correlations between univariate </w:t>
      </w:r>
      <w:proofErr w:type="spellStart"/>
      <w:r w:rsidRPr="00225AB0">
        <w:rPr>
          <w:rFonts w:ascii="Arial" w:hAnsi="Arial" w:cs="Arial"/>
        </w:rPr>
        <w:t>timecourses</w:t>
      </w:r>
      <w:proofErr w:type="spellEnd"/>
      <w:r w:rsidRPr="00225AB0">
        <w:rPr>
          <w:rFonts w:ascii="Arial" w:hAnsi="Arial" w:cs="Arial"/>
        </w:rPr>
        <w:t xml:space="preserve"> from each pairwise combination of visual ROIs for each chromatic attention conditions (see Figure</w:t>
      </w:r>
      <w:r w:rsidR="00034C2E">
        <w:rPr>
          <w:rFonts w:ascii="Arial" w:hAnsi="Arial" w:cs="Arial"/>
        </w:rPr>
        <w:t xml:space="preserve"> 5.7</w:t>
      </w:r>
      <w:r w:rsidRPr="00225AB0">
        <w:rPr>
          <w:rFonts w:ascii="Arial" w:hAnsi="Arial" w:cs="Arial"/>
        </w:rPr>
        <w:t xml:space="preserve">A). To assess the differences between these correlation matrices, we performed a </w:t>
      </w:r>
      <w:proofErr w:type="gramStart"/>
      <w:r w:rsidRPr="00225AB0">
        <w:rPr>
          <w:rFonts w:ascii="Arial" w:hAnsi="Arial" w:cs="Arial"/>
        </w:rPr>
        <w:t>one-way repeated measures</w:t>
      </w:r>
      <w:proofErr w:type="gramEnd"/>
      <w:r w:rsidRPr="00225AB0">
        <w:rPr>
          <w:rFonts w:ascii="Arial" w:hAnsi="Arial" w:cs="Arial"/>
        </w:rPr>
        <w:t xml:space="preserve"> ANOVA with Bonferroni-corrected post-hoc tests on these vectorised, normalised and Fisher-z transformed correlation coefficients. Here, we identified significant a main effect of attentional task condition on patterns of connectivity across visual ROIs (</w:t>
      </w:r>
      <w:proofErr w:type="gramStart"/>
      <w:r w:rsidRPr="00225AB0">
        <w:rPr>
          <w:rFonts w:ascii="Arial" w:hAnsi="Arial" w:cs="Arial"/>
        </w:rPr>
        <w:t>F(</w:t>
      </w:r>
      <w:proofErr w:type="gramEnd"/>
      <w:r w:rsidRPr="00225AB0">
        <w:rPr>
          <w:rFonts w:ascii="Arial" w:hAnsi="Arial" w:cs="Arial"/>
        </w:rPr>
        <w:t xml:space="preserve">5,70) = 62.19, </w:t>
      </w:r>
      <w:r w:rsidRPr="00225AB0">
        <w:rPr>
          <w:rFonts w:ascii="Arial" w:hAnsi="Arial" w:cs="Arial"/>
          <w:i/>
        </w:rPr>
        <w:t>p</w:t>
      </w:r>
      <w:r w:rsidRPr="00225AB0">
        <w:rPr>
          <w:rFonts w:ascii="Arial" w:hAnsi="Arial" w:cs="Arial"/>
        </w:rPr>
        <w:t xml:space="preserve"> &lt;.001). Bonferroni-corrected post-hoc tests revealed significantly greater positive connectivity during each chromatic passive condition in comparison with all directed attention conditions (p &lt; .001) (e.g. red-green passive versus red-green attention, blue-yellow attention and achromatic attention condition respectively).  </w:t>
      </w:r>
      <w:r w:rsidR="00503871">
        <w:rPr>
          <w:rFonts w:ascii="Arial" w:hAnsi="Arial" w:cs="Arial"/>
        </w:rPr>
        <w:t>We</w:t>
      </w:r>
      <w:r w:rsidR="00503871" w:rsidRPr="00225AB0">
        <w:rPr>
          <w:rFonts w:ascii="Arial" w:hAnsi="Arial" w:cs="Arial"/>
        </w:rPr>
        <w:t xml:space="preserve"> </w:t>
      </w:r>
      <w:r w:rsidRPr="00225AB0">
        <w:rPr>
          <w:rFonts w:ascii="Arial" w:hAnsi="Arial" w:cs="Arial"/>
        </w:rPr>
        <w:t>also identified a significantly greater negative correlation during attention to achromatic stimuli than red-green attention (</w:t>
      </w:r>
      <w:r w:rsidRPr="00225AB0">
        <w:rPr>
          <w:rFonts w:ascii="Arial" w:hAnsi="Arial" w:cs="Arial"/>
          <w:i/>
        </w:rPr>
        <w:t>p</w:t>
      </w:r>
      <w:r w:rsidRPr="00225AB0">
        <w:rPr>
          <w:rFonts w:ascii="Arial" w:hAnsi="Arial" w:cs="Arial"/>
        </w:rPr>
        <w:t xml:space="preserve"> = .043). </w:t>
      </w:r>
    </w:p>
    <w:p w14:paraId="2082C227" w14:textId="77777777" w:rsidR="006832FB" w:rsidRPr="00225AB0" w:rsidRDefault="006832FB" w:rsidP="006832FB">
      <w:pPr>
        <w:rPr>
          <w:rFonts w:ascii="Arial" w:hAnsi="Arial" w:cs="Arial"/>
        </w:rPr>
      </w:pPr>
    </w:p>
    <w:p w14:paraId="535F0F29" w14:textId="77777777" w:rsidR="00643362" w:rsidRDefault="006832FB" w:rsidP="009927A8">
      <w:pPr>
        <w:spacing w:line="480" w:lineRule="auto"/>
        <w:rPr>
          <w:rFonts w:ascii="Arial" w:hAnsi="Arial" w:cs="Arial"/>
        </w:rPr>
      </w:pPr>
      <w:r w:rsidRPr="00225AB0">
        <w:rPr>
          <w:rFonts w:ascii="Arial" w:hAnsi="Arial" w:cs="Arial"/>
        </w:rPr>
        <w:t xml:space="preserve">We also repeated the same partial correlation analysis as above, examining whether differences in connectivity fingerprint between attentional task condition were driven by a subset of regions of interest. We calculated the distance between pairwise comparisons of attentional task condition, for both observed and noise datasets, bootstrapped across 10,000 iterations. </w:t>
      </w:r>
    </w:p>
    <w:p w14:paraId="00D56C31" w14:textId="7D8AC64F" w:rsidR="00643362" w:rsidRDefault="00925460" w:rsidP="006832FB">
      <w:pPr>
        <w:rPr>
          <w:rFonts w:ascii="Arial" w:hAnsi="Arial" w:cs="Arial"/>
        </w:rPr>
      </w:pPr>
      <w:r w:rsidRPr="00225AB0">
        <w:rPr>
          <w:noProof/>
          <w:lang w:eastAsia="en-GB"/>
        </w:rPr>
        <w:lastRenderedPageBreak/>
        <mc:AlternateContent>
          <mc:Choice Requires="wps">
            <w:drawing>
              <wp:anchor distT="0" distB="0" distL="114300" distR="114300" simplePos="0" relativeHeight="251832320" behindDoc="1" locked="0" layoutInCell="1" allowOverlap="1" wp14:anchorId="4FE6C9FF" wp14:editId="63D380D7">
                <wp:simplePos x="0" y="0"/>
                <wp:positionH relativeFrom="column">
                  <wp:posOffset>-22860</wp:posOffset>
                </wp:positionH>
                <wp:positionV relativeFrom="paragraph">
                  <wp:posOffset>0</wp:posOffset>
                </wp:positionV>
                <wp:extent cx="5306060" cy="781812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5306060" cy="7818120"/>
                        </a:xfrm>
                        <a:prstGeom prst="rect">
                          <a:avLst/>
                        </a:prstGeom>
                        <a:noFill/>
                        <a:ln w="6350">
                          <a:noFill/>
                        </a:ln>
                      </wps:spPr>
                      <wps:txbx>
                        <w:txbxContent>
                          <w:p w14:paraId="7713EA9E" w14:textId="041FE713" w:rsidR="00C93BE0" w:rsidRDefault="00C93BE0" w:rsidP="00925460">
                            <w:pPr>
                              <w:keepNext/>
                              <w:jc w:val="center"/>
                            </w:pPr>
                            <w:r>
                              <w:rPr>
                                <w:noProof/>
                              </w:rPr>
                              <w:drawing>
                                <wp:inline distT="0" distB="0" distL="0" distR="0" wp14:anchorId="591A56DE" wp14:editId="740F7018">
                                  <wp:extent cx="5116830" cy="4464050"/>
                                  <wp:effectExtent l="0" t="0" r="127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igure5.7-colour_connectivity_matrix.png"/>
                                          <pic:cNvPicPr/>
                                        </pic:nvPicPr>
                                        <pic:blipFill>
                                          <a:blip r:embed="rId66">
                                            <a:extLst>
                                              <a:ext uri="{28A0092B-C50C-407E-A947-70E740481C1C}">
                                                <a14:useLocalDpi xmlns:a14="http://schemas.microsoft.com/office/drawing/2010/main" val="0"/>
                                              </a:ext>
                                            </a:extLst>
                                          </a:blip>
                                          <a:stretch>
                                            <a:fillRect/>
                                          </a:stretch>
                                        </pic:blipFill>
                                        <pic:spPr>
                                          <a:xfrm>
                                            <a:off x="0" y="0"/>
                                            <a:ext cx="5116830" cy="4464050"/>
                                          </a:xfrm>
                                          <a:prstGeom prst="rect">
                                            <a:avLst/>
                                          </a:prstGeom>
                                        </pic:spPr>
                                      </pic:pic>
                                    </a:graphicData>
                                  </a:graphic>
                                </wp:inline>
                              </w:drawing>
                            </w:r>
                          </w:p>
                          <w:p w14:paraId="521CB5AB" w14:textId="5B1ADEDA" w:rsidR="00C93BE0" w:rsidRDefault="00C93BE0" w:rsidP="00925460">
                            <w:pPr>
                              <w:pStyle w:val="Caption"/>
                              <w:spacing w:line="360" w:lineRule="auto"/>
                              <w:jc w:val="both"/>
                            </w:pPr>
                            <w:bookmarkStart w:id="717" w:name="_Toc12363360"/>
                            <w:bookmarkStart w:id="718" w:name="_Toc16242717"/>
                            <w:r w:rsidRPr="00034C2E">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7</w:t>
                            </w:r>
                            <w:r>
                              <w:rPr>
                                <w:rFonts w:ascii="Arial" w:hAnsi="Arial" w:cs="Arial"/>
                                <w:b/>
                                <w:i w:val="0"/>
                                <w:color w:val="000000" w:themeColor="text1"/>
                                <w:sz w:val="24"/>
                                <w:szCs w:val="24"/>
                              </w:rPr>
                              <w:fldChar w:fldCharType="end"/>
                            </w:r>
                            <w:r w:rsidRPr="00034C2E">
                              <w:rPr>
                                <w:rFonts w:ascii="Arial" w:hAnsi="Arial" w:cs="Arial"/>
                                <w:i w:val="0"/>
                                <w:color w:val="000000" w:themeColor="text1"/>
                                <w:sz w:val="24"/>
                                <w:szCs w:val="24"/>
                              </w:rPr>
                              <w:t xml:space="preserve"> Greater overall connectivity during passive viewing compared to directed attention in all stimulus chromaticity conditions. A) Group feature-specific averaged attentional modulation on connectivity values, indicating significantly greater mean connectivity during passive viewing in the attentional tasks. B)</w:t>
                            </w:r>
                            <w:bookmarkEnd w:id="717"/>
                            <w:r>
                              <w:rPr>
                                <w:rFonts w:ascii="Arial" w:hAnsi="Arial" w:cs="Arial"/>
                                <w:i w:val="0"/>
                                <w:color w:val="000000" w:themeColor="text1"/>
                                <w:sz w:val="24"/>
                                <w:szCs w:val="24"/>
                              </w:rPr>
                              <w:t xml:space="preserve"> </w:t>
                            </w:r>
                            <w:r w:rsidRPr="009D2FD7">
                              <w:rPr>
                                <w:rFonts w:ascii="Arial" w:hAnsi="Arial" w:cs="Arial"/>
                                <w:i w:val="0"/>
                                <w:color w:val="000000" w:themeColor="text1"/>
                                <w:sz w:val="24"/>
                                <w:szCs w:val="24"/>
                              </w:rPr>
                              <w:t xml:space="preserve">Bootstrapped measures of distance between pairwise combinations of attentional focus conditions, for V1, V3A/B, hV4, LO-1, LO-2 and IPS0 ROIs. </w:t>
                            </w:r>
                            <w:r>
                              <w:rPr>
                                <w:rFonts w:ascii="Arial" w:hAnsi="Arial" w:cs="Arial"/>
                                <w:i w:val="0"/>
                                <w:color w:val="000000" w:themeColor="text1"/>
                                <w:sz w:val="24"/>
                                <w:szCs w:val="24"/>
                              </w:rPr>
                              <w:t xml:space="preserve">The figure demonstrates the percentage overlap between the distribution of RMSE scores across 10,000 iterations of randomly-selected samples of the observed data and scrambled correlation ‘noise’ data, for each ROI across multiple pairwise comparisons. </w:t>
                            </w:r>
                            <w:r w:rsidRPr="009D2FD7">
                              <w:rPr>
                                <w:rFonts w:ascii="Arial" w:hAnsi="Arial" w:cs="Arial"/>
                                <w:i w:val="0"/>
                                <w:color w:val="000000" w:themeColor="text1"/>
                                <w:sz w:val="24"/>
                                <w:szCs w:val="24"/>
                              </w:rPr>
                              <w:t>Significant</w:t>
                            </w:r>
                            <w:r>
                              <w:rPr>
                                <w:rFonts w:ascii="Arial" w:hAnsi="Arial" w:cs="Arial"/>
                                <w:i w:val="0"/>
                                <w:color w:val="000000" w:themeColor="text1"/>
                                <w:sz w:val="24"/>
                                <w:szCs w:val="24"/>
                              </w:rPr>
                              <w:t xml:space="preserve"> overlap (less than 5%) </w:t>
                            </w:r>
                            <w:r w:rsidRPr="009D2FD7">
                              <w:rPr>
                                <w:rFonts w:ascii="Arial" w:hAnsi="Arial" w:cs="Arial"/>
                                <w:i w:val="0"/>
                                <w:color w:val="000000" w:themeColor="text1"/>
                                <w:sz w:val="24"/>
                                <w:szCs w:val="24"/>
                              </w:rPr>
                              <w:t>between pairwise combinations of condition are indicated with asterisks.</w:t>
                            </w:r>
                            <w:bookmarkEnd w:id="718"/>
                          </w:p>
                          <w:p w14:paraId="32724E25" w14:textId="77777777" w:rsidR="00C93BE0" w:rsidRDefault="00C93BE0" w:rsidP="009254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6C9FF" id="Text Box 27" o:spid="_x0000_s1060" type="#_x0000_t202" style="position:absolute;margin-left:-1.8pt;margin-top:0;width:417.8pt;height:615.6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" filled="f" stroked="f" strokeweight=".5pt">
                <v:textbox>
                  <w:txbxContent>
                    <w:p w14:paraId="7713EA9E" w14:textId="041FE713" w:rsidR="00C93BE0" w:rsidRDefault="00C93BE0" w:rsidP="00925460">
                      <w:pPr>
                        <w:keepNext/>
                        <w:jc w:val="center"/>
                      </w:pPr>
                      <w:r>
                        <w:rPr>
                          <w:noProof/>
                        </w:rPr>
                        <w:drawing>
                          <wp:inline distT="0" distB="0" distL="0" distR="0" wp14:anchorId="591A56DE" wp14:editId="740F7018">
                            <wp:extent cx="5116830" cy="4464050"/>
                            <wp:effectExtent l="0" t="0" r="127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igure5.7-colour_connectivity_matrix.png"/>
                                    <pic:cNvPicPr/>
                                  </pic:nvPicPr>
                                  <pic:blipFill>
                                    <a:blip r:embed="rId67">
                                      <a:extLst>
                                        <a:ext uri="{28A0092B-C50C-407E-A947-70E740481C1C}">
                                          <a14:useLocalDpi xmlns:a14="http://schemas.microsoft.com/office/drawing/2010/main" val="0"/>
                                        </a:ext>
                                      </a:extLst>
                                    </a:blip>
                                    <a:stretch>
                                      <a:fillRect/>
                                    </a:stretch>
                                  </pic:blipFill>
                                  <pic:spPr>
                                    <a:xfrm>
                                      <a:off x="0" y="0"/>
                                      <a:ext cx="5116830" cy="4464050"/>
                                    </a:xfrm>
                                    <a:prstGeom prst="rect">
                                      <a:avLst/>
                                    </a:prstGeom>
                                  </pic:spPr>
                                </pic:pic>
                              </a:graphicData>
                            </a:graphic>
                          </wp:inline>
                        </w:drawing>
                      </w:r>
                    </w:p>
                    <w:p w14:paraId="521CB5AB" w14:textId="5B1ADEDA" w:rsidR="00C93BE0" w:rsidRDefault="00C93BE0" w:rsidP="00925460">
                      <w:pPr>
                        <w:pStyle w:val="Caption"/>
                        <w:spacing w:line="360" w:lineRule="auto"/>
                        <w:jc w:val="both"/>
                      </w:pPr>
                      <w:bookmarkStart w:id="774" w:name="_Toc12363360"/>
                      <w:bookmarkStart w:id="775" w:name="_Toc16242717"/>
                      <w:r w:rsidRPr="00034C2E">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7</w:t>
                      </w:r>
                      <w:r>
                        <w:rPr>
                          <w:rFonts w:ascii="Arial" w:hAnsi="Arial" w:cs="Arial"/>
                          <w:b/>
                          <w:i w:val="0"/>
                          <w:color w:val="000000" w:themeColor="text1"/>
                          <w:sz w:val="24"/>
                          <w:szCs w:val="24"/>
                        </w:rPr>
                        <w:fldChar w:fldCharType="end"/>
                      </w:r>
                      <w:r w:rsidRPr="00034C2E">
                        <w:rPr>
                          <w:rFonts w:ascii="Arial" w:hAnsi="Arial" w:cs="Arial"/>
                          <w:i w:val="0"/>
                          <w:color w:val="000000" w:themeColor="text1"/>
                          <w:sz w:val="24"/>
                          <w:szCs w:val="24"/>
                        </w:rPr>
                        <w:t xml:space="preserve"> Greater overall connectivity during passive viewing compared to directed attention in all stimulus chromaticity conditions. A) Group feature-specific averaged attentional modulation on connectivity values, indicating significantly greater mean connectivity during passive viewing in the attentional tasks. B)</w:t>
                      </w:r>
                      <w:bookmarkEnd w:id="774"/>
                      <w:r>
                        <w:rPr>
                          <w:rFonts w:ascii="Arial" w:hAnsi="Arial" w:cs="Arial"/>
                          <w:i w:val="0"/>
                          <w:color w:val="000000" w:themeColor="text1"/>
                          <w:sz w:val="24"/>
                          <w:szCs w:val="24"/>
                        </w:rPr>
                        <w:t xml:space="preserve"> </w:t>
                      </w:r>
                      <w:r w:rsidRPr="009D2FD7">
                        <w:rPr>
                          <w:rFonts w:ascii="Arial" w:hAnsi="Arial" w:cs="Arial"/>
                          <w:i w:val="0"/>
                          <w:color w:val="000000" w:themeColor="text1"/>
                          <w:sz w:val="24"/>
                          <w:szCs w:val="24"/>
                        </w:rPr>
                        <w:t xml:space="preserve">Bootstrapped measures of distance between pairwise combinations of attentional focus conditions, for V1, V3A/B, hV4, LO-1, LO-2 and IPS0 ROIs. </w:t>
                      </w:r>
                      <w:r>
                        <w:rPr>
                          <w:rFonts w:ascii="Arial" w:hAnsi="Arial" w:cs="Arial"/>
                          <w:i w:val="0"/>
                          <w:color w:val="000000" w:themeColor="text1"/>
                          <w:sz w:val="24"/>
                          <w:szCs w:val="24"/>
                        </w:rPr>
                        <w:t xml:space="preserve">The figure demonstrates the percentage overlap between the distribution of RMSE scores across 10,000 iterations of randomly-selected samples of the observed data and scrambled correlation ‘noise’ data, for each ROI across multiple pairwise comparisons. </w:t>
                      </w:r>
                      <w:r w:rsidRPr="009D2FD7">
                        <w:rPr>
                          <w:rFonts w:ascii="Arial" w:hAnsi="Arial" w:cs="Arial"/>
                          <w:i w:val="0"/>
                          <w:color w:val="000000" w:themeColor="text1"/>
                          <w:sz w:val="24"/>
                          <w:szCs w:val="24"/>
                        </w:rPr>
                        <w:t>Significant</w:t>
                      </w:r>
                      <w:r>
                        <w:rPr>
                          <w:rFonts w:ascii="Arial" w:hAnsi="Arial" w:cs="Arial"/>
                          <w:i w:val="0"/>
                          <w:color w:val="000000" w:themeColor="text1"/>
                          <w:sz w:val="24"/>
                          <w:szCs w:val="24"/>
                        </w:rPr>
                        <w:t xml:space="preserve"> overlap (less than 5%) </w:t>
                      </w:r>
                      <w:r w:rsidRPr="009D2FD7">
                        <w:rPr>
                          <w:rFonts w:ascii="Arial" w:hAnsi="Arial" w:cs="Arial"/>
                          <w:i w:val="0"/>
                          <w:color w:val="000000" w:themeColor="text1"/>
                          <w:sz w:val="24"/>
                          <w:szCs w:val="24"/>
                        </w:rPr>
                        <w:t>between pairwise combinations of condition are indicated with asterisks.</w:t>
                      </w:r>
                      <w:bookmarkEnd w:id="775"/>
                    </w:p>
                    <w:p w14:paraId="32724E25" w14:textId="77777777" w:rsidR="00C93BE0" w:rsidRDefault="00C93BE0" w:rsidP="00925460"/>
                  </w:txbxContent>
                </v:textbox>
                <w10:wrap type="square"/>
              </v:shape>
            </w:pict>
          </mc:Fallback>
        </mc:AlternateContent>
      </w:r>
    </w:p>
    <w:p w14:paraId="16A4548B" w14:textId="717F463D" w:rsidR="00C22AB4" w:rsidRPr="00C22AB4" w:rsidRDefault="006832FB" w:rsidP="00C22AB4">
      <w:pPr>
        <w:spacing w:line="480" w:lineRule="auto"/>
        <w:rPr>
          <w:rFonts w:ascii="Arial" w:hAnsi="Arial" w:cs="Arial"/>
        </w:rPr>
      </w:pPr>
      <w:r w:rsidRPr="00C22AB4">
        <w:rPr>
          <w:rFonts w:ascii="Arial" w:hAnsi="Arial" w:cs="Arial"/>
        </w:rPr>
        <w:t xml:space="preserve">Across all visual ROI partial correlations examined, we identified significantly different patterns of connectivity between red-green attention and red-green passive viewing (V1: </w:t>
      </w:r>
      <w:r w:rsidRPr="00C22AB4">
        <w:rPr>
          <w:rFonts w:ascii="Arial" w:hAnsi="Arial" w:cs="Arial"/>
          <w:i/>
        </w:rPr>
        <w:t xml:space="preserve">p </w:t>
      </w:r>
      <w:r w:rsidR="00FA740D">
        <w:rPr>
          <w:rFonts w:ascii="Arial" w:hAnsi="Arial" w:cs="Arial"/>
        </w:rPr>
        <w:t>&lt;</w:t>
      </w:r>
      <w:r w:rsidRPr="00C22AB4">
        <w:rPr>
          <w:rFonts w:ascii="Arial" w:hAnsi="Arial" w:cs="Arial"/>
        </w:rPr>
        <w:t xml:space="preserve">.001, V3A/B: </w:t>
      </w:r>
      <w:r w:rsidRPr="00C22AB4">
        <w:rPr>
          <w:rFonts w:ascii="Arial" w:hAnsi="Arial" w:cs="Arial"/>
          <w:i/>
        </w:rPr>
        <w:t xml:space="preserve">p </w:t>
      </w:r>
      <w:r w:rsidRPr="00C22AB4">
        <w:rPr>
          <w:rFonts w:ascii="Arial" w:hAnsi="Arial" w:cs="Arial"/>
        </w:rPr>
        <w:t xml:space="preserve">&lt;.001, hV4: </w:t>
      </w:r>
      <w:r w:rsidRPr="00C22AB4">
        <w:rPr>
          <w:rFonts w:ascii="Arial" w:hAnsi="Arial" w:cs="Arial"/>
          <w:i/>
        </w:rPr>
        <w:t xml:space="preserve">p </w:t>
      </w:r>
      <w:r w:rsidRPr="00C22AB4">
        <w:rPr>
          <w:rFonts w:ascii="Arial" w:hAnsi="Arial" w:cs="Arial"/>
        </w:rPr>
        <w:t xml:space="preserve">&lt;.001, LO-1: </w:t>
      </w:r>
      <w:r w:rsidRPr="00C22AB4">
        <w:rPr>
          <w:rFonts w:ascii="Arial" w:hAnsi="Arial" w:cs="Arial"/>
          <w:i/>
        </w:rPr>
        <w:t xml:space="preserve">p </w:t>
      </w:r>
      <w:r w:rsidRPr="00C22AB4">
        <w:rPr>
          <w:rFonts w:ascii="Arial" w:hAnsi="Arial" w:cs="Arial"/>
        </w:rPr>
        <w:t xml:space="preserve">&lt;.001, </w:t>
      </w:r>
      <w:r w:rsidRPr="00C22AB4">
        <w:rPr>
          <w:rFonts w:ascii="Arial" w:hAnsi="Arial" w:cs="Arial"/>
        </w:rPr>
        <w:lastRenderedPageBreak/>
        <w:t xml:space="preserve">LO-2: </w:t>
      </w:r>
      <w:r w:rsidRPr="00C22AB4">
        <w:rPr>
          <w:rFonts w:ascii="Arial" w:hAnsi="Arial" w:cs="Arial"/>
          <w:i/>
        </w:rPr>
        <w:t xml:space="preserve">p </w:t>
      </w:r>
      <w:r w:rsidRPr="00C22AB4">
        <w:rPr>
          <w:rFonts w:ascii="Arial" w:hAnsi="Arial" w:cs="Arial"/>
        </w:rPr>
        <w:t xml:space="preserve">&lt;.001, IPS0: </w:t>
      </w:r>
      <w:r w:rsidRPr="00C22AB4">
        <w:rPr>
          <w:rFonts w:ascii="Arial" w:hAnsi="Arial" w:cs="Arial"/>
          <w:i/>
        </w:rPr>
        <w:t xml:space="preserve">p </w:t>
      </w:r>
      <w:r w:rsidRPr="00C22AB4">
        <w:rPr>
          <w:rFonts w:ascii="Arial" w:hAnsi="Arial" w:cs="Arial"/>
        </w:rPr>
        <w:t xml:space="preserve">&lt;.001). We also identify significant differences between blue-yellow attention and blue-yellow passive viewing (all </w:t>
      </w:r>
      <w:r w:rsidRPr="00C22AB4">
        <w:rPr>
          <w:rFonts w:ascii="Arial" w:hAnsi="Arial" w:cs="Arial"/>
          <w:i/>
        </w:rPr>
        <w:t>p</w:t>
      </w:r>
      <w:r w:rsidRPr="00C22AB4">
        <w:rPr>
          <w:rFonts w:ascii="Arial" w:hAnsi="Arial" w:cs="Arial"/>
        </w:rPr>
        <w:t xml:space="preserve"> &lt;.001), and between achromatic attention and achromatic passive viewing conditions (all </w:t>
      </w:r>
      <w:r w:rsidRPr="00C22AB4">
        <w:rPr>
          <w:rFonts w:ascii="Arial" w:hAnsi="Arial" w:cs="Arial"/>
          <w:i/>
        </w:rPr>
        <w:t>p</w:t>
      </w:r>
      <w:r w:rsidRPr="00C22AB4">
        <w:rPr>
          <w:rFonts w:ascii="Arial" w:hAnsi="Arial" w:cs="Arial"/>
        </w:rPr>
        <w:t xml:space="preserve"> &lt;.001)</w:t>
      </w:r>
      <w:bookmarkStart w:id="719" w:name="_Toc11148036"/>
      <w:bookmarkStart w:id="720" w:name="_Toc11153985"/>
      <w:r w:rsidR="00034C2E">
        <w:rPr>
          <w:rFonts w:ascii="Arial" w:hAnsi="Arial" w:cs="Arial"/>
        </w:rPr>
        <w:t xml:space="preserve"> (see Figure 5.7B). </w:t>
      </w:r>
    </w:p>
    <w:p w14:paraId="394C0993" w14:textId="77777777" w:rsidR="00734436" w:rsidRDefault="00734436" w:rsidP="00C22AB4"/>
    <w:p w14:paraId="351830C5" w14:textId="77777777" w:rsidR="006832FB" w:rsidRPr="00C22AB4" w:rsidRDefault="006832FB" w:rsidP="001811CC">
      <w:pPr>
        <w:pStyle w:val="Heading2"/>
        <w:numPr>
          <w:ilvl w:val="1"/>
          <w:numId w:val="6"/>
        </w:numPr>
        <w:rPr>
          <w:rFonts w:ascii="Arial" w:hAnsi="Arial" w:cs="Arial"/>
          <w:b/>
          <w:color w:val="000000" w:themeColor="text1"/>
          <w:sz w:val="28"/>
          <w:szCs w:val="28"/>
        </w:rPr>
      </w:pPr>
      <w:bookmarkStart w:id="721" w:name="_Toc11753670"/>
      <w:bookmarkStart w:id="722" w:name="_Toc11926856"/>
      <w:bookmarkStart w:id="723" w:name="_Toc11930119"/>
      <w:bookmarkStart w:id="724" w:name="_Toc16075435"/>
      <w:bookmarkStart w:id="725" w:name="_Toc16237028"/>
      <w:r w:rsidRPr="00C22AB4">
        <w:rPr>
          <w:rFonts w:ascii="Arial" w:hAnsi="Arial" w:cs="Arial"/>
          <w:b/>
          <w:color w:val="000000" w:themeColor="text1"/>
          <w:sz w:val="28"/>
          <w:szCs w:val="28"/>
        </w:rPr>
        <w:t>Discussion</w:t>
      </w:r>
      <w:bookmarkEnd w:id="719"/>
      <w:bookmarkEnd w:id="720"/>
      <w:bookmarkEnd w:id="721"/>
      <w:bookmarkEnd w:id="722"/>
      <w:bookmarkEnd w:id="723"/>
      <w:bookmarkEnd w:id="724"/>
      <w:bookmarkEnd w:id="725"/>
    </w:p>
    <w:p w14:paraId="7C13C7FC" w14:textId="77777777" w:rsidR="00734436" w:rsidRPr="00734436" w:rsidRDefault="00734436" w:rsidP="00734436"/>
    <w:p w14:paraId="1DEC0742" w14:textId="050EFA18" w:rsidR="006832FB" w:rsidRDefault="006832FB" w:rsidP="006832FB">
      <w:pPr>
        <w:spacing w:line="480" w:lineRule="auto"/>
        <w:rPr>
          <w:rFonts w:ascii="Arial" w:hAnsi="Arial" w:cs="Arial"/>
        </w:rPr>
      </w:pPr>
      <w:r w:rsidRPr="00225AB0">
        <w:rPr>
          <w:rFonts w:ascii="Arial" w:hAnsi="Arial" w:cs="Arial"/>
        </w:rPr>
        <w:t xml:space="preserve">Here, we demonstrate clear evidence that the human visual cortex alters both </w:t>
      </w:r>
      <w:r w:rsidRPr="00225AB0">
        <w:rPr>
          <w:rFonts w:ascii="Arial" w:hAnsi="Arial" w:cs="Arial"/>
          <w:i/>
        </w:rPr>
        <w:t>within-</w:t>
      </w:r>
      <w:r w:rsidRPr="00225AB0">
        <w:rPr>
          <w:rFonts w:ascii="Arial" w:hAnsi="Arial" w:cs="Arial"/>
        </w:rPr>
        <w:t xml:space="preserve">area and </w:t>
      </w:r>
      <w:r w:rsidRPr="00225AB0">
        <w:rPr>
          <w:rFonts w:ascii="Arial" w:hAnsi="Arial" w:cs="Arial"/>
          <w:i/>
        </w:rPr>
        <w:t>between-</w:t>
      </w:r>
      <w:r w:rsidRPr="00225AB0">
        <w:rPr>
          <w:rFonts w:ascii="Arial" w:hAnsi="Arial" w:cs="Arial"/>
        </w:rPr>
        <w:t xml:space="preserve">area activity as a function of attentional task (both when attending to low-level visual feature and to stimulus chromaticity). In support of our previous findings (see Chapter 4) at the univariate level, we identify no differences in bottom-up stimulus-driven BOLD signal modulation in response to small changes in the visual stimulus. Additionally, in support of recent literature </w:t>
      </w:r>
      <w:r w:rsidRPr="00225AB0">
        <w:rPr>
          <w:rFonts w:ascii="Arial" w:hAnsi="Arial" w:cs="Arial"/>
        </w:rPr>
        <w:fldChar w:fldCharType="begin"/>
      </w:r>
      <w:r w:rsidR="00995B3D">
        <w:rPr>
          <w:rFonts w:ascii="Arial" w:hAnsi="Arial" w:cs="Arial"/>
        </w:rPr>
        <w:instrText xml:space="preserve"> ADDIN ZOTERO_ITEM CSL_CITATION {"citationID":"ubmEUJiw","properties":{"formattedCitation":"(Brouwer &amp; Heeger, 2009; K. Seymour et al., 2009, 2010; Song et al., 2011; Sumner et al., 2008; Xing et al., 2013)","plainCitation":"(Brouwer &amp; Heeger, 2009; K. Seymour et al., 2009, 2010; Song et al., 2011; Sumner et al., 2008; Xing et al., 2013)","noteIndex":0},"citationItems":[{"id":275,"uris":["http://zotero.org/groups/318634/items/QTDSBB45"],"uri":["http://zotero.org/groups/318634/items/QTDSBB45"],"itemData":{"id":275,"type":"article-journal","title":"Decoding and reconstructing color from responses in human visual cortex","container-title":"The Journal of Neuroscience: The Official Journal of the Society for Neuroscience","page":"13992-14003","volume":"29","issue":"44","source":"PubMed","abstract":"How is color represented by spatially distributed patterns of activity in visual cortex? Functional magnetic resonance imaging responses to several stimulus colors were analyzed with multivariate techniques: conventional pattern classification, a forward model of idealized color tuning, and principal component analysis (PCA). Stimulus color was accurately decoded from activity in V1, V2, V3, V4, and VO1 but not LO1, LO2, V3A/B, or MT+. The conventional classifier and forward model yielded similar accuracies, but the forward model (unlike the classifier) also reliably reconstructed novel stimulus colors not used to train (specify parameters of) the model. The mean responses, averaged across voxels in each visual area, were not reliably distinguishable for the different stimulus colors. Hence, each stimulus color was associated with a unique spatially distributed pattern of activity, presumably reflecting the color selectivity of cortical neurons. Using PCA, a color space was derived from the covariation, across voxels, in the responses to different colors. In V4 and VO1, the first two principal component scores (main source of variation) of the responses revealed a progression through perceptual color space, with perceptually similar colors evoking the most similar responses. This was not the case for any of the other visual cortical areas, including V1, although decoding was most accurate in V1. This dissociation implies a transformation from the color representation in V1 to reflect perceptual color space in V4 and VO1.","DOI":"10.1523/JNEUROSCI.3577-09.2009","ISSN":"1529-2401","note":"PMID: 19890009\nPMCID: PMC2799419","journalAbbreviation":"J. Neurosci.","language":"eng","author":[{"family":"Brouwer","given":"Gijs Joost"},{"family":"Heeger","given":"David J."}],"issued":{"date-parts":[["2009",11,4]]}}},{"id":48,"uris":["http://zotero.org/groups/318634/items/J687G4R4"],"uri":["http://zotero.org/groups/318634/items/J687G4R4"],"itemData":{"id":48,"type":"article-journal","title":"The coding of color, motion, and their conjunction in the human visual cortex","container-title":"Current biology: CB","page":"177-183","volume":"19","issue":"3","source":"PubMed","abstract":"BACKGROUND: Color and motion serve as the prime examples of segregated processing in the visual brain, giving rise to the question how color-motion conjunctions are represented. This problem is also known as the \"binding problem.\"\nRESULTS: Human volunteers viewed visual displays containing colored dots rotating around the center. The dots could be red or green and rotate clockwise or counterclockwise, leading to four possible stimulus displays. Superimposed pairs of such stimuli provided two additional displays, each containing both colors and both directions of motion but differing in their feature conjunctions. We applied multivariate classifiers to voxel-activation patterns obtained while subjects viewed such displays. Our analyses confirm the presence of directional-motion information across visual cortex and provide evidence of hue coding in all early visual areas except V5/MT(+). Within each cortical area, information on color and motion appeared to be coded in distinct sets of voxels. Furthermore, our results demonstrate the explicit representation of feature conjunctions in the primary visual cortex and beyond.\nCONCLUSIONS: The results show that conjunctions can be decoded from spatial activation patterns already in V1, indicating an explicit coding of conjunctions at early stages of visual processing. Our findings raise the possibility that the solution of what has been taken as the prime example of the binding problem engages neural mechanisms as early as V1.","DOI":"10.1016/j.cub.2008.12.050","ISSN":"1879-0445","note":"PMID: 19185496","journalAbbreviation":"Curr. Biol.","language":"eng","author":[{"family":"Seymour","given":"Kiley"},{"family":"Clifford","given":"Colin W. G."},{"family":"Logothetis","given":"Nikos K."},{"family":"Bartels","given":"Andreas"}],"issued":{"date-parts":[["2009",2,10]]}}},{"id":230,"uris":["http://zotero.org/groups/318634/items/JVCLYXC6"],"uri":["http://zotero.org/groups/318634/items/JVCLYXC6"],"itemData":{"id":230,"type":"article-journal","title":"Coding and binding of color and form in visual cortex","container-title":"Cerebral Cortex (New York, N.Y.: 1991)","page":"1946-1954","volume":"20","issue":"8","source":"PubMed","abstract":"The processing of color and form is largely segregated within the visual brain. But there is also evidence to suggest that these features are coded in combination early in visual processing. Here, we combined high-resolution functional magnetic resonance imaging (fMRI) together with multivariate pattern classification to examine where in the visual cortex specific color form \"conjunctions\" are represented. Human subjects viewed visual displays containing colored spiral patterns. The spiral patterns could be red or green, and oriented either clockwise or counterclockwise, leading to 4 possible stimulus configurations. Two additional displays combined 2 of the above single color-form pairings, leading to double conjunctions. We applied linear classifiers to voxel activation patterns obtained while subjects viewed such displays. Our findings not only show that color and form information is coded across retinotopically defined visual areas, but also that the 2 double-conjunction stimuli can be distinguished. The voxels most informative about conjunctions were distinct from those most informative about color or form alone. Our results indicate that conjunctions of form and color may be coded by separate functional units as early as primary visual cortex. The results of this study have implications for theories concerning the segregation and binding of color and form information.","DOI":"10.1093/cercor/bhp265","ISSN":"1460-2199","note":"PMID: 20019147","journalAbbreviation":"Cereb. Cortex","language":"eng","author":[{"family":"Seymour","given":"Kiley"},{"family":"Clifford","given":"Colin W. G."},{"family":"Logothetis","given":"Nikos K."},{"family":"Bartels","given":"Andreas"}],"issued":{"date-parts":[["2010",8]]}}},{"id":216,"uris":["http://zotero.org/groups/318634/items/ET7SY4ZM"],"uri":["http://zotero.org/groups/318634/items/ET7SY4ZM"],"itemData":{"id":216,"type":"article-journal","title":"Attentional Modulation of fMRI Responses in Human V1 Is Consistent with Distinct Spatial Maps for Chromatically Defined Orientation and Contrast","container-title":"Journal of Neuroscience","page":"12900-12905","volume":"31","issue":"36","source":"www.jneurosci.org","abstract":"Attending to different stimulus features such as contrast or orientation can change the pattern of neural responses in human V1 measured with fMRI. We show that these pattern changes are much more distinct for colored stimuli than for achromatic stimuli. This is evidence for a classic model of V1 functional architecture in which chromatic contrast and orientation are coded in spatially distinct neural domains, while achromatic contrast and orientation are not.","DOI":"10.1523/JNEUROSCI.0580-11.2011","ISSN":"0270-6474, 1529-2401","note":"PMID: 21900568","journalAbbreviation":"J. Neurosci.","language":"en","author":[{"family":"Song","given":"Joo-Hyun"},{"family":"Rowland","given":"Jess"},{"family":"McPeek","given":"Robert M."},{"family":"Wade","given":"Alex R."}],"issued":{"date-parts":[["2011",9,7]]}}},{"id":56,"uris":["http://zotero.org/groups/318634/items/LRFY4LYQ"],"uri":["http://zotero.org/groups/318634/items/LRFY4LYQ"],"itemData":{"id":56,"type":"article-journal","title":"Combined orientation and colour information in human V1 for both L-M and S-cone chromatic axes","container-title":"NeuroImage","page":"814-824","volume":"39","issue":"2","source":"PubMed","abstract":"Although it is widely held that colour and form are processed separately in early visual cortex, there is growing evidence that primary visual cortex (V1) may show some joint selectivity for orientation and colour. Colour is supplied to V1 via two very different pathways: the parvocellular pathway (which also supports detailed form processing) carries L-M (\"red-green\") chromatic information, while a koniocellular pathway carries S-cone (\"lilac-yellow\") information. Therefore on entering V1, S-cone information is segregated from the pathways carrying form information, while L-M information is not. Whether signals from neuronal populations in human V1 reflect combined orientation and S-cone information has not been systematically addressed. We used fMRI in combination with a multivariate data analysis technique to investigate whether BOLD signals recorded from V1 contain information that could directly discriminate between orientations based on different types of chromatic information. We found selectivity in V1 for L-M and luminance-defined orientation signals, and most interestingly, also for S-cone defined orientation. We also found similarly successful orientation discrimination for both colour dimensions in V2 and V3. These results imply that a proportion of cells throughout human visual cortex show joint sensitivity to both colour and orientation. We discuss also the potential role of feedback to V1 from higher visual areas.","DOI":"10.1016/j.neuroimage.2007.09.013","ISSN":"1053-8119","note":"PMID: 17964188","journalAbbreviation":"Neuroimage","language":"eng","author":[{"family":"Sumner","given":"Petroc"},{"family":"Anderson","given":"Elaine J."},{"family":"Sylvester","given":"Richard"},{"family":"Haynes","given":"John-Dylan"},{"family":"Rees","given":"Geraint"}],"issued":{"date-parts":[["2008",1,15]]}}},{"id":542,"uris":["http://zotero.org/groups/318634/items/VZ6TJRYJ"],"uri":["http://zotero.org/groups/318634/items/VZ6TJRYJ"],"itemData":{"id":542,"type":"article-journal","title":"Decoding working memory of stimulus contrast in early visual cortex","container-title":"The Journal of Neuroscience: The Official Journal of the Society for Neuroscience","page":"10301-10311","volume":"33","issue":"25","source":"PubMed","abstract":"Most studies of the early stages of visual analysis (V1-V3) have focused on the properties of neurons that support processing of elemental features of a visual stimulus or scene, such as local contrast, orientation, or direction of motion. Recent evidence from electrophysiology and neuroimaging studies, however, suggests that early visual cortex may also play a role in retaining stimulus representations in memory for short periods. For example, fMRI responses obtained during the delay period between two presentations of an oriented visual stimulus can be used to decode the remembered stimulus orientation with multivariate pattern analysis. Here, we investigated whether orientation is a special case or if this phenomenon generalizes to working memory traces of other visual features. We found that multivariate classification of fMRI signals from human visual cortex could be used to decode the contrast of a perceived stimulus even when the mean response changes were accounted for, suggesting some consistent spatial signal for contrast in these areas. Strikingly, we found that fMRI responses also supported decoding of contrast when the stimulus had to be remembered. Furthermore, classification generalized from perceived to remembered stimuli and vice versa, implying that the corresponding pattern of responses in early visual cortex were highly consistent. In additional analyses, we show that stimulus decoding here is driven by biases depending on stimulus eccentricity. This places important constraints on the interpretation for decoding stimulus properties for which cortical processing is known to vary with eccentricity, such as contrast, color, spatial frequency, and temporal frequency.","DOI":"10.1523/JNEUROSCI.3754-12.2013","ISSN":"1529-2401","note":"PMID: 23785144\nPMCID: PMC3722490","journalAbbreviation":"J. Neurosci.","language":"eng","author":[{"family":"Xing","given":"Yue"},{"family":"Ledgeway","given":"Tim"},{"family":"McGraw","given":"Paul V."},{"family":"Schluppeck","given":"Denis"}],"issued":{"date-parts":[["2013",6,19]]}}}],"schema":"https://github.com/citation-style-language/schema/raw/master/csl-citation.json"} </w:instrText>
      </w:r>
      <w:r w:rsidRPr="00225AB0">
        <w:rPr>
          <w:rFonts w:ascii="Arial" w:hAnsi="Arial" w:cs="Arial"/>
        </w:rPr>
        <w:fldChar w:fldCharType="separate"/>
      </w:r>
      <w:r w:rsidR="00995B3D">
        <w:rPr>
          <w:rFonts w:ascii="Arial" w:hAnsi="Arial" w:cs="Arial"/>
          <w:noProof/>
        </w:rPr>
        <w:t>(Brouwer &amp; Heeger, 2009; Seymour et al., 2009, 2010; Song et al., 2011; Sumner et al., 2008; Xing et al., 2013)</w:t>
      </w:r>
      <w:r w:rsidRPr="00225AB0">
        <w:rPr>
          <w:rFonts w:ascii="Arial" w:hAnsi="Arial" w:cs="Arial"/>
        </w:rPr>
        <w:fldChar w:fldCharType="end"/>
      </w:r>
      <w:r w:rsidRPr="00225AB0">
        <w:rPr>
          <w:rFonts w:ascii="Arial" w:hAnsi="Arial" w:cs="Arial"/>
        </w:rPr>
        <w:t xml:space="preserve"> we identity relatively little clear evidence of differential univariate BOLD signal modulation as a function of task. </w:t>
      </w:r>
    </w:p>
    <w:p w14:paraId="413DF440" w14:textId="77777777" w:rsidR="00995B3D" w:rsidRPr="00225AB0" w:rsidRDefault="00995B3D" w:rsidP="006832FB">
      <w:pPr>
        <w:spacing w:line="480" w:lineRule="auto"/>
        <w:rPr>
          <w:rFonts w:ascii="Arial" w:hAnsi="Arial" w:cs="Arial"/>
        </w:rPr>
      </w:pPr>
    </w:p>
    <w:p w14:paraId="48D1646E" w14:textId="0EC27D9A" w:rsidR="006832FB" w:rsidRPr="00225AB0" w:rsidRDefault="006832FB" w:rsidP="006832FB">
      <w:pPr>
        <w:spacing w:line="480" w:lineRule="auto"/>
        <w:rPr>
          <w:rFonts w:ascii="Arial" w:hAnsi="Arial" w:cs="Arial"/>
        </w:rPr>
      </w:pPr>
      <w:r w:rsidRPr="00225AB0">
        <w:rPr>
          <w:rFonts w:ascii="Arial" w:hAnsi="Arial" w:cs="Arial"/>
        </w:rPr>
        <w:t xml:space="preserve">In the feature-based analysis, hV4 demonstrates a significantly reduced signal modulation when attending to orientation, which may be reflective of the fact that </w:t>
      </w:r>
      <w:r w:rsidR="009B08FB">
        <w:rPr>
          <w:rFonts w:ascii="Arial" w:hAnsi="Arial" w:cs="Arial"/>
        </w:rPr>
        <w:t>hV</w:t>
      </w:r>
      <w:r w:rsidRPr="00225AB0">
        <w:rPr>
          <w:rFonts w:ascii="Arial" w:hAnsi="Arial" w:cs="Arial"/>
        </w:rPr>
        <w:t xml:space="preserve">4 has been reported to contain a reduced percentage of orientation-selective neurons in comparison with early visual ROIs (V1, V2 and V3) </w:t>
      </w:r>
      <w:r w:rsidRPr="00225AB0">
        <w:rPr>
          <w:rFonts w:ascii="Arial" w:hAnsi="Arial" w:cs="Arial"/>
        </w:rPr>
        <w:fldChar w:fldCharType="begin"/>
      </w:r>
      <w:r w:rsidR="005B4361">
        <w:rPr>
          <w:rFonts w:ascii="Arial" w:hAnsi="Arial" w:cs="Arial"/>
        </w:rPr>
        <w:instrText xml:space="preserve"> ADDIN ZOTERO_ITEM CSL_CITATION {"citationID":"5kQ2Zlxu","properties":{"formattedCitation":"(S. M. Zeki, 1978)","plainCitation":"(S. M. Zeki, 1978)","dontUpdate":true,"noteIndex":0},"citationItems":[{"id":7,"uris":["http://zotero.org/groups/318634/items/YU49F2TE"],"uri":["http://zotero.org/groups/318634/items/YU49F2TE"],"itemData":{"id":7,"type":"article-journal","title":"Functional specialisation in the visual cortex of the rhesus monkey","container-title":"Nature","page":"423-428","volume":"274","issue":"5670","source":"PubMed","abstract":"Anatomical and functional studies of the visual cortex of the rhesus monkey have shown that it is made up of a multiplicity of distinct areas. These seem to be functionally specialised to analyse different features of the visual environment.","ISSN":"0028-0836","note":"PMID: 97565","journalAbbreviation":"Nature","language":"eng","author":[{"family":"Zeki","given":"S. M."}],"issued":{"date-parts":[["1978",8,3]]}}}],"schema":"https://github.com/citation-style-language/schema/raw/master/csl-citation.json"}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(Zeki, 1978)</w:t>
      </w:r>
      <w:r w:rsidRPr="00225AB0">
        <w:rPr>
          <w:rFonts w:ascii="Arial" w:hAnsi="Arial" w:cs="Arial"/>
        </w:rPr>
        <w:fldChar w:fldCharType="end"/>
      </w:r>
      <w:r w:rsidRPr="00225AB0">
        <w:rPr>
          <w:rFonts w:ascii="Arial" w:hAnsi="Arial" w:cs="Arial"/>
        </w:rPr>
        <w:t xml:space="preserve">.  LO-2 analysis also identified a significantly greater BOLD signal modulation when attending to shape, partially fitting with the suggestion of </w:t>
      </w:r>
      <w:r w:rsidRPr="00225AB0">
        <w:rPr>
          <w:rFonts w:ascii="Arial" w:hAnsi="Arial" w:cs="Arial"/>
        </w:rPr>
        <w:fldChar w:fldCharType="begin"/>
      </w:r>
      <w:r w:rsidR="005B4361">
        <w:rPr>
          <w:rFonts w:ascii="Arial" w:hAnsi="Arial" w:cs="Arial"/>
        </w:rPr>
        <w:instrText xml:space="preserve"> ADDIN ZOTERO_ITEM CSL_CITATION {"citationID":"sYk3q70U","properties":{"formattedCitation":"(Silson et al., 2013)","plainCitation":"(Silson et al., 2013)","dontUpdate":true,"noteIndex":0},"citationItems":[{"id":229,"uris":["http://zotero.org/groups/318634/items/W2MJSXD2"],"uri":["http://zotero.org/groups/318634/items/W2MJSXD2"],"itemData":{"id":229,"type":"article-journal","title":"Specialized and independent processing of orientation and shape in visual field maps LO1 and LO2","container-title":"Nature Neuroscience","page":"267","volume":"16","issue":"3","source":"Google Scholar","author":[{"family":"Silson","given":"Edward H."},{"family":"McKeefry","given":"Declan J."},{"family":"Rodgers","given":"Jessica"},{"family":"Gouws","given":"Andre D."},{"family":"Hymers","given":"Mark"},{"family":"Morland","given":"Antony B."}],"issued":{"date-parts":[["2013"]]}}}],"schema":"https://github.com/citation-style-language/schema/raw/master/csl-citation.json"} </w:instrText>
      </w:r>
      <w:r w:rsidRPr="00225AB0">
        <w:rPr>
          <w:rFonts w:ascii="Arial" w:hAnsi="Arial" w:cs="Arial"/>
        </w:rPr>
        <w:fldChar w:fldCharType="separate"/>
      </w:r>
      <w:r w:rsidRPr="00225AB0">
        <w:rPr>
          <w:rFonts w:ascii="Arial" w:hAnsi="Arial" w:cs="Arial"/>
          <w:noProof/>
        </w:rPr>
        <w:t>Silson et al., (2013)</w:t>
      </w:r>
      <w:r w:rsidRPr="00225AB0">
        <w:rPr>
          <w:rFonts w:ascii="Arial" w:hAnsi="Arial" w:cs="Arial"/>
        </w:rPr>
        <w:fldChar w:fldCharType="end"/>
      </w:r>
      <w:r w:rsidRPr="00225AB0">
        <w:rPr>
          <w:rFonts w:ascii="Arial" w:hAnsi="Arial" w:cs="Arial"/>
        </w:rPr>
        <w:t xml:space="preserve"> regarding LO-2 as a specialised shape-processing area. </w:t>
      </w:r>
    </w:p>
    <w:p w14:paraId="24069AF8" w14:textId="2A9D1820" w:rsidR="006832FB" w:rsidRPr="00225AB0" w:rsidRDefault="006832FB" w:rsidP="006832FB">
      <w:pPr>
        <w:spacing w:line="480" w:lineRule="auto"/>
        <w:rPr>
          <w:rFonts w:ascii="Arial" w:hAnsi="Arial" w:cs="Arial"/>
        </w:rPr>
      </w:pPr>
      <w:r w:rsidRPr="00225AB0">
        <w:rPr>
          <w:rFonts w:ascii="Arial" w:hAnsi="Arial" w:cs="Arial"/>
        </w:rPr>
        <w:lastRenderedPageBreak/>
        <w:t xml:space="preserve">In the chromatic analysis, we identify significantly reduced BOLD signal modulation during attention to S-cone defined blue-yellow stimuli than red-green in all visual ROIs examined. This weaker response during attention to S-cone defined stimuli is in fitting with previous research such as </w:t>
      </w:r>
      <w:r w:rsidRPr="00225AB0">
        <w:rPr>
          <w:rFonts w:ascii="Arial" w:hAnsi="Arial" w:cs="Arial"/>
        </w:rPr>
        <w:fldChar w:fldCharType="begin"/>
      </w:r>
      <w:r w:rsidR="005B4361">
        <w:rPr>
          <w:rFonts w:ascii="Arial" w:hAnsi="Arial" w:cs="Arial"/>
        </w:rPr>
        <w:instrText xml:space="preserve"> ADDIN ZOTERO_ITEM CSL_CITATION {"citationID":"D5qlILCW","properties":{"formattedCitation":"(J. Liu &amp; Wandell, 2005; Mullen et al., 2015; Wang &amp; Wade, 2011)","plainCitation":"(J. Liu &amp; Wandell, 2005; Mullen et al., 2015; Wang &amp; Wade, 2011)","dontUpdate":true,"noteIndex":0},"citationItems":[{"id":16,"uris":["http://zotero.org/groups/318634/items/3UZVGQ63"],"uri":["http://zotero.org/groups/318634/items/3UZVGQ63"],"itemData":{"id":16,"type":"article-journal","title":"Specializations for chromatic and temporal signals in human visual cortex","container-title":"The Journal of Neuroscience: The Official Journal of the Society for Neuroscience","page":"3459-3468","volume":"25","issue":"13","source":"PubMed","abstract":"Neurological case studies and qualitative measurements suggest that regions within human extrastriate cortex are specialized for different perceptual functions, including color. However, there are few quantitative measurements of human extrastriate color specializations. We studied the chromatic and temporal responses in several different clusters of human visual field maps using functional magnetic resonance imaging. Contrast response functions were measured for luminance [(L + M)-cone], red-green [(L - M)-cone] and blue-yellow (S-cone) modulations at various temporal frequencies. In primary visual cortex (V1), temporal responsivities to luminance and red-green modulations are approximately constant up to 10 Hz, but responsivities to blue-yellow modulations decrease significantly. In ventral occipital cortex (VO), all colors elicit strong responses, and, for each color, low temporal frequency modulations are more effective than high temporal frequency modulations. Hence, VO represents the full range of color information but does not respond well to rapid modulations. Conversely, in human motion-selective cortex (MT+) and V3A, blue-yellow modulations elicit very weak responses, whereas luminance and red-green high temporal frequency modulations are equally or more effective than low temporal frequency modulations. Hence, these dorsal occipital regions respond well to rapid modulations, but not all color information is represented. Similar to human motion perception, MT+ and V3A respond powerfully to all temporal frequencies but only to some colors. Similar to human color perception, VO responds powerfully to all colors but only to relatively low temporal frequencies.","DOI":"10.1523/JNEUROSCI.4206-04.2005","ISSN":"1529-2401","note":"PMID: 15800201","journalAbbreviation":"J. Neurosci.","language":"eng","author":[{"family":"Liu","given":"Junjie"},{"family":"Wandell","given":"Brian A."}],"issued":{"date-parts":[["2005",3,30]]}}},{"id":121,"uris":["http://zotero.org/groups/318634/items/NGXDLKZ6"],"uri":["http://zotero.org/groups/318634/items/NGXDLKZ6"],"itemData":{"id":121,"type":"article-journal","title":"The selectivity of responses to red-green colour and achromatic contrast in the human visual cortex: an fMRI adaptation study","container-title":"The European Journal of Neuroscience","page":"2923-2933","volume":"42","issue":"11","source":"PubMed","abstract":"There is controversy as to how responses to colour in the human brain are organized within the visual pathways. A key issue is whether there are modular pathways that respond selectively to colour or whether there are common neural substrates for both colour and achromatic (Ach) contrast. We used functional magnetic resonance imaging (fMRI) adaptation to investigate the responses of early and extrastriate visual areas to colour and Ach contrast. High-contrast red-green (RG) and Ach sinewave rings (0.5 cycles/degree, 2 Hz) were used as both adapting stimuli and test stimuli in a block design. We found robust adaptation to RG or Ach contrast in all visual areas. Cross-adaptation between RG and Ach contrast occurred in all areas indicating the presence of integrated, colour and Ach responses. Notably, we revealed contrasting trends for the two test stimuli. For the RG test, unselective processing (robust adaptation to both RG and Ach contrast) was most evident in the early visual areas (V1 and V2), but selective responses, revealed as greater adaptation between the same stimuli than cross-adaptation between different stimuli, emerged in the ventral cortex, in V4 and VO in particular. For the Ach test, unselective responses were again most evident in early visual areas but Ach selectivity emerged in the dorsal cortex (V3a and hMT+). Our findings support a strong presence of integrated mechanisms for colour and Ach contrast across the visual hierarchy, with a progression towards selective processing in extrastriate visual areas.","DOI":"10.1111/ejn.13090","ISSN":"1460-9568","note":"PMID: 26414774\nPMCID: PMC4738417","title-short":"The selectivity of responses to red-green colour and achromatic contrast in the human visual cortex","journalAbbreviation":"Eur. J. Neurosci.","language":"eng","author":[{"family":"Mullen","given":"Kathy T."},{"family":"Chang","given":"Dorita H. F."},{"family":"Hess","given":"Robert F."}],"issued":{"date-parts":[["2015",12]]}}},{"id":289,"uris":["http://zotero.org/groups/318634/items/QSDMITNB"],"uri":["http://zotero.org/groups/318634/items/QSDMITNB"],"itemData":{"id":289,"type":"article-journal","title":"Differential attentional modulation of cortical responses to S-cone and luminance stimuli","container-title":"Journal of Vision","page":"1-15","volume":"11","issue":"6","abstract":"Neural signals driven by short-wave-sensitive (S) cones are, to a large degree, anatomically and functionally separate from the achromatic luminance pathway until at least one synapse into V1. Attentional mechanisms that act at an anatomically early stage in V1 may, therefore, affect S-cone and luminance signals differently. Here, we used a steady-state visually evoked potential (SSVEP) paradigm combined with electrical source imaging to study the effects of contrast and attention on neural responses to both chromatic S-cone isolating and achromatic stimuli in five human visual areas including V1. The responses to these gratings were affected very differently by changes in contrast and attention. Increasing cone contrast increased the response amplitude for both types of stimulus. For the S-cone-defined stimuli, we also observed a systematic decrease in the response phase of the first harmonic with increasing stimulus contrast, but there was no corresponding change in phase for the first harmonic of the luminance probes. Attending to the contrast of the grating increased the amplitude and phase of luminance-driven responses but had no effect on S-cone-driven responses. We conclude that while attentional modulation can be observed in achromatic pathways as early as V1, attention may not affect SSVEP signals generated by S-cone stimuli.","DOI":"10.1167/11.6.1","ISSN":"1534-7362 (Electronic) 1534-7362 (Linking)","language":"eng","author":[{"family":"Wang","given":"J"},{"family":"Wade","given":"A R"}],"issued":{"date-parts":[["2011"]]}}}],"schema":"https://github.com/citation-style-language/schema/raw/master/csl-citation.json"} </w:instrText>
      </w:r>
      <w:r w:rsidRPr="00225AB0">
        <w:rPr>
          <w:rFonts w:ascii="Arial" w:hAnsi="Arial" w:cs="Arial"/>
        </w:rPr>
        <w:fldChar w:fldCharType="separate"/>
      </w:r>
      <w:r w:rsidRPr="00225AB0">
        <w:rPr>
          <w:rFonts w:ascii="Arial" w:hAnsi="Arial" w:cs="Arial"/>
          <w:noProof/>
        </w:rPr>
        <w:t>Liu &amp; Wandell, (2005), Mullen et al., (2015) and Wang &amp; Wade, (2011)</w:t>
      </w:r>
      <w:r w:rsidRPr="00225AB0">
        <w:rPr>
          <w:rFonts w:ascii="Arial" w:hAnsi="Arial" w:cs="Arial"/>
        </w:rPr>
        <w:fldChar w:fldCharType="end"/>
      </w:r>
      <w:r w:rsidRPr="00225AB0">
        <w:rPr>
          <w:rFonts w:ascii="Arial" w:hAnsi="Arial" w:cs="Arial"/>
        </w:rPr>
        <w:t xml:space="preserve"> however, are findings are not limited to the dorsal stream. Hence, in both the feature- and chromatic- analysis, overall univariate findings are relatively uninformative about feature-specific changes in the visual stimulus or attentional state. Our univariate analysis suggests the study of attentional modulation at an average, ROI-level scale may not be informative regarding the computations performed </w:t>
      </w:r>
      <w:r w:rsidR="00D44AC6">
        <w:rPr>
          <w:rFonts w:ascii="Arial" w:hAnsi="Arial" w:cs="Arial"/>
        </w:rPr>
        <w:t>in</w:t>
      </w:r>
      <w:r w:rsidRPr="00225AB0">
        <w:rPr>
          <w:rFonts w:ascii="Arial" w:hAnsi="Arial" w:cs="Arial"/>
        </w:rPr>
        <w:t xml:space="preserve"> and across visual areas a function of attentional focus. </w:t>
      </w:r>
    </w:p>
    <w:p w14:paraId="2C73DFC1" w14:textId="77777777" w:rsidR="006832FB" w:rsidRPr="00225AB0" w:rsidRDefault="006832FB" w:rsidP="006832FB">
      <w:pPr>
        <w:spacing w:line="480" w:lineRule="auto"/>
        <w:rPr>
          <w:rFonts w:ascii="Arial" w:hAnsi="Arial" w:cs="Arial"/>
        </w:rPr>
      </w:pPr>
    </w:p>
    <w:p w14:paraId="0058A8E5" w14:textId="67B3604F" w:rsidR="006832FB" w:rsidRDefault="00503871" w:rsidP="006832FB">
      <w:pPr>
        <w:spacing w:line="480" w:lineRule="auto"/>
        <w:rPr>
          <w:rFonts w:ascii="Arial" w:hAnsi="Arial" w:cs="Arial"/>
        </w:rPr>
      </w:pPr>
      <w:r>
        <w:rPr>
          <w:rFonts w:ascii="Arial" w:hAnsi="Arial" w:cs="Arial"/>
        </w:rPr>
        <w:t>O</w:t>
      </w:r>
      <w:r w:rsidR="006832FB" w:rsidRPr="00225AB0">
        <w:rPr>
          <w:rFonts w:ascii="Arial" w:hAnsi="Arial" w:cs="Arial"/>
        </w:rPr>
        <w:t>ur univariate analysis</w:t>
      </w:r>
      <w:r>
        <w:rPr>
          <w:rFonts w:ascii="Arial" w:hAnsi="Arial" w:cs="Arial"/>
        </w:rPr>
        <w:t xml:space="preserve"> provides little evidence</w:t>
      </w:r>
      <w:r w:rsidRPr="00225AB0">
        <w:rPr>
          <w:rFonts w:ascii="Arial" w:hAnsi="Arial" w:cs="Arial"/>
        </w:rPr>
        <w:t xml:space="preserve"> </w:t>
      </w:r>
      <w:r w:rsidR="006832FB" w:rsidRPr="00225AB0">
        <w:rPr>
          <w:rFonts w:ascii="Arial" w:hAnsi="Arial" w:cs="Arial"/>
        </w:rPr>
        <w:t xml:space="preserve">the existence of feature- or chromatic-specific attentional modulation effects. </w:t>
      </w:r>
      <w:r>
        <w:rPr>
          <w:rFonts w:ascii="Arial" w:hAnsi="Arial" w:cs="Arial"/>
        </w:rPr>
        <w:t>However, we show that</w:t>
      </w:r>
      <w:r w:rsidR="006832FB" w:rsidRPr="00225AB0">
        <w:rPr>
          <w:rFonts w:ascii="Arial" w:hAnsi="Arial" w:cs="Arial"/>
        </w:rPr>
        <w:t xml:space="preserve"> multivariate, voxel-level scale </w:t>
      </w:r>
      <w:r w:rsidR="006832FB" w:rsidRPr="00225AB0">
        <w:rPr>
          <w:rFonts w:ascii="Arial" w:hAnsi="Arial" w:cs="Arial"/>
          <w:i/>
        </w:rPr>
        <w:t xml:space="preserve">patterns </w:t>
      </w:r>
      <w:r w:rsidR="006832FB" w:rsidRPr="00225AB0">
        <w:rPr>
          <w:rFonts w:ascii="Arial" w:hAnsi="Arial" w:cs="Arial"/>
        </w:rPr>
        <w:t xml:space="preserve">of modulation </w:t>
      </w:r>
      <w:r w:rsidR="00D44AC6">
        <w:rPr>
          <w:rFonts w:ascii="Arial" w:hAnsi="Arial" w:cs="Arial"/>
        </w:rPr>
        <w:t>in</w:t>
      </w:r>
      <w:r w:rsidR="006832FB" w:rsidRPr="00225AB0">
        <w:rPr>
          <w:rFonts w:ascii="Arial" w:hAnsi="Arial" w:cs="Arial"/>
        </w:rPr>
        <w:t xml:space="preserve"> individual visual areas differ significantly as a function of attentional task for both the feature- and chromatic analyses. Our ability to classify featural attentional state supports previous decoding literature </w:t>
      </w:r>
      <w:r w:rsidR="006832FB" w:rsidRPr="00225AB0">
        <w:rPr>
          <w:rFonts w:ascii="Arial" w:hAnsi="Arial" w:cs="Arial"/>
        </w:rPr>
        <w:fldChar w:fldCharType="begin"/>
      </w:r>
      <w:r w:rsidR="005B4361">
        <w:rPr>
          <w:rFonts w:ascii="Arial" w:hAnsi="Arial" w:cs="Arial"/>
        </w:rPr>
        <w:instrText xml:space="preserve"> ADDIN ZOTERO_ITEM CSL_CITATION {"citationID":"LuSM6Lxv","properties":{"formattedCitation":"(Brouwer &amp; Heeger, 2009; Clifford, Mannion, &amp; McDonald, 2009; Freeman et al., 2011; Kamitani &amp; Tong, 2005, 2006; Mannion, McDonald, &amp; Clifford, 2009; Sumner et al., 2008)","plainCitation":"(Brouwer &amp; Heeger, 2009; Clifford, Mannion, &amp; McDonald, 2009; Freeman et al., 2011; Kamitani &amp; Tong, 2005, 2006; Mannion, McDonald, &amp; Clifford, 2009; Sumner et al., 2008)","dontUpdate":true,"noteIndex":0},"citationItems":[{"id":275,"uris":["http://zotero.org/groups/318634/items/QTDSBB45"],"uri":["http://zotero.org/groups/318634/items/QTDSBB45"],"itemData":{"id":275,"type":"article-journal","title":"Decoding and reconstructing color from responses in human visual cortex","container-title":"The Journal of Neuroscience: The Official Journal of the Society for Neuroscience","page":"13992-14003","volume":"29","issue":"44","source":"PubMed","abstract":"How is color represented by spatially distributed patterns of activity in visual cortex? Functional magnetic resonance imaging responses to several stimulus colors were analyzed with multivariate techniques: conventional pattern classification, a forward model of idealized color tuning, and principal component analysis (PCA). Stimulus color was accurately decoded from activity in V1, V2, V3, V4, and VO1 but not LO1, LO2, V3A/B, or MT+. The conventional classifier and forward model yielded similar accuracies, but the forward model (unlike the classifier) also reliably reconstructed novel stimulus colors not used to train (specify parameters of) the model. The mean responses, averaged across voxels in each visual area, were not reliably distinguishable for the different stimulus colors. Hence, each stimulus color was associated with a unique spatially distributed pattern of activity, presumably reflecting the color selectivity of cortical neurons. Using PCA, a color space was derived from the covariation, across voxels, in the responses to different colors. In V4 and VO1, the first two principal component scores (main source of variation) of the responses revealed a progression through perceptual color space, with perceptually similar colors evoking the most similar responses. This was not the case for any of the other visual cortical areas, including V1, although decoding was most accurate in V1. This dissociation implies a transformation from the color representation in V1 to reflect perceptual color space in V4 and VO1.","DOI":"10.1523/JNEUROSCI.3577-09.2009","ISSN":"1529-2401","note":"PMID: 19890009\nPMCID: PMC2799419","journalAbbreviation":"J. Neurosci.","language":"eng","author":[{"family":"Brouwer","given":"Gijs Joost"},{"family":"Heeger","given":"David J."}],"issued":{"date-parts":[["2009",11,4]]}}},{"id":158,"uris":["http://zotero.org/groups/318634/items/YEAZXLK8"],"uri":["http://zotero.org/groups/318634/items/YEAZXLK8"],"itemData":{"id":158,"type":"article-journal","title":"Radial biases in the processing of motion and motion-defined contours by human visual cortex","container-title":"Journal of Neurophysiology","page":"2974-2981","volume":"102","issue":"5","source":"PubMed","abstract":"Luminance gratings reportedly produce a stronger functional magnetic resonance imaging (fMRI) blood oxygen level-dependent (BOLD) signal in those parts of the retinotopic cortical maps where they are oriented radially to the point of fixation. We sought to extend this finding by examining anisotropies in the response of cortical areas V1-V3 to motion-defined contour stimuli. fMRI at 3 Tesla was used to measure the BOLD signal in the visual cortex of six human subjects. Stimuli were composed of strips of spatial white noise texture presented in an annular window. The texture in alternate strips moved in opposite directions (left-right or up-down). The strips themselves were static and tilted 45 degrees left or right from vertical. Comparison with maps of the visual field obtained from phase-encoded retinotopic analysis revealed systematic patterns of radial bias. For motion, a stronger response to horizontal was evident within V1 and along the borders between V2 and V3. For orientation, the response to leftward tilted contours was greater in left dorsal and right ventral V1-V3. Radial bias for the orientation of motion-defined contours analogous to that reported previously for luminance gratings could reflect cue-invariant processing or the operation of distinct mechanisms subject to similar anisotropies in orientation tuning. Radial bias for motion might be related to the phenomenon of \"motion streaks,\" whereby temporal integration by the visual system introduces oriented blur along the axis of motion. We speculate that the observed forms of radial bias reflect a common underlying anisotropy in the representation of spatiotemporal image structure across the visual field.","DOI":"10.1152/jn.00411.2009","ISSN":"1522-1598","note":"PMID: 19759326","journalAbbreviation":"J. Neurophysiol.","language":"eng","author":[{"family":"Clifford","given":"Colin W. G."},{"family":"Mannion","given":"Damien J."},{"family":"McDonald","given":"J. Scott"}],"issued":{"date-parts":[["2009",11]]}}},{"id":247,"uris":["http://zotero.org/groups/318634/items/87VKZCHG"],"uri":["http://zotero.org/groups/318634/items/87VKZCHG"],"itemData":{"id":247,"type":"article-journal","title":"Orientation decoding depends on maps, not columns","container-title":"Journal of Neuroscience","page":"4792–4804","volume":"31","issue":"13","source":"Google Scholar","author":[{"family":"Freeman","given":"Jeremy"},{"family":"Brouwer","given":"Gijs Joost"},{"family":"Heeger","given":"David J."},{"family":"Merriam","given":"Elisha P."}],"issued":{"date-parts":[["2011"]]}}},{"id":242,"uris":["http://zotero.org/groups/318634/items/TYYPVP7C"],"uri":["http://zotero.org/groups/318634/items/TYYPVP7C"],"itemData":{"id":242,"type":"article-journal","title":"Decoding the visual and subjective contents of the human brain","container-title":"Nature Neuroscience","page":"679-685","volume":"8","issue":"5","source":"PubMed","abstract":"The potential for human neuroimaging to read out the detailed contents of a person's mental state has yet to be fully explored. We investigated whether the perception of edge orientation, a fundamental visual feature, can be decoded from human brain activity measured with functional magnetic resonance imaging (fMRI). Using statistical algorithms to classify brain states, we found that ensemble fMRI signals in early visual areas could reliably predict on individual trials which of eight stimulus orientations the subject was seeing. Moreover, when subjects had to attend to one of two overlapping orthogonal gratings, feature-based attention strongly biased ensemble activity toward the attended orientation. These results demonstrate that fMRI activity patterns in early visual areas, including primary visual cortex (V1), contain detailed orientation information that can reliably predict subjective perception. Our approach provides a framework for the readout of fine-tuned representations in the human brain and their subjective contents.","DOI":"10.1038/nn1444","ISSN":"1097-6256","note":"PMID: 15852014\nPMCID: PMC1808230","journalAbbreviation":"Nat. Neurosci.","language":"eng","author":[{"family":"Kamitani","given":"Yukiyasu"},{"family":"Tong","given":"Frank"}],"issued":{"date-parts":[["2005",5]]}}},{"id":252,"uris":["http://zotero.org/groups/318634/items/9NXTJXD4"],"uri":["http://zotero.org/groups/318634/items/9NXTJXD4"],"itemData":{"id":252,"type":"article-journal","title":"Decoding seen and attended motion directions from activity in the human visual cortex","container-title":"Current biology: CB","page":"1096-1102","volume":"16","issue":"11","source":"PubMed","abstract":"Functional neuroimaging has successfully identified brain areas that show greater responses to visual motion and adapted responses to repeated motion directions. However, such methods have been thought to lack the sensitivity and spatial resolution to isolate direction-selective responses to individual motion stimuli. Here, we used functional magnetic resonance imaging (fMRI) and pattern classification methods to show that ensemble activity patterns in human visual cortex contain robust direction-selective information, from which it is possible to decode seen and attended motion directions. Ensemble activity in areas V1-V4 and MT+/V5 allowed us to decode which of eight possible motion directions the subject was viewing on individual stimulus blocks. Moreover, ensemble activity evoked by single motion directions could effectively predict which of two overlapping motion directions was the focus of the subject's attention and presumably dominant in perception. Our results indicate that feature-based attention can bias direction-selective population activity in multiple visual areas, including MT+/V5 and early visual areas (V1-V4), consistent with gain-modulation models of feature-based attention and theories of early attentional selection. Our approach for measuring ensemble direction selectivity may provide new opportunities to investigate relationships between attentional selection, conscious perception, and direction-selective responses in the human brain.","DOI":"10.1016/j.cub.2006.04.003","ISSN":"0960-9822","note":"PMID: 16753563\nPMCID: PMC1635016","journalAbbreviation":"Curr. Biol.","language":"eng","author":[{"family":"Kamitani","given":"Yukiyasu"},{"family":"Tong","given":"Frank"}],"issued":{"date-parts":[["2006",6,6]]}}},{"id":99,"uris":["http://zotero.org/groups/318634/items/KGIFYJHF"],"uri":["http://zotero.org/groups/318634/items/KGIFYJHF"],"itemData":{"id":99,"type":"article-journal","title":"Discrimination of the local orientation structure of spiral Glass patterns early in human visual cortex","container-title":"NeuroImage","page":"511-515","volume":"46","issue":"2","source":"PubMed","abstract":"The local orientation structure of a visual image is fundamental to the perception of spatial form. Reports of reliable orientation-selective modulations in the pattern of fMRI activity have demonstrated the potential for investigating the representation of orientation in the human visual cortex. Orientation-selective voxel responses could arise from anisotropies in the preferred orientations of pooled neurons due to the random sampling of the cortical surface. However, it is unclear whether orientation-selective voxel responses reflect biases in the underlying distribution of neuronal orientation preference, such as the demonstrated over-representation of radial orientations (those collinear with fixation). Here, we investigated whether stimuli balanced in their radial components could evoke orientation-selective biases in voxel activity. We attempted to discriminate the sense of spiral Glass patterns (opening anti-clockwise or clockwise), in which the local orientation structure was defined by the placement of paired dots at an orientation offset from the radial. We found that information within the spatial pattern of fMRI responses in each of V1, V2, V3, and V3A/B allowed discrimination of the spiral sense with accuracies significantly above chance. This result demonstrates that orientation-selective voxel responses can arise without the influence of a radial bias. Furthermore, the finding indicates the importance of the early visual areas in representing the local orientation structure for the perception of complex spatial form.","ISSN":"1095-9572","note":"PMID: 19385017","journalAbbreviation":"Neuroimage","language":"eng","author":[{"family":"Mannion","given":"D. J."},{"family":"McDonald","given":"J. S."},{"family":"Clifford","given":"C. W. G."}],"issued":{"date-parts":[["2009",6]]}}},{"id":56,"uris":["http://zotero.org/groups/318634/items/LRFY4LYQ"],"uri":["http://zotero.org/groups/318634/items/LRFY4LYQ"],"itemData":{"id":56,"type":"article-journal","title":"Combined orientation and colour information in human V1 for both L-M and S-cone chromatic axes","container-title":"NeuroImage","page":"814-824","volume":"39","issue":"2","source":"PubMed","abstract":"Although it is widely held that colour and form are processed separately in early visual cortex, there is growing evidence that primary visual cortex (V1) may show some joint selectivity for orientation and colour. Colour is supplied to V1 via two very different pathways: the parvocellular pathway (which also supports detailed form processing) carries L-M (\"red-green\") chromatic information, while a koniocellular pathway carries S-cone (\"lilac-yellow\") information. Therefore on entering V1, S-cone information is segregated from the pathways carrying form information, while L-M information is not. Whether signals from neuronal populations in human V1 reflect combined orientation and S-cone information has not been systematically addressed. We used fMRI in combination with a multivariate data analysis technique to investigate whether BOLD signals recorded from V1 contain information that could directly discriminate between orientations based on different types of chromatic information. We found selectivity in V1 for L-M and luminance-defined orientation signals, and most interestingly, also for S-cone defined orientation. We also found similarly successful orientation discrimination for both colour dimensions in V2 and V3. These results imply that a proportion of cells throughout human visual cortex show joint sensitivity to both colour and orientation. We discuss also the potential role of feedback to V1 from higher visual areas.","DOI":"10.1016/j.neuroimage.2007.09.013","ISSN":"1053-8119","note":"PMID: 17964188","journalAbbreviation":"Neuroimage","language":"eng","author":[{"family":"Sumner","given":"Petroc"},{"family":"Anderson","given":"Elaine J."},{"family":"Sylvester","given":"Richard"},{"family":"Haynes","given":"John-Dylan"},{"family":"Rees","given":"Geraint"}],"issued":{"date-parts":[["2008",1,15]]}}}],"schema":"https://github.com/citation-style-language/schema/raw/master/csl-citation.json"} </w:instrText>
      </w:r>
      <w:r w:rsidR="006832FB" w:rsidRPr="00225AB0">
        <w:rPr>
          <w:rFonts w:ascii="Arial" w:hAnsi="Arial" w:cs="Arial"/>
        </w:rPr>
        <w:fldChar w:fldCharType="separate"/>
      </w:r>
      <w:r w:rsidR="006832FB" w:rsidRPr="00225AB0">
        <w:rPr>
          <w:rFonts w:ascii="Arial" w:hAnsi="Arial" w:cs="Arial"/>
          <w:noProof/>
        </w:rPr>
        <w:t>(see Brouwer &amp; Heeger, 2009; Clifford, Mannion, &amp; McDonald, 2009; Freeman et al., 2011; Kamitani &amp; Tong, 2005, 2006; Mannion, McDonald, &amp; Clifford, 2009; Sumner et al., 2008)</w:t>
      </w:r>
      <w:r w:rsidR="006832FB" w:rsidRPr="00225AB0">
        <w:rPr>
          <w:rFonts w:ascii="Arial" w:hAnsi="Arial" w:cs="Arial"/>
        </w:rPr>
        <w:fldChar w:fldCharType="end"/>
      </w:r>
      <w:r w:rsidR="006832FB" w:rsidRPr="00225AB0">
        <w:rPr>
          <w:rFonts w:ascii="Arial" w:hAnsi="Arial" w:cs="Arial"/>
        </w:rPr>
        <w:t xml:space="preserve"> and demonstrates attentional focus can modulate voxel-level patterns of activation in a distinct and feature-specific manner, supporting our findings with achromatic stimuli in</w:t>
      </w:r>
      <w:r w:rsidR="006832FB" w:rsidRPr="00225AB0">
        <w:rPr>
          <w:rFonts w:ascii="Arial" w:hAnsi="Arial" w:cs="Arial"/>
          <w:i/>
        </w:rPr>
        <w:t xml:space="preserve"> </w:t>
      </w:r>
      <w:r w:rsidR="006832FB" w:rsidRPr="00225AB0">
        <w:rPr>
          <w:rFonts w:ascii="Arial" w:hAnsi="Arial" w:cs="Arial"/>
        </w:rPr>
        <w:t xml:space="preserve">Chapter 4. </w:t>
      </w:r>
    </w:p>
    <w:p w14:paraId="272BC704" w14:textId="77777777" w:rsidR="00812C5D" w:rsidRPr="00225AB0" w:rsidRDefault="00812C5D" w:rsidP="006832FB">
      <w:pPr>
        <w:spacing w:line="480" w:lineRule="auto"/>
        <w:rPr>
          <w:rFonts w:ascii="Arial" w:hAnsi="Arial" w:cs="Arial"/>
        </w:rPr>
      </w:pPr>
    </w:p>
    <w:p w14:paraId="64540553" w14:textId="6782AAFC" w:rsidR="006832FB" w:rsidRPr="00225AB0" w:rsidRDefault="006832FB" w:rsidP="006832FB">
      <w:pPr>
        <w:spacing w:line="480" w:lineRule="auto"/>
        <w:rPr>
          <w:rFonts w:ascii="Arial" w:hAnsi="Arial" w:cs="Arial"/>
        </w:rPr>
      </w:pPr>
      <w:r w:rsidRPr="00225AB0">
        <w:rPr>
          <w:rFonts w:ascii="Arial" w:hAnsi="Arial" w:cs="Arial"/>
        </w:rPr>
        <w:lastRenderedPageBreak/>
        <w:t>We were also able to classify chromatic attention condition in almost all visual ROIs, and differential patterns of pairwise classification</w:t>
      </w:r>
      <w:r w:rsidR="009B08FB">
        <w:rPr>
          <w:rFonts w:ascii="Arial" w:hAnsi="Arial" w:cs="Arial"/>
        </w:rPr>
        <w:t xml:space="preserve"> were evident</w:t>
      </w:r>
      <w:r w:rsidRPr="00225AB0">
        <w:rPr>
          <w:rFonts w:ascii="Arial" w:hAnsi="Arial" w:cs="Arial"/>
        </w:rPr>
        <w:t xml:space="preserve"> across the ROIs examined. In all visual ROIs (excluding LO-2), we were able to classify red-green attentional data from achromatic data. This provides evidence for segregation of L-M and L+M information across the visual hierarchy. In V1, hV4 and LO-1 we also demonstrate above-chance classification of attention to red-green versus blue-yellow defined stimuli, in support of </w:t>
      </w:r>
      <w:r w:rsidRPr="00225AB0">
        <w:rPr>
          <w:rFonts w:ascii="Arial" w:hAnsi="Arial" w:cs="Arial"/>
        </w:rPr>
        <w:fldChar w:fldCharType="begin"/>
      </w:r>
      <w:r w:rsidR="005B4361">
        <w:rPr>
          <w:rFonts w:ascii="Arial" w:hAnsi="Arial" w:cs="Arial"/>
        </w:rPr>
        <w:instrText xml:space="preserve"> ADDIN ZOTERO_ITEM CSL_CITATION {"citationID":"YPSB27nw","properties":{"formattedCitation":"(Sumner et al., 2008)","plainCitation":"(Sumner et al., 2008)","dontUpdate":true,"noteIndex":0},"citationItems":[{"id":56,"uris":["http://zotero.org/groups/318634/items/LRFY4LYQ"],"uri":["http://zotero.org/groups/318634/items/LRFY4LYQ"],"itemData":{"id":56,"type":"article-journal","title":"Combined orientation and colour information in human V1 for both L-M and S-cone chromatic axes","container-title":"NeuroImage","page":"814-824","volume":"39","issue":"2","source":"PubMed","abstract":"Although it is widely held that colour and form are processed separately in early visual cortex, there is growing evidence that primary visual cortex (V1) may show some joint selectivity for orientation and colour. Colour is supplied to V1 via two very different pathways: the parvocellular pathway (which also supports detailed form processing) carries L-M (\"red-green\") chromatic information, while a koniocellular pathway carries S-cone (\"lilac-yellow\") information. Therefore on entering V1, S-cone information is segregated from the pathways carrying form information, while L-M information is not. Whether signals from neuronal populations in human V1 reflect combined orientation and S-cone information has not been systematically addressed. We used fMRI in combination with a multivariate data analysis technique to investigate whether BOLD signals recorded from V1 contain information that could directly discriminate between orientations based on different types of chromatic information. We found selectivity in V1 for L-M and luminance-defined orientation signals, and most interestingly, also for S-cone defined orientation. We also found similarly successful orientation discrimination for both colour dimensions in V2 and V3. These results imply that a proportion of cells throughout human visual cortex show joint sensitivity to both colour and orientation. We discuss also the potential role of feedback to V1 from higher visual areas.","DOI":"10.1016/j.neuroimage.2007.09.013","ISSN":"1053-8119","note":"PMID: 17964188","journalAbbreviation":"Neuroimage","language":"eng","author":[{"family":"Sumner","given":"Petroc"},{"family":"Anderson","given":"Elaine J."},{"family":"Sylvester","given":"Richard"},{"family":"Haynes","given":"John-Dylan"},{"family":"Rees","given":"Geraint"}],"issued":{"date-parts":[["2008",1,15]]}}}],"schema":"https://github.com/citation-style-language/schema/raw/master/csl-citation.json"} </w:instrText>
      </w:r>
      <w:r w:rsidRPr="00225AB0">
        <w:rPr>
          <w:rFonts w:ascii="Arial" w:hAnsi="Arial" w:cs="Arial"/>
        </w:rPr>
        <w:fldChar w:fldCharType="separate"/>
      </w:r>
      <w:r w:rsidRPr="00225AB0">
        <w:rPr>
          <w:rFonts w:ascii="Arial" w:hAnsi="Arial" w:cs="Arial"/>
          <w:noProof/>
        </w:rPr>
        <w:t>Sumner et al., (2008)</w:t>
      </w:r>
      <w:r w:rsidRPr="00225AB0">
        <w:rPr>
          <w:rFonts w:ascii="Arial" w:hAnsi="Arial" w:cs="Arial"/>
        </w:rPr>
        <w:fldChar w:fldCharType="end"/>
      </w:r>
      <w:r w:rsidRPr="00225AB0">
        <w:rPr>
          <w:rFonts w:ascii="Arial" w:hAnsi="Arial" w:cs="Arial"/>
        </w:rPr>
        <w:t xml:space="preserve">. </w:t>
      </w:r>
      <w:r w:rsidR="00503871">
        <w:rPr>
          <w:rFonts w:ascii="Arial" w:hAnsi="Arial" w:cs="Arial"/>
        </w:rPr>
        <w:t>These</w:t>
      </w:r>
      <w:r w:rsidR="00503871" w:rsidRPr="00225AB0">
        <w:rPr>
          <w:rFonts w:ascii="Arial" w:hAnsi="Arial" w:cs="Arial"/>
        </w:rPr>
        <w:t xml:space="preserve"> </w:t>
      </w:r>
      <w:r w:rsidRPr="00225AB0">
        <w:rPr>
          <w:rFonts w:ascii="Arial" w:hAnsi="Arial" w:cs="Arial"/>
        </w:rPr>
        <w:t xml:space="preserve">data </w:t>
      </w:r>
      <w:r w:rsidR="00503871">
        <w:rPr>
          <w:rFonts w:ascii="Arial" w:hAnsi="Arial" w:cs="Arial"/>
        </w:rPr>
        <w:t>imply</w:t>
      </w:r>
      <w:r w:rsidR="00503871" w:rsidRPr="00225AB0">
        <w:rPr>
          <w:rFonts w:ascii="Arial" w:hAnsi="Arial" w:cs="Arial"/>
        </w:rPr>
        <w:t xml:space="preserve"> </w:t>
      </w:r>
      <w:r w:rsidRPr="00225AB0">
        <w:rPr>
          <w:rFonts w:ascii="Arial" w:hAnsi="Arial" w:cs="Arial"/>
        </w:rPr>
        <w:t xml:space="preserve">that the information being used for each of these discriminations comes from different neuronal populations (even when collapsed across different low-level stimulus feature attention conditions) and again suggests some level of segregation of blue-yellow and red-green chromatic channels across the visual cortex. </w:t>
      </w:r>
      <w:r w:rsidR="00D44AC6">
        <w:rPr>
          <w:rFonts w:ascii="Arial" w:hAnsi="Arial" w:cs="Arial"/>
        </w:rPr>
        <w:t>In</w:t>
      </w:r>
      <w:r w:rsidRPr="00225AB0">
        <w:rPr>
          <w:rFonts w:ascii="Arial" w:hAnsi="Arial" w:cs="Arial"/>
        </w:rPr>
        <w:t xml:space="preserve"> V3A/B, hV4 and LO-1, it was also possible to classify blue-yellow from achromatic stimuli, suggesting again that attentional mechanisms are chromatic-specific and that different populations of neurons exist for encoding stimulus chromaticity across the visual cortex which are preferentially modulated by attentional mechanisms. </w:t>
      </w:r>
    </w:p>
    <w:p w14:paraId="065D1A79" w14:textId="77777777" w:rsidR="006832FB" w:rsidRPr="00225AB0" w:rsidRDefault="006832FB" w:rsidP="006832FB">
      <w:pPr>
        <w:rPr>
          <w:rFonts w:ascii="Arial" w:hAnsi="Arial" w:cs="Arial"/>
          <w:color w:val="0D0D0D" w:themeColor="text1" w:themeTint="F2"/>
        </w:rPr>
      </w:pPr>
    </w:p>
    <w:p w14:paraId="3CCD433D" w14:textId="1AE68228" w:rsidR="006832FB" w:rsidRPr="00225AB0" w:rsidRDefault="006832FB" w:rsidP="006832FB">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Across both our feature- and chromatic- analyses, our above-chance </w:t>
      </w:r>
      <w:r w:rsidR="00DC4A2C" w:rsidRPr="00225AB0">
        <w:rPr>
          <w:rFonts w:ascii="Arial" w:hAnsi="Arial" w:cs="Arial"/>
          <w:color w:val="0D0D0D" w:themeColor="text1" w:themeTint="F2"/>
        </w:rPr>
        <w:t>classification</w:t>
      </w:r>
      <w:r w:rsidR="00DC4A2C">
        <w:rPr>
          <w:rFonts w:ascii="Arial" w:hAnsi="Arial" w:cs="Arial"/>
          <w:color w:val="0D0D0D" w:themeColor="text1" w:themeTint="F2"/>
        </w:rPr>
        <w:t>s</w:t>
      </w:r>
      <w:r w:rsidR="00DC4A2C" w:rsidRPr="00225AB0">
        <w:rPr>
          <w:rFonts w:ascii="Arial" w:hAnsi="Arial" w:cs="Arial"/>
          <w:color w:val="0D0D0D" w:themeColor="text1" w:themeTint="F2"/>
        </w:rPr>
        <w:t xml:space="preserve"> demonstrate</w:t>
      </w:r>
      <w:r w:rsidRPr="00225AB0">
        <w:rPr>
          <w:rFonts w:ascii="Arial" w:hAnsi="Arial" w:cs="Arial"/>
          <w:color w:val="0D0D0D" w:themeColor="text1" w:themeTint="F2"/>
        </w:rPr>
        <w:t xml:space="preserve"> that attention elicits differing voxel-level patterns of modulation as a function of task, highlighting the importance of multiple spatial scales of analysis in attentional paradigms and the fine-grain nature of attentional modulation effects. The ability of the visual cortex to alter the activation of specific neurons </w:t>
      </w:r>
      <w:r w:rsidR="00D44AC6">
        <w:rPr>
          <w:rFonts w:ascii="Arial" w:hAnsi="Arial" w:cs="Arial"/>
          <w:color w:val="0D0D0D" w:themeColor="text1" w:themeTint="F2"/>
        </w:rPr>
        <w:t>in</w:t>
      </w:r>
      <w:r w:rsidRPr="00225AB0">
        <w:rPr>
          <w:rFonts w:ascii="Arial" w:hAnsi="Arial" w:cs="Arial"/>
          <w:color w:val="0D0D0D" w:themeColor="text1" w:themeTint="F2"/>
        </w:rPr>
        <w:t xml:space="preserve"> particular visual ROIs supports the findings of a range of previous researchers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{"citationID":"RKOoZ7Nw","properties":{"formattedCitation":"(Corbetta et al., 1990; Martinez-Trujillo &amp; Treue, 2004; Mart\\uc0\\u237{}nez-Trujillo &amp; Treue, 2002; Reynolds et al., 2000; Saenz et al., 2002; Serences &amp; Boynton, 2007; Treue &amp; Mart\\uc0\\u237{}nez Trujillo, 1999)","plainCitation":"(Corbetta et al., 1990; Martinez-Trujillo &amp; Treue, 2004; Martínez-Trujillo &amp; Treue, 2002; Reynolds et al., 2000; Saenz et al., 2002; Serences &amp; Boynton, 2007; Treue &amp; Martínez Trujillo, 1999)","dontUpdate":true,"noteIndex":0},"citationItems":[{"id":128,"uris":["http://zotero.org/groups/318634/items/LHCBHC5P"],"uri":["http://zotero.org/groups/318634/items/LHCBHC5P"],"itemData":{"id":128,"type":"article-journal","title":"Attentional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E."}],"issued":{"date-parts":[["1990"]]}}},{"id":101,"uris":["http://zotero.org/groups/318634/items/E8YBNNSR"],"uri":["http://zotero.org/groups/318634/items/E8YBNNSR"],"itemData":{"id":101,"type":"article-journal","title":"Feature-based attention increases the selectivity of population responses in primate visual cortex","container-title":"Current biology: CB","page":"744-751","volume":"14","issue":"9","source":"PubMed","abstract":"BACKGROUND: Attending to the spatial location or to nonspatial features of visual stimuli can modulate neuronal responses in primate visual cortex. The modulation by spatial attention changes the gain of sensory neurons and strengthens the representation of attended locations without changing neuronal selectivities such as directionality, i.e., the ratio of responses to preferred and anti-preferred directions of motion. Whether feature-based attention acts in a similar manner is unknown.\nRESULTS: To clarify this issue, we recorded the responses of 135 direction-selective neurons in the middle temporal area (MT) of two macaques to an unattended moving random dot pattern (the distractor) positioned inside a neuron's receptive field while the animals attended to a second moving pattern positioned in the opposite hemifield. Responses to different directions of the distractor were modulated by the same factor (approximately 12%) as long as the attended direction remained unchanged. On the other hand, systematically changing the attended direction from a neuron's preferred to its anti-preferred direction caused a systematic change of the attentional modulation from an enhancement to a suppression, increasing directionality by about 20%.\nCONCLUSIONS: The results show that (1) feature-based attention exerts a multiplicative modulation upon neuronal responses and that the strength of this modulation depends on the similarity between the attended feature and the cell's preferred feature, in line with the feature-similarity gain model, and (2) at the level of the neuronal population, feature-based attention increases the selectivity for attended features by increasing the responses of neurons preferring this feature value while decreasing responses of neurons tuned to the opposite feature value.","DOI":"10.1016/j.cub.2004.04.028","ISSN":"0960-9822","note":"PMID: 15120065","journalAbbreviation":"Curr. Biol.","language":"eng","author":[{"family":"Martinez-Trujillo","given":"Julio C."},{"family":"Treue","given":"Stefan"}],"issued":{"date-parts":[["2004",5,4]]}}},{"id":225,"uris":["http://zotero.org/groups/318634/items/NDXH4M3Y"],"uri":["http://zotero.org/groups/318634/items/NDXH4M3Y"],"itemData":{"id":225,"type":"article-journal","title":"Attentional modulation strength in cortical area MT depends on stimulus contrast","container-title":"Neuron","page":"365-370","volume":"35","issue":"2","source":"PubMed","abstract":"The attentional modulation of sensory information processing in the visual system is the result of top-down influences, which can cause a multiplicative modulation of the firing rate of sensory neurons in extrastriate visual cortex, an effect reminiscent of the bottom-up effect of changes in stimulus contrast. This similarity could simply reflect the multiplicity of both effects. But, here we show that in direction-selective neurons in monkey visual cortical area MT, stimulus and attentional effects share a nonlinearity. These neurons show higher response gain for both contrast and attentional changes for intermediate contrast stimuli and smaller gain for low- and high-contrast stimuli. This finding suggests a close relationship between the neural encoding of stimulus contrast and the modulating effect of the behavioral relevance of stimuli.","ISSN":"0896-6273","note":"PMID: 12160753","journalAbbreviation":"Neuron","language":"eng","author":[{"family":"Martínez-Trujillo","given":"Julio"},{"family":"Treue","given":"Stefan"}],"issued":{"date-parts":[["2002",7,18]]}}},{"id":220,"uris":["http://zotero.org/groups/318634/items/SFSCLQ5S"],"uri":["http://zotero.org/groups/318634/items/SFSCLQ5S"],"itemData":{"id":220,"type":"article-journal","title":"Attention increases sensitivity of V4 neurons","container-title":"Neuron","page":"703-714","volume":"26","issue":"3","source":"PubMed","abstract":"When attention is directed to a location in the visual field, sensitivity to stimuli at that location is increased. At the neuronal level, this could arise either through a multiplicative increase in firing rate or through an increase in the effective strength of the stimulus. To test conflicting predictions of these alternative models, we recorded responses of V4 neurons to stimuli across a range of luminance contrasts and measured the change in response when monkeys attended to them in order to discriminate a target stimulus from nontargets. Attention caused greater increases in response at low contrast than at high contrast, consistent with an increase in effective stimulus strength. On average, attention increased the effective contrast of the attended stimulus by a factor of 1.51, an increase of 51% of its physical contrast.","ISSN":"0896-6273","note":"PMID: 10896165","journalAbbreviation":"Neuron","language":"eng","author":[{"family":"Reynolds","given":"J. H."},{"family":"Pasternak","given":"T."},{"family":"Desimone","given":"R."}],"issued":{"date-parts":[["2000",6]]}}},{"id":284,"uris":["http://zotero.org/groups/318634/items/P725U984"],"uri":["http://zotero.org/groups/318634/items/P725U984"],"itemData":{"id":284,"type":"article-journal","title":"Global effects of feature-based attention in human visual cortex","container-title":"Nat Neurosci","page":"631-632","volume":"5","issue":"7","abstract":"The content of visual experience depends on how selective attention is distributed in the visual field. We used functional magnetic resonance imaging (fMRI) in humans to test whether feature-based attention can globally influence visual cortical responses to stimuli outside the attended location. Attention to a stimulus feature (color or direction of motion) increased the response of cortical visual areas to a spatially distant, ignored stimulus that shared the same feature.","author":[{"family":"Saenz","given":"M"},{"family":"Buracas","given":"G T"},{"family":"Boynton","given":"G M"}],"issued":{"date-parts":[["2002"]]}}},{"id":218,"uris":["http://zotero.org/groups/318634/items/46KPA7FT"],"uri":["http://zotero.org/groups/318634/items/46KPA7FT"],"itemData":{"id":218,"type":"article-journal","title":"Feature-based attentional modulations in the absence of direct visual stimulation","container-title":"Neuron","page":"301-312","volume":"55","issue":"2","source":"PubMed","abstract":"When faced with a crowded visual scene, observers must selectively attend to behaviorally relevant objects to avoid sensory overload. Often this selection process is guided by prior knowledge of a target-defining feature (e.g., the color red when looking for an apple), which enhances the firing rate of visual neurons that are selective for the attended feature. Here, we used functional magnetic resonance imaging and a pattern classification algorithm to predict the attentional state of human observers as they monitored a visual feature (one of two directions of motion). We find that feature-specific attention effects spread across the visual field-even to regions of the scene that do not contain a stimulus. This spread of feature-based attention to empty regions of space may facilitate the perception of behaviorally relevant stimuli by increasing sensitivity to attended features at all locations in the visual field.","DOI":"10.1016/j.neuron.2007.06.015","ISSN":"0896-6273","note":"PMID: 17640530","journalAbbreviation":"Neuron","language":"eng","author":[{"family":"Serences","given":"John T."},{"family":"Boynton","given":"Geoffrey M."}],"issued":{"date-parts":[["2007",7,19]]}}},{"id":202,"uris":["http://zotero.org/groups/318634/items/SMQ59N9K"],"uri":["http://zotero.org/groups/318634/items/SMQ59N9K"],"itemData":{"id":202,"type":"article-journal","title":"Feature-based attention influences motion processing gain in macaque visual cortex","container-title":"Nature","page":"575-579","volume":"399","issue":"6736","source":"PubMed","abstract":"Changes in neural responses based on spatial attention have been demonstrated in many areas of visual cortex, indicating that the neural correlate of attention is an enhanced response to stimuli at an attended location and reduced responses to stimuli elsewhere. Here we demonstrate non-spatial, feature-based attentional modulation of visual motion processing, and show that attention increases the gain of direction-selective neurons in visual cortical area MT without narrowing the direction-tuning curves. These findings place important constraints on the neural mechanisms of attention and we propose to unify the effects of spatial location, direction of motion and other features of the attended stimuli in a 'feature similarity gain model' of attention.","DOI":"10.1038/21176","ISSN":"0028-0836","note":"PMID: 10376597","journalAbbreviation":"Nature","language":"eng","author":[{"family":"Treue","given":"S."},{"family":"Martínez Trujillo","given":"J. C."}],"issued":{"date-parts":[["1999",6,10]]}}}],"schema":"https://github.com/citation-style-language/schema/raw/master/csl-citation.json"}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color w:val="000000"/>
          <w:lang w:val="en-US"/>
        </w:rPr>
        <w:t xml:space="preserve">(such as Corbetta et al., 1990; Martinez-Trujillo &amp; Treue, 2004; Martínez-Trujillo &amp; Treue, 2002; Reynolds et al., 2000; </w:t>
      </w:r>
      <w:r w:rsidRPr="00225AB0">
        <w:rPr>
          <w:rFonts w:ascii="Arial" w:hAnsi="Arial" w:cs="Arial"/>
          <w:color w:val="000000"/>
          <w:lang w:val="en-US"/>
        </w:rPr>
        <w:lastRenderedPageBreak/>
        <w:t>Saenz et al., 2002; Serences &amp; Boynton, 2007; Treue &amp; Martínez Trujillo, 1999)</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p>
    <w:p w14:paraId="2999463D" w14:textId="77777777" w:rsidR="006832FB" w:rsidRPr="00225AB0" w:rsidRDefault="006832FB" w:rsidP="006832FB">
      <w:pPr>
        <w:rPr>
          <w:rFonts w:ascii="Arial" w:hAnsi="Arial" w:cs="Arial"/>
          <w:color w:val="0D0D0D" w:themeColor="text1" w:themeTint="F2"/>
        </w:rPr>
      </w:pPr>
    </w:p>
    <w:p w14:paraId="78286C25" w14:textId="029E75E0" w:rsidR="006832FB" w:rsidRPr="00225AB0" w:rsidRDefault="006832FB" w:rsidP="006832FB">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As in our previous experiment (see Chapter 4) we demonstrate that these above-chance classification results </w:t>
      </w:r>
      <w:r w:rsidR="009B08FB">
        <w:rPr>
          <w:rFonts w:ascii="Arial" w:hAnsi="Arial" w:cs="Arial"/>
          <w:color w:val="0D0D0D" w:themeColor="text1" w:themeTint="F2"/>
        </w:rPr>
        <w:t>do</w:t>
      </w:r>
      <w:r w:rsidRPr="00225AB0">
        <w:rPr>
          <w:rFonts w:ascii="Arial" w:hAnsi="Arial" w:cs="Arial"/>
          <w:color w:val="0D0D0D" w:themeColor="text1" w:themeTint="F2"/>
        </w:rPr>
        <w:t xml:space="preserve"> </w:t>
      </w:r>
      <w:r w:rsidRPr="00225AB0">
        <w:rPr>
          <w:rFonts w:ascii="Arial" w:hAnsi="Arial" w:cs="Arial"/>
          <w:i/>
          <w:color w:val="0D0D0D" w:themeColor="text1" w:themeTint="F2"/>
        </w:rPr>
        <w:t xml:space="preserve">not </w:t>
      </w:r>
      <w:r w:rsidRPr="00225AB0">
        <w:rPr>
          <w:rFonts w:ascii="Arial" w:hAnsi="Arial" w:cs="Arial"/>
          <w:color w:val="0D0D0D" w:themeColor="text1" w:themeTint="F2"/>
        </w:rPr>
        <w:t xml:space="preserve">depend solely on large-scale biases in feature- or chromatic-sensitivity </w:t>
      </w:r>
      <w:r w:rsidR="00D44AC6">
        <w:rPr>
          <w:rFonts w:ascii="Arial" w:hAnsi="Arial" w:cs="Arial"/>
          <w:color w:val="0D0D0D" w:themeColor="text1" w:themeTint="F2"/>
        </w:rPr>
        <w:t>in</w:t>
      </w:r>
      <w:r w:rsidRPr="00225AB0">
        <w:rPr>
          <w:rFonts w:ascii="Arial" w:hAnsi="Arial" w:cs="Arial"/>
          <w:color w:val="0D0D0D" w:themeColor="text1" w:themeTint="F2"/>
        </w:rPr>
        <w:t xml:space="preserve"> a visual area, which have been demonstrated in the past to drive classification performance in some types of task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{"citationID":"g22SV5gn","properties":{"formattedCitation":"(Clifford et al., 2009; Freeman et al., 2011)","plainCitation":"(Clifford et al., 2009; Freeman et al., 2011)","dontUpdate":true,"noteIndex":0},"citationItems":[{"id":158,"uris":["http://zotero.org/groups/318634/items/YEAZXLK8"],"uri":["http://zotero.org/groups/318634/items/YEAZXLK8"],"itemData":{"id":158,"type":"article-journal","title":"Radial biases in the processing of motion and motion-defined contours by human visual cortex","container-title":"Journal of Neurophysiology","page":"2974-2981","volume":"102","issue":"5","source":"PubMed","abstract":"Luminance gratings reportedly produce a stronger functional magnetic resonance imaging (fMRI) blood oxygen level-dependent (BOLD) signal in those parts of the retinotopic cortical maps where they are oriented radially to the point of fixation. We sought to extend this finding by examining anisotropies in the response of cortical areas V1-V3 to motion-defined contour stimuli. fMRI at 3 Tesla was used to measure the BOLD signal in the visual cortex of six human subjects. Stimuli were composed of strips of spatial white noise texture presented in an annular window. The texture in alternate strips moved in opposite directions (left-right or up-down). The strips themselves were static and tilted 45 degrees left or right from vertical. Comparison with maps of the visual field obtained from phase-encoded retinotopic analysis revealed systematic patterns of radial bias. For motion, a stronger response to horizontal was evident within V1 and along the borders between V2 and V3. For orientation, the response to leftward tilted contours was greater in left dorsal and right ventral V1-V3. Radial bias for the orientation of motion-defined contours analogous to that reported previously for luminance gratings could reflect cue-invariant processing or the operation of distinct mechanisms subject to similar anisotropies in orientation tuning. Radial bias for motion might be related to the phenomenon of \"motion streaks,\" whereby temporal integration by the visual system introduces oriented blur along the axis of motion. We speculate that the observed forms of radial bias reflect a common underlying anisotropy in the representation of spatiotemporal image structure across the visual field.","DOI":"10.1152/jn.00411.2009","ISSN":"1522-1598","note":"PMID: 19759326","journalAbbreviation":"J. Neurophysiol.","language":"eng","author":[{"family":"Clifford","given":"Colin W. G."},{"family":"Mannion","given":"Damien J."},{"family":"McDonald","given":"J. Scott"}],"issued":{"date-parts":[["2009",11]]}}},{"id":247,"uris":["http://zotero.org/groups/318634/items/87VKZCHG"],"uri":["http://zotero.org/groups/318634/items/87VKZCHG"],"itemData":{"id":247,"type":"article-journal","title":"Orientation decoding depends on maps, not columns","container-title":"Journal of Neuroscience","page":"4792–4804","volume":"31","issue":"13","source":"Google Scholar","author":[{"family":"Freeman","given":"Jeremy"},{"family":"Brouwer","given":"Gijs Joost"},{"family":"Heeger","given":"David J."},{"family":"Merriam","given":"Elisha P."}],"issued":{"date-parts":[["2011"]]}}}],"schema":"https://github.com/citation-style-language/schema/raw/master/csl-citation.json"}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noProof/>
          <w:color w:val="0D0D0D" w:themeColor="text1" w:themeTint="F2"/>
        </w:rPr>
        <w:t>(see Clifford et al., 2009; Freeman et al., 2011</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and section 1.3.4). Instead, our data are consistent with the hypotheses attention selects sub-populations of relatively fine-scaled maps </w:t>
      </w:r>
      <w:r w:rsidR="00D44AC6">
        <w:rPr>
          <w:rFonts w:ascii="Arial" w:hAnsi="Arial" w:cs="Arial"/>
          <w:color w:val="0D0D0D" w:themeColor="text1" w:themeTint="F2"/>
        </w:rPr>
        <w:t>in</w:t>
      </w:r>
      <w:r w:rsidRPr="00225AB0">
        <w:rPr>
          <w:rFonts w:ascii="Arial" w:hAnsi="Arial" w:cs="Arial"/>
          <w:color w:val="0D0D0D" w:themeColor="text1" w:themeTint="F2"/>
        </w:rPr>
        <w:t xml:space="preserve"> individual visual areas, although we do not rule out a coarser-scale topographic mapping which may vary across subjects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{"citationID":"NSUyXl70","properties":{"formattedCitation":"(Kamitani &amp; Sawahata, 2010; Kamitani &amp; Tong, 2005; Kay, Naselaris, Prenger, &amp; Gallant, 2008; Mannion et al., 2009; Sumner et al., 2008)","plainCitation":"(Kamitani &amp; Sawahata, 2010; Kamitani &amp; Tong, 2005; Kay, Naselaris, Prenger, &amp; Gallant, 2008; Mannion et al., 2009; Sumner et al., 2008)","dontUpdate":true,"noteIndex":0},"citationItems":[{"id":46,"uris":["http://zotero.org/groups/318634/items/4BZ895WQ"],"uri":["http://zotero.org/groups/318634/items/4BZ895WQ"],"itemData":{"id":46,"type":"article-journal","title":"Spatial smoothing hurts localization but not information: pitfalls for brain mappers","container-title":"NeuroImage","page":"1949-1952","volume":"49","issue":"3","source":"PubMed","abstract":"Op de Beeck (Op de Beeck, H., 2009. Against hyperacuity in brain reading: Spatial smoothing does not hurt multivariate fMRI analyses? Neuroimage) challenges the possibility of extracting information from subvoxel representations via random biases associated with voxel sampling, the hypothesis proposed by Kamitani and Tong (Kamitani, Y., Tong, F., 2005. Decoding the visual and subjective contents of the human brain. Nat. Neurosci. 8, 679-685). Here, we show that his results provide no evidence against the possibility, being consistent with both of the subvoxel and supravoxel representation models. Classification of spatially smoothed fMRI data is not an effective means to probe into information sources for multivoxel decoding, since smoothing does not hurt the information contents of multivoxel patterns. We point out the danger of interpreting multivoxel decoding results based on intuitions guided by the conventional brain mapping paradigm.","DOI":"10.1016/j.neuroimage.2009.06.040","ISSN":"1095-9572","note":"PMID: 19559797","title-short":"Spatial smoothing hurts localization but not information","journalAbbreviation":"Neuroimage","language":"eng","author":[{"family":"Kamitani","given":"Yukiyasu"},{"family":"Sawahata","given":"Yasuhito"}],"issued":{"date-parts":[["2010",2,1]]}}},{"id":242,"uris":["http://zotero.org/groups/318634/items/TYYPVP7C"],"uri":["http://zotero.org/groups/318634/items/TYYPVP7C"],"itemData":{"id":242,"type":"article-journal","title":"Decoding the visual and subjective contents of the human brain","container-title":"Nature Neuroscience","page":"679-685","volume":"8","issue":"5","source":"PubMed","abstract":"The potential for human neuroimaging to read out the detailed contents of a person's mental state has yet to be fully explored. We investigated whether the perception of edge orientation, a fundamental visual feature, can be decoded from human brain activity measured with functional magnetic resonance imaging (fMRI). Using statistical algorithms to classify brain states, we found that ensemble fMRI signals in early visual areas could reliably predict on individual trials which of eight stimulus orientations the subject was seeing. Moreover, when subjects had to attend to one of two overlapping orthogonal gratings, feature-based attention strongly biased ensemble activity toward the attended orientation. These results demonstrate that fMRI activity patterns in early visual areas, including primary visual cortex (V1), contain detailed orientation information that can reliably predict subjective perception. Our approach provides a framework for the readout of fine-tuned representations in the human brain and their subjective contents.","DOI":"10.1038/nn1444","ISSN":"1097-6256","note":"PMID: 15852014\nPMCID: PMC1808230","journalAbbreviation":"Nat. Neurosci.","language":"eng","author":[{"family":"Kamitani","given":"Yukiyasu"},{"family":"Tong","given":"Frank"}],"issued":{"date-parts":[["2005",5]]}}},{"id":155,"uris":["http://zotero.org/groups/318634/items/73RMCG8Q"],"uri":["http://zotero.org/groups/318634/items/73RMCG8Q"],"itemData":{"id":155,"type":"article-journal","title":"Identifying natural images from human brain activity","container-title":"Nature","page":"352-355","volume":"452","issue":"7185","source":"PubMed","abstract":"A challenging goal in neuroscience is to be able to read out, or decode, mental content from brain activity. Recent functional magnetic resonance imaging (fMRI) studies have decoded orientation, position and object category from activity in visual cortex. However, these studies typically used relatively simple stimuli (for example, gratings) or images drawn from fixed categories (for example, faces, houses), and decoding was based on previous measurements of brain activity evoked by those same stimuli or categories. To overcome these limitations, here we develop a decoding method based on quantitative receptive-field models that characterize the relationship between visual stimuli and fMRI activity in early visual areas. These models describe the tuning of individual voxels for space, orientation and spatial frequency, and are estimated directly from responses evoked by natural images. We show that these receptive-field models make it possible to identify, from a large set of completely novel natural images, which specific image was seen by an observer. Identification is not a mere consequence of the retinotopic organization of visual areas; simpler receptive-field models that describe only spatial tuning yield much poorer identification performance. Our results suggest that it may soon be possible to reconstruct a picture of a person's visual experience from measurements of brain activity alone.","DOI":"10.1038/nature06713","ISSN":"1476-4687","note":"PMID: 18322462\nPMCID: PMC3556484","journalAbbreviation":"Nature","language":"eng","author":[{"family":"Kay","given":"Kendrick N."},{"family":"Naselaris","given":"Thomas"},{"family":"Prenger","given":"Ryan J."},{"family":"Gallant","given":"Jack L."}],"issued":{"date-parts":[["2008",3,20]]}}},{"id":99,"uris":["http://zotero.org/groups/318634/items/KGIFYJHF"],"uri":["http://zotero.org/groups/318634/items/KGIFYJHF"],"itemData":{"id":99,"type":"article-journal","title":"Discrimination of the local orientation structure of spiral Glass patterns early in human visual cortex","container-title":"NeuroImage","page":"511-515","volume":"46","issue":"2","source":"PubMed","abstract":"The local orientation structure of a visual image is fundamental to the perception of spatial form. Reports of reliable orientation-selective modulations in the pattern of fMRI activity have demonstrated the potential for investigating the representation of orientation in the human visual cortex. Orientation-selective voxel responses could arise from anisotropies in the preferred orientations of pooled neurons due to the random sampling of the cortical surface. However, it is unclear whether orientation-selective voxel responses reflect biases in the underlying distribution of neuronal orientation preference, such as the demonstrated over-representation of radial orientations (those collinear with fixation). Here, we investigated whether stimuli balanced in their radial components could evoke orientation-selective biases in voxel activity. We attempted to discriminate the sense of spiral Glass patterns (opening anti-clockwise or clockwise), in which the local orientation structure was defined by the placement of paired dots at an orientation offset from the radial. We found that information within the spatial pattern of fMRI responses in each of V1, V2, V3, and V3A/B allowed discrimination of the spiral sense with accuracies significantly above chance. This result demonstrates that orientation-selective voxel responses can arise without the influence of a radial bias. Furthermore, the finding indicates the importance of the early visual areas in representing the local orientation structure for the perception of complex spatial form.","ISSN":"1095-9572","note":"PMID: 19385017","journalAbbreviation":"Neuroimage","language":"eng","author":[{"family":"Mannion","given":"D. J."},{"family":"McDonald","given":"J. S."},{"family":"Clifford","given":"C. W. G."}],"issued":{"date-parts":[["2009",6]]}}},{"id":56,"uris":["http://zotero.org/groups/318634/items/LRFY4LYQ"],"uri":["http://zotero.org/groups/318634/items/LRFY4LYQ"],"itemData":{"id":56,"type":"article-journal","title":"Combined orientation and colour information in human V1 for both L-M and S-cone chromatic axes","container-title":"NeuroImage","page":"814-824","volume":"39","issue":"2","source":"PubMed","abstract":"Although it is widely held that colour and form are processed separately in early visual cortex, there is growing evidence that primary visual cortex (V1) may show some joint selectivity for orientation and colour. Colour is supplied to V1 via two very different pathways: the parvocellular pathway (which also supports detailed form processing) carries L-M (\"red-green\") chromatic information, while a koniocellular pathway carries S-cone (\"lilac-yellow\") information. Therefore on entering V1, S-cone information is segregated from the pathways carrying form information, while L-M information is not. Whether signals from neuronal populations in human V1 reflect combined orientation and S-cone information has not been systematically addressed. We used fMRI in combination with a multivariate data analysis technique to investigate whether BOLD signals recorded from V1 contain information that could directly discriminate between orientations based on different types of chromatic information. We found selectivity in V1 for L-M and luminance-defined orientation signals, and most interestingly, also for S-cone defined orientation. We also found similarly successful orientation discrimination for both colour dimensions in V2 and V3. These results imply that a proportion of cells throughout human visual cortex show joint sensitivity to both colour and orientation. We discuss also the potential role of feedback to V1 from higher visual areas.","DOI":"10.1016/j.neuroimage.2007.09.013","ISSN":"1053-8119","note":"PMID: 17964188","journalAbbreviation":"Neuroimage","language":"eng","author":[{"family":"Sumner","given":"Petroc"},{"family":"Anderson","given":"Elaine J."},{"family":"Sylvester","given":"Richard"},{"family":"Haynes","given":"John-Dylan"},{"family":"Rees","given":"Geraint"}],"issued":{"date-parts":[["2008",1,15]]}}}],"schema":"https://github.com/citation-style-language/schema/raw/master/csl-citation.json"}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noProof/>
          <w:color w:val="0D0D0D" w:themeColor="text1" w:themeTint="F2"/>
        </w:rPr>
        <w:t>(supporting Kamitani &amp; Sawahata, 2010; Kamitani &amp; Tong, 2005; Kay, Naselaris, Prenger, &amp; Gallant, 2008; Mannion et al., 2009; Sumner et al., 2008)</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w:t>
      </w:r>
    </w:p>
    <w:p w14:paraId="41C9CD6A" w14:textId="77777777" w:rsidR="006832FB" w:rsidRPr="00225AB0" w:rsidRDefault="006832FB" w:rsidP="006832FB">
      <w:pPr>
        <w:rPr>
          <w:rFonts w:ascii="Arial" w:hAnsi="Arial" w:cs="Arial"/>
          <w:color w:val="0D0D0D" w:themeColor="text1" w:themeTint="F2"/>
        </w:rPr>
      </w:pPr>
    </w:p>
    <w:p w14:paraId="75DA2CA7" w14:textId="24525340" w:rsidR="006832FB" w:rsidRPr="00225AB0" w:rsidRDefault="006832FB" w:rsidP="006832FB">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Finally, </w:t>
      </w:r>
      <w:r w:rsidR="00D44AC6">
        <w:rPr>
          <w:rFonts w:ascii="Arial" w:hAnsi="Arial" w:cs="Arial"/>
          <w:color w:val="0D0D0D" w:themeColor="text1" w:themeTint="F2"/>
        </w:rPr>
        <w:t>in</w:t>
      </w:r>
      <w:r w:rsidRPr="00225AB0">
        <w:rPr>
          <w:rFonts w:ascii="Arial" w:hAnsi="Arial" w:cs="Arial"/>
          <w:color w:val="0D0D0D" w:themeColor="text1" w:themeTint="F2"/>
        </w:rPr>
        <w:t xml:space="preserve"> both our feature and chromatic connectivity analyses, we identify greater average connectivity between ROIs during passive viewing than directed attentional focus. This trend supports our previous findings with achromatic stimuli (see Chapter 4). This effect is striking </w:t>
      </w:r>
      <w:r w:rsidR="00D44AC6">
        <w:rPr>
          <w:rFonts w:ascii="Arial" w:hAnsi="Arial" w:cs="Arial"/>
          <w:color w:val="0D0D0D" w:themeColor="text1" w:themeTint="F2"/>
        </w:rPr>
        <w:t>in</w:t>
      </w:r>
      <w:r w:rsidRPr="00225AB0">
        <w:rPr>
          <w:rFonts w:ascii="Arial" w:hAnsi="Arial" w:cs="Arial"/>
          <w:color w:val="0D0D0D" w:themeColor="text1" w:themeTint="F2"/>
        </w:rPr>
        <w:t xml:space="preserve"> the colour analyses, where we identified significant differences between all chromatic passive viewing and all chromatic attention conditions. We suggest this positive connectivity between visual ROIs during passive viewing is reflective of ‘default mode’ style communication between areas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{"citationID":"zSQwtFuy","properties":{"formattedCitation":"(Raichle, 2015; Raichle et al., 2001)","plainCitation":"(Raichle, 2015; Raichle et al., 2001)","dontUpdate":true,"noteIndex":0},"citationItems":[{"id":154,"uris":["http://zotero.org/groups/318634/items/7LN7HHG4"],"uri":["http://zotero.org/groups/318634/items/7LN7HHG4"],"itemData":{"id":154,"type":"article-journal","title":"The brain's default mode network","container-title":"Annual Review of Neuroscience","page":"433-447","volume":"38","source":"PubMed","abstract":"The brain's default mode network consists of discrete, bilateral and symmetrical cortical areas, in the medial and lateral parietal, medial prefrontal, and medial and lateral temporal cortices of the human, nonhuman primate, cat, and rodent brains. Its discovery was an unexpected consequence of brain-imaging studies first performed with positron emission tomography in which various novel, attention-demanding, and non-self-referential tasks were compared with quiet repose either with eyes closed or with simple visual fixation. The default mode network consistently decreases its activity when compared with activity during these relaxed nontask states. The discovery of the default mode network reignited a longstanding interest in the significance of the brain's ongoing or intrinsic activity. Presently, studies of the brain's intrinsic activity, popularly referred to as resting-state studies, have come to play a major role in studies of the human brain in health and disease. The brain's default mode network plays a central role in this work.","DOI":"10.1146/annurev-neuro-071013-014030","ISSN":"1545-4126","note":"PMID: 25938726","journalAbbreviation":"Annu. Rev. Neurosci.","language":"eng","author":[{"family":"Raichle","given":"Marcus E."}],"issued":{"date-parts":[["2015",7,8]]}}},{"id":125,"uris":["http://zotero.org/groups/318634/items/VPBPRIWQ"],"uri":["http://zotero.org/groups/318634/items/VPBPRIWQ"],"itemData":{"id":125,"type":"article-journal","title":"A default mode of brain function","container-title":"Proceedings of the National Academy of Sciences","page":"676–682","volume":"98","issue":"2","source":"Google Scholar","author":[{"family":"Raichle","given":"Marcus E."},{"family":"MacLeod","given":"Ann Mary"},{"family":"Snyder","given":"Abraham Z."},{"family":"Powers","given":"William J."},{"family":"Gusnard","given":"Debra A."},{"family":"Shulman","given":"Gordon L."}],"issued":{"date-parts":[["2001"]]}}}],"schema":"https://github.com/citation-style-language/schema/raw/master/csl-citation.json"}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noProof/>
          <w:color w:val="0D0D0D" w:themeColor="text1" w:themeTint="F2"/>
        </w:rPr>
        <w:t>(see Raichle, 2015; Raichle et al., 2001)</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at a cm as oppose to typically-studied multi-cm scale. We propose once a visual task is provided, particular visual regions disengage from this passive connectivity network in order to process most effectively the attended feature, supporting the ideas of </w:t>
      </w:r>
      <w:r w:rsidRPr="00225AB0">
        <w:rPr>
          <w:rFonts w:ascii="Arial" w:hAnsi="Arial" w:cs="Arial"/>
          <w:color w:val="0D0D0D" w:themeColor="text1" w:themeTint="F2"/>
        </w:rPr>
        <w:fldChar w:fldCharType="begin"/>
      </w:r>
      <w:r w:rsidR="005B4361">
        <w:rPr>
          <w:rFonts w:ascii="Arial" w:hAnsi="Arial" w:cs="Arial"/>
          <w:color w:val="0D0D0D" w:themeColor="text1" w:themeTint="F2"/>
        </w:rPr>
        <w:instrText xml:space="preserve"> ADDIN ZOTERO_ITEM CSL_CITATION {"citationID":"Q2btFxkH","properties":{"formattedCitation":"(Dajani &amp; Uddin, 2015; Li et al., 2017; Reineberg, Gustavson, Benca, Banich, &amp; Friedman, 2018; Spadone et al., 2015; Vatansever, Manktelow, Sahakian, Menon, &amp; Stamatakis, 2016)","plainCitation":"(Dajani &amp; Uddin, 2015; Li et al., 2017; Reineberg, Gustavson, Benca, Banich, &amp; Friedman, 2018; Spadone et al., 2015; Vatansever, Manktelow, Sahakian, Menon, &amp; Stamatakis, 2016)","dontUpdate":true,"noteIndex":0},"citationItems":[{"id":272,"uris":["http://zotero.org/groups/318634/items/9SGVIVLV"],"uri":["http://zotero.org/groups/318634/items/9SGVIVLV"],"itemData":{"id":272,"type":"article-journal","title":"Demystifying cognitive flexibility: Implications for clinical and developmental neuroscience","container-title":"Trends in Neurosciences","page":"571-578","volume":"38","issue":"9","source":"PubMed","abstract":"Cognitive flexibility, the readiness with which one can selectively switch between mental processes to generate appropriate behavioral responses, develops in a protracted manner and is compromised in several prevalent neurodevelopmental disorders. It is unclear whether cognitive flexibility arises from neural substrates distinct from the executive control network (ECN) or from the interplay of nodes within this and other networks. Here we review neuroimaging studies of cognitive flexibility, focusing on set shifting and task switching. We propose that more consistent operationalization and study of cognitive flexibility is required in clinical and developmental neuroscience. We suggest that an important avenue for future research is the characterization of the relationship between neural flexibility and cognitive flexibility in typical and atypical development.","DOI":"10.1016/j.tins.2015.07.003","ISSN":"1878-108X","note":"PMID: 26343956\nPMCID: PMC5414037","title-short":"Demystifying cognitive flexibility","journalAbbreviation":"Trends Neurosci.","language":"eng","author":[{"family":"Dajani","given":"Dina R."},{"family":"Uddin","given":"Lucina Q."}],"issued":{"date-parts":[["2015",9]]}}},{"id":249,"uris":["http://zotero.org/groups/318634/items/L9XI39ZI"],"uri":["http://zotero.org/groups/318634/items/L9XI39ZI"],"itemData":{"id":249,"type":"article-journal","title":"High transition frequencies of dynamic functional connectivity states in the creative brain","container-title":"Scientific Reports","page":"46072","volume":"7","source":"PubMed","abstract":"Creativity is thought to require the flexible reconfiguration of multiple brain regions that interact in transient and complex communication patterns. In contrast to prior emphases on searching for specific regions or networks associated with creative performance, we focused on exploring the association between the reconfiguration of dynamic functional connectivity states and creative ability. We hypothesized that a high frequency of dynamic functional connectivity state transitions will be associated with creative ability. To test this hypothesis, we recruited a high-creative group (HCG) and a low-creative group (LCG) of participants and collected resting-state fMRI (R-fMRI) data and Torrance Tests of Creative Thinking (TTCT) scores from each participant. By combining an independent component analysis with a dynamic network analysis approach, we discovered the HCG had more frequent transitions between dynamic functional connectivity (dFC) states than the LCG. Moreover, a confirmatory analysis using multiplication of temporal derivatives also indicated that there were more frequent dFC state transitions in the HCG. Taken together, these results provided empirical evidence for a linkage between the flexible reconfiguration of dynamic functional connectivity states and creative ability. These findings have the potential to provide new insights into the neural basis of creativity.","DOI":"10.1038/srep46072","ISSN":"2045-2322","note":"PMID: 28383052\nPMCID: PMC5382673","journalAbbreviation":"Sci Rep","language":"eng","author":[{"family":"Li","given":"Junchao"},{"family":"Zhang","given":"Delong"},{"family":"Liang","given":"Aiying"},{"family":"Liang","given":"Bishan"},{"family":"Wang","given":"Zengjian"},{"family":"Cai","given":"Yuxuan"},{"family":"Gao","given":"Mengxia"},{"family":"Gao","given":"Zhenni"},{"family":"Chang","given":"Song"},{"family":"Jiao","given":"Bingqing"},{"family":"Huang","given":"Ruiwang"},{"family":"Liu","given":"Ming"}],"issued":{"date-parts":[["2017"]],"season":"06"}}},{"id":221,"uris":["http://zotero.org/groups/318634/items/482K87P4"],"uri":["http://zotero.org/groups/318634/items/482K87P4"],"itemData":{"id":221,"type":"article-journal","title":"The Relationship Between Resting State Network Connectivity and Individual Differences in Executive Functions","container-title":"Frontiers in Psychology","page":"1600","volume":"9","source":"PubMed","abstract":"The brain is organized into a number of large networks based on shared function, for example, high-level cognitive functions (frontoparietal network), attentional capabilities (dorsal and ventral attention networks), and internal mentation (default network). The correlations of these networks during resting-state fMRI scans varies across individuals and is an indicator of individual differences in ability. Prior work shows higher cognitive functioning (as measured by working memory and attention tasks) is associated with stronger negative correlations between frontoparietal/attention and default networks, suggesting that increased ability may depend upon the diverging activation of networks with contrasting function. However, these prior studies lack specificity with regard to the higher-level cognitive functions involved, particularly with regards to separable components of executive function (EF). Here we decompose EF into three factors from the unity/diversity model of EFs: Common EF, Shifting-specific EF, and Updating-specific EF, measuring each via factor scores derived from a battery of behavioral tasks completed by 250 adult participants (age 28) at the time of a resting-state scan. We found the hypothesized segregated pattern only for Shifting-specific EF. Specifically, after accounting for one's general EF ability (Common EF), individuals better able to fluidly switch between task sets have a stronger negative correlation between the ventral attention network and the default network. We also report non-predicted novel findings in that individuals with higher Shifting-specific abilities exhibited more positive connectivity between frontoparietal and visual networks, while those individuals with higher Common EF exhibited increased connectivity between sensory and default networks. Overall, these results reveal a new degree of specificity with regard to connectivity/EF relationships.","DOI":"10.3389/fpsyg.2018.01600","ISSN":"1664-1078","note":"PMID: 30233455\nPMCID: PMC6134071","journalAbbreviation":"Front Psychol","language":"eng","author":[{"family":"Reineberg","given":"Andrew E."},{"family":"Gustavson","given":"Daniel E."},{"family":"Benca","given":"Chelsie"},{"family":"Banich","given":"Marie T."},{"family":"Friedman","given":"Naomi P."}],"issued":{"date-parts":[["2018"]]}}},{"id":210,"uris":["http://zotero.org/groups/318634/items/BKT428JT"],"uri":["http://zotero.org/groups/318634/items/BKT428JT"],"itemData":{"id":210,"type":"article-journal","title":"Dynamic reorganization of human resting-state networks during visuospatial attention","container-title":"Proceedings of the National Academy of Sciences of the United States of America","page":"8112-8117","volume":"112","issue":"26","source":"PubMed","abstract":"Fundamental problems in neuroscience today are understanding how patterns of ongoing spontaneous activity are modified by task performance and whether/how these intrinsic patterns influence task-evoked activation and behavior. We examined these questions by comparing instantaneous functional connectivity (IFC) and directed functional connectivity (DFC) changes in two networks that are strongly correlated and segregated at rest: the visual (VIS) network and the dorsal attention network (DAN). We measured how IFC and DFC during a visuospatial attention task, which requires dynamic selective rerouting of visual information across hemispheres, changed with respect to rest. During the attention task, the two networks remained relatively segregated, and their general pattern of within-network correlation was maintained. However, attention induced a decrease of correlation in the VIS network and an increase of the DAN→VIS IFC and DFC, especially in a top-down direction. In contrast, within the DAN, IFC was not modified by attention, whereas DFC was enhanced. Importantly, IFC modulations were behaviorally relevant. We conclude that a stable backbone of within-network functional connectivity topography remains in place when transitioning between resting wakefulness and attention selection. However, relative decrease of correlation of ongoing \"idling\" activity in visual cortex and synchronization between frontoparietal and visual cortex were behaviorally relevant, indicating that modulations of resting activity patterns are important for task performance. Higher order resting connectivity in the DAN was relatively unaffected during attention, potentially indicating a role for simultaneous ongoing activity as a \"prior\" for attention selection.","DOI":"10.1073/pnas.1415439112","ISSN":"1091-6490","note":"PMID: 26080395\nPMCID: PMC4491799","journalAbbreviation":"Proc. Natl. Acad. Sci. U.S.A.","language":"eng","author":[{"family":"Spadone","given":"Sara"},{"family":"Della Penna","given":"Stefania"},{"family":"Sestieri","given":"Carlo"},{"family":"Betti","given":"Viviana"},{"family":"Tosoni","given":"Annalisa"},{"family":"Perrucci","given":"Mauro Gianni"},{"family":"Romani","given":"Gian Luca"},{"family":"Corbetta","given":"Maurizio"}],"issued":{"date-parts":[["2015",6,30]]}}},{"id":215,"uris":["http://zotero.org/groups/318634/items/K48VSQMZ"],"uri":["http://zotero.org/groups/318634/items/K48VSQMZ"],"itemData":{"id":215,"type":"article-journal","title":"Cognitive Flexibility: A Default Network and Basal Ganglia Connectivity Perspective","container-title":"Brain Connectivity","page":"201-207","volume":"6","issue":"3","source":"PubMed","abstract":"The intra/extradimensional set-shifting task (IED) provides a reliable assessment of cognitive flexibility, the shifting of attention to select behaviorally relevant stimuli in a given context. Impairments in this domain were previously reported in patients with altered neurotransmitter systems such as schizophrenia and Parkinson's disease. Consequently, corticostriatal connections were implicated in the mediation of this function. In addition, parts of the default mode network (DMN), namely the medial prefrontal and posterior cingulate/precuneus cortices, are also being progressively described in association with set-shifting paradigms. Nevertheless, a definitive link between cognitive flexibility and DMN connectivity remains to be established. To this end, we related resting state functional magnetic resonance imaging (fMRI)-based functional connectivity of DMN with IED task performance in a healthy population, measured outside the scanner. The results demonstrated that greater posterior cingulate cortex/precuneus (DMN) connectivity with the ventromedial striatopallidum at rest correlated with fewer total adjusted errors on the IED task. This finding points to a relationship between DMN and basal ganglia connectivity for cognitive flexibility, further highlighting this network's potential role in adaptive human cognition.","DOI":"10.1089/brain.2015.0388","ISSN":"2158-0022","note":"PMID: 26652748\nPMCID: PMC5118962","title-short":"Cognitive Flexibility","journalAbbreviation":"Brain Connect","language":"eng","author":[{"family":"Vatansever","given":"Deniz"},{"family":"Manktelow","given":"Anne E."},{"family":"Sahakian","given":"Barbara J."},{"family":"Menon","given":"David K."},{"family":"Stamatakis","given":"Emmanuel A."}],"issued":{"date-parts":[["2016",4]]}}}],"schema":"https://github.com/citation-style-language/schema/raw/master/csl-citation.json"} </w:instrText>
      </w:r>
      <w:r w:rsidRPr="00225AB0">
        <w:rPr>
          <w:rFonts w:ascii="Arial" w:hAnsi="Arial" w:cs="Arial"/>
          <w:color w:val="0D0D0D" w:themeColor="text1" w:themeTint="F2"/>
        </w:rPr>
        <w:fldChar w:fldCharType="separate"/>
      </w:r>
      <w:r w:rsidRPr="00225AB0">
        <w:rPr>
          <w:rFonts w:ascii="Arial" w:hAnsi="Arial" w:cs="Arial"/>
          <w:noProof/>
          <w:color w:val="0D0D0D" w:themeColor="text1" w:themeTint="F2"/>
        </w:rPr>
        <w:t xml:space="preserve">Dajani &amp; Uddin, </w:t>
      </w:r>
      <w:r w:rsidRPr="00225AB0">
        <w:rPr>
          <w:rFonts w:ascii="Arial" w:hAnsi="Arial" w:cs="Arial"/>
          <w:noProof/>
          <w:color w:val="0D0D0D" w:themeColor="text1" w:themeTint="F2"/>
        </w:rPr>
        <w:lastRenderedPageBreak/>
        <w:t>(2015); Li et al., (2017); Reineberg, Gustavson, Benca, Banich, &amp; Friedman, (2018); Spadone et al., (2015) and Vatansever, Manktelow, Sahakian, Menon, &amp; Stamatakis, (2016)</w:t>
      </w:r>
      <w:r w:rsidRPr="00225AB0">
        <w:rPr>
          <w:rFonts w:ascii="Arial" w:hAnsi="Arial" w:cs="Arial"/>
          <w:color w:val="0D0D0D" w:themeColor="text1" w:themeTint="F2"/>
        </w:rPr>
        <w:fldChar w:fldCharType="end"/>
      </w:r>
      <w:r w:rsidRPr="00225AB0">
        <w:rPr>
          <w:rFonts w:ascii="Arial" w:hAnsi="Arial" w:cs="Arial"/>
          <w:color w:val="0D0D0D" w:themeColor="text1" w:themeTint="F2"/>
        </w:rPr>
        <w:t xml:space="preserve">. Perhaps our connectivity and partial correlation findings for colour are more robust </w:t>
      </w:r>
      <w:r w:rsidR="00DE2360">
        <w:rPr>
          <w:rFonts w:ascii="Arial" w:hAnsi="Arial" w:cs="Arial"/>
          <w:color w:val="0D0D0D" w:themeColor="text1" w:themeTint="F2"/>
        </w:rPr>
        <w:t>as they</w:t>
      </w:r>
      <w:r w:rsidRPr="00225AB0">
        <w:rPr>
          <w:rFonts w:ascii="Arial" w:hAnsi="Arial" w:cs="Arial"/>
          <w:color w:val="0D0D0D" w:themeColor="text1" w:themeTint="F2"/>
        </w:rPr>
        <w:t xml:space="preserve"> reflect</w:t>
      </w:r>
      <w:r w:rsidR="00DE2360">
        <w:rPr>
          <w:rFonts w:ascii="Arial" w:hAnsi="Arial" w:cs="Arial"/>
          <w:color w:val="0D0D0D" w:themeColor="text1" w:themeTint="F2"/>
        </w:rPr>
        <w:t xml:space="preserve"> a combining </w:t>
      </w:r>
      <w:r w:rsidRPr="00225AB0">
        <w:rPr>
          <w:rFonts w:ascii="Arial" w:hAnsi="Arial" w:cs="Arial"/>
          <w:color w:val="0D0D0D" w:themeColor="text1" w:themeTint="F2"/>
        </w:rPr>
        <w:t xml:space="preserve">of data across all three low-level visual feature attention conditions, or maybe colour is a more salient or engaging stimulus than orientation, achromatic contrast or shape, and as such we see a clearer effect </w:t>
      </w:r>
      <w:r w:rsidR="00D44AC6">
        <w:rPr>
          <w:rFonts w:ascii="Arial" w:hAnsi="Arial" w:cs="Arial"/>
          <w:color w:val="0D0D0D" w:themeColor="text1" w:themeTint="F2"/>
        </w:rPr>
        <w:t>in</w:t>
      </w:r>
      <w:r w:rsidRPr="00225AB0">
        <w:rPr>
          <w:rFonts w:ascii="Arial" w:hAnsi="Arial" w:cs="Arial"/>
          <w:color w:val="0D0D0D" w:themeColor="text1" w:themeTint="F2"/>
        </w:rPr>
        <w:t xml:space="preserve"> this analysis. </w:t>
      </w:r>
    </w:p>
    <w:p w14:paraId="4DEFF801" w14:textId="77777777" w:rsidR="006832FB" w:rsidRPr="00225AB0" w:rsidRDefault="006832FB" w:rsidP="006832FB">
      <w:pPr>
        <w:spacing w:line="480" w:lineRule="auto"/>
        <w:rPr>
          <w:rFonts w:ascii="Arial" w:hAnsi="Arial" w:cs="Arial"/>
          <w:color w:val="0D0D0D" w:themeColor="text1" w:themeTint="F2"/>
        </w:rPr>
      </w:pPr>
    </w:p>
    <w:p w14:paraId="0A0A2997" w14:textId="055088E2" w:rsidR="006832FB" w:rsidRPr="00225AB0" w:rsidRDefault="00D44AC6" w:rsidP="006832FB">
      <w:pPr>
        <w:spacing w:line="480" w:lineRule="auto"/>
        <w:rPr>
          <w:rFonts w:ascii="Arial" w:hAnsi="Arial" w:cs="Arial"/>
          <w:color w:val="0D0D0D" w:themeColor="text1" w:themeTint="F2"/>
        </w:rPr>
      </w:pPr>
      <w:r>
        <w:rPr>
          <w:rFonts w:ascii="Arial" w:hAnsi="Arial" w:cs="Arial"/>
          <w:color w:val="0D0D0D" w:themeColor="text1" w:themeTint="F2"/>
        </w:rPr>
        <w:t>In</w:t>
      </w:r>
      <w:r w:rsidR="006832FB" w:rsidRPr="00225AB0">
        <w:rPr>
          <w:rFonts w:ascii="Arial" w:hAnsi="Arial" w:cs="Arial"/>
          <w:color w:val="0D0D0D" w:themeColor="text1" w:themeTint="F2"/>
        </w:rPr>
        <w:t xml:space="preserve"> the partial</w:t>
      </w:r>
      <w:r w:rsidR="00DE2360">
        <w:rPr>
          <w:rFonts w:ascii="Arial" w:hAnsi="Arial" w:cs="Arial"/>
          <w:color w:val="0D0D0D" w:themeColor="text1" w:themeTint="F2"/>
        </w:rPr>
        <w:t xml:space="preserve"> feature-specific</w:t>
      </w:r>
      <w:r w:rsidR="006832FB" w:rsidRPr="00225AB0">
        <w:rPr>
          <w:rFonts w:ascii="Arial" w:hAnsi="Arial" w:cs="Arial"/>
          <w:color w:val="0D0D0D" w:themeColor="text1" w:themeTint="F2"/>
        </w:rPr>
        <w:t xml:space="preserve"> correlation analysis, we identify a significant difference in patterns of connectivity between contrast and passive in V3A/B and LO-1 and between shape and passive viewing conditions in V3A/B. These findings indicate, in support of our previous experiment (see Chapter 4) that not all ROIs and their connections are modulated in the same way in all attentional tasks. The differences we identify between this experiment and our previous achromatic experiment may reflect a by-product of combining data across stimulus chromaticity. However, we still support an overall trend of greater connectivity between visual ROIs during passive viewing than versus directed attentional focus. </w:t>
      </w:r>
    </w:p>
    <w:p w14:paraId="42EA368F" w14:textId="77777777" w:rsidR="006832FB" w:rsidRPr="00225AB0" w:rsidRDefault="006832FB" w:rsidP="006832FB">
      <w:pPr>
        <w:spacing w:line="480" w:lineRule="auto"/>
        <w:rPr>
          <w:rFonts w:ascii="Arial" w:hAnsi="Arial" w:cs="Arial"/>
          <w:color w:val="0D0D0D" w:themeColor="text1" w:themeTint="F2"/>
        </w:rPr>
      </w:pPr>
    </w:p>
    <w:p w14:paraId="2E3BE856" w14:textId="7D9FF647" w:rsidR="006832FB" w:rsidRPr="00225AB0" w:rsidRDefault="006832FB" w:rsidP="006832FB">
      <w:pPr>
        <w:spacing w:line="480" w:lineRule="auto"/>
        <w:rPr>
          <w:rFonts w:ascii="Arial" w:hAnsi="Arial" w:cs="Arial"/>
          <w:color w:val="0D0D0D" w:themeColor="text1" w:themeTint="F2"/>
        </w:rPr>
      </w:pPr>
      <w:r w:rsidRPr="00225AB0">
        <w:rPr>
          <w:rFonts w:ascii="Arial" w:hAnsi="Arial" w:cs="Arial"/>
          <w:color w:val="0D0D0D" w:themeColor="text1" w:themeTint="F2"/>
        </w:rPr>
        <w:t xml:space="preserve">In conclusion, here, we have employed a relatively novel approach for investigating attentional modulation both to low-level stimulus </w:t>
      </w:r>
      <w:r w:rsidR="00DE2360">
        <w:rPr>
          <w:rFonts w:ascii="Arial" w:hAnsi="Arial" w:cs="Arial"/>
          <w:color w:val="0D0D0D" w:themeColor="text1" w:themeTint="F2"/>
        </w:rPr>
        <w:t>feature</w:t>
      </w:r>
      <w:r w:rsidRPr="00225AB0">
        <w:rPr>
          <w:rFonts w:ascii="Arial" w:hAnsi="Arial" w:cs="Arial"/>
          <w:color w:val="0D0D0D" w:themeColor="text1" w:themeTint="F2"/>
        </w:rPr>
        <w:t xml:space="preserve"> and chromaticity across the visual cortex, at a range of spatial scales. We demonstrate clear evidence of attentional modulation across the visual hierarchy and identify patterns of attentional modulation across voxels </w:t>
      </w:r>
      <w:r w:rsidR="00D44AC6">
        <w:rPr>
          <w:rFonts w:ascii="Arial" w:hAnsi="Arial" w:cs="Arial"/>
          <w:color w:val="0D0D0D" w:themeColor="text1" w:themeTint="F2"/>
        </w:rPr>
        <w:t>in</w:t>
      </w:r>
      <w:r w:rsidRPr="00225AB0">
        <w:rPr>
          <w:rFonts w:ascii="Arial" w:hAnsi="Arial" w:cs="Arial"/>
          <w:color w:val="0D0D0D" w:themeColor="text1" w:themeTint="F2"/>
        </w:rPr>
        <w:t xml:space="preserve"> individual areas. We also demonstrate that attention elicits a strong </w:t>
      </w:r>
      <w:r w:rsidRPr="00225AB0">
        <w:rPr>
          <w:rFonts w:ascii="Arial" w:hAnsi="Arial" w:cs="Arial"/>
          <w:i/>
          <w:color w:val="0D0D0D" w:themeColor="text1" w:themeTint="F2"/>
        </w:rPr>
        <w:t xml:space="preserve">decorrelation </w:t>
      </w:r>
      <w:r w:rsidRPr="00225AB0">
        <w:rPr>
          <w:rFonts w:ascii="Arial" w:hAnsi="Arial" w:cs="Arial"/>
          <w:color w:val="0D0D0D" w:themeColor="text1" w:themeTint="F2"/>
        </w:rPr>
        <w:t xml:space="preserve">of ROI responses in comparison with passive viewing of a </w:t>
      </w:r>
      <w:r w:rsidRPr="00225AB0">
        <w:rPr>
          <w:rFonts w:ascii="Arial" w:hAnsi="Arial" w:cs="Arial"/>
          <w:color w:val="0D0D0D" w:themeColor="text1" w:themeTint="F2"/>
        </w:rPr>
        <w:lastRenderedPageBreak/>
        <w:t xml:space="preserve">stimulus. This paradigm can reveal a wealth of information regarding the spatial extent of attentional modulation across the visual cortex in response to shifting attentional focus in oppose to more traditionally-studied bottom-up stimulus driven changes. </w:t>
      </w:r>
    </w:p>
    <w:p w14:paraId="4B4D03A8" w14:textId="77777777" w:rsidR="006832FB" w:rsidRPr="00225AB0" w:rsidRDefault="006832FB" w:rsidP="006832FB">
      <w:pPr>
        <w:rPr>
          <w:rFonts w:ascii="Arial" w:hAnsi="Arial" w:cs="Arial"/>
        </w:rPr>
      </w:pPr>
    </w:p>
    <w:p w14:paraId="64922AC2" w14:textId="77777777" w:rsidR="006832FB" w:rsidRDefault="006832FB" w:rsidP="00FA62F7">
      <w:pPr>
        <w:spacing w:line="480" w:lineRule="auto"/>
        <w:rPr>
          <w:rFonts w:ascii="Arial" w:hAnsi="Arial" w:cs="Arial"/>
          <w:color w:val="0D0D0D" w:themeColor="text1" w:themeTint="F2"/>
        </w:rPr>
      </w:pPr>
    </w:p>
    <w:p w14:paraId="567F2F70" w14:textId="77777777" w:rsidR="009927A8" w:rsidRDefault="009927A8" w:rsidP="00FA62F7">
      <w:pPr>
        <w:spacing w:line="480" w:lineRule="auto"/>
        <w:rPr>
          <w:rFonts w:ascii="Arial" w:hAnsi="Arial" w:cs="Arial"/>
          <w:color w:val="0D0D0D" w:themeColor="text1" w:themeTint="F2"/>
        </w:rPr>
      </w:pPr>
    </w:p>
    <w:p w14:paraId="684BC928" w14:textId="77777777" w:rsidR="009927A8" w:rsidRDefault="009927A8" w:rsidP="00FA62F7">
      <w:pPr>
        <w:spacing w:line="480" w:lineRule="auto"/>
        <w:rPr>
          <w:rFonts w:ascii="Arial" w:hAnsi="Arial" w:cs="Arial"/>
          <w:color w:val="0D0D0D" w:themeColor="text1" w:themeTint="F2"/>
        </w:rPr>
      </w:pPr>
    </w:p>
    <w:p w14:paraId="3E70EBD5" w14:textId="77777777" w:rsidR="009927A8" w:rsidRDefault="009927A8" w:rsidP="00FA62F7">
      <w:pPr>
        <w:spacing w:line="480" w:lineRule="auto"/>
        <w:rPr>
          <w:rFonts w:ascii="Arial" w:hAnsi="Arial" w:cs="Arial"/>
          <w:color w:val="0D0D0D" w:themeColor="text1" w:themeTint="F2"/>
        </w:rPr>
      </w:pPr>
    </w:p>
    <w:p w14:paraId="0D141E3A" w14:textId="77777777" w:rsidR="009927A8" w:rsidRDefault="009927A8" w:rsidP="00FA62F7">
      <w:pPr>
        <w:spacing w:line="480" w:lineRule="auto"/>
        <w:rPr>
          <w:rFonts w:ascii="Arial" w:hAnsi="Arial" w:cs="Arial"/>
          <w:color w:val="0D0D0D" w:themeColor="text1" w:themeTint="F2"/>
        </w:rPr>
      </w:pPr>
    </w:p>
    <w:p w14:paraId="57D8545C" w14:textId="77777777" w:rsidR="009927A8" w:rsidRDefault="009927A8" w:rsidP="00FA62F7">
      <w:pPr>
        <w:spacing w:line="480" w:lineRule="auto"/>
        <w:rPr>
          <w:rFonts w:ascii="Arial" w:hAnsi="Arial" w:cs="Arial"/>
          <w:color w:val="0D0D0D" w:themeColor="text1" w:themeTint="F2"/>
        </w:rPr>
      </w:pPr>
    </w:p>
    <w:p w14:paraId="21293D97" w14:textId="77777777" w:rsidR="009927A8" w:rsidRDefault="009927A8" w:rsidP="00FA62F7">
      <w:pPr>
        <w:spacing w:line="480" w:lineRule="auto"/>
        <w:rPr>
          <w:rFonts w:ascii="Arial" w:hAnsi="Arial" w:cs="Arial"/>
          <w:color w:val="0D0D0D" w:themeColor="text1" w:themeTint="F2"/>
        </w:rPr>
      </w:pPr>
    </w:p>
    <w:p w14:paraId="462CA079" w14:textId="77777777" w:rsidR="009927A8" w:rsidRDefault="009927A8" w:rsidP="00FA62F7">
      <w:pPr>
        <w:spacing w:line="480" w:lineRule="auto"/>
        <w:rPr>
          <w:rFonts w:ascii="Arial" w:hAnsi="Arial" w:cs="Arial"/>
          <w:color w:val="0D0D0D" w:themeColor="text1" w:themeTint="F2"/>
        </w:rPr>
      </w:pPr>
    </w:p>
    <w:p w14:paraId="39151AE6" w14:textId="77777777" w:rsidR="009927A8" w:rsidRDefault="009927A8" w:rsidP="00FA62F7">
      <w:pPr>
        <w:spacing w:line="480" w:lineRule="auto"/>
        <w:rPr>
          <w:rFonts w:ascii="Arial" w:hAnsi="Arial" w:cs="Arial"/>
          <w:color w:val="0D0D0D" w:themeColor="text1" w:themeTint="F2"/>
        </w:rPr>
      </w:pPr>
    </w:p>
    <w:p w14:paraId="79B5B454" w14:textId="77777777" w:rsidR="009927A8" w:rsidRDefault="009927A8" w:rsidP="00FA62F7">
      <w:pPr>
        <w:spacing w:line="480" w:lineRule="auto"/>
        <w:rPr>
          <w:rFonts w:ascii="Arial" w:hAnsi="Arial" w:cs="Arial"/>
          <w:color w:val="0D0D0D" w:themeColor="text1" w:themeTint="F2"/>
        </w:rPr>
      </w:pPr>
    </w:p>
    <w:p w14:paraId="4AD4055B" w14:textId="77777777" w:rsidR="009927A8" w:rsidRDefault="009927A8" w:rsidP="00FA62F7">
      <w:pPr>
        <w:spacing w:line="480" w:lineRule="auto"/>
        <w:rPr>
          <w:rFonts w:ascii="Arial" w:hAnsi="Arial" w:cs="Arial"/>
          <w:color w:val="0D0D0D" w:themeColor="text1" w:themeTint="F2"/>
        </w:rPr>
      </w:pPr>
    </w:p>
    <w:p w14:paraId="42DE643A" w14:textId="0DA254D5" w:rsidR="009927A8" w:rsidRDefault="009927A8" w:rsidP="00FA62F7">
      <w:pPr>
        <w:spacing w:line="480" w:lineRule="auto"/>
        <w:rPr>
          <w:rFonts w:ascii="Arial" w:hAnsi="Arial" w:cs="Arial"/>
          <w:color w:val="0D0D0D" w:themeColor="text1" w:themeTint="F2"/>
        </w:rPr>
      </w:pPr>
    </w:p>
    <w:p w14:paraId="279D1D89" w14:textId="73D0C37A" w:rsidR="00AE6937" w:rsidRDefault="00AE6937" w:rsidP="00FA62F7">
      <w:pPr>
        <w:spacing w:line="480" w:lineRule="auto"/>
        <w:rPr>
          <w:rFonts w:ascii="Arial" w:hAnsi="Arial" w:cs="Arial"/>
          <w:color w:val="0D0D0D" w:themeColor="text1" w:themeTint="F2"/>
        </w:rPr>
      </w:pPr>
    </w:p>
    <w:p w14:paraId="2AE8254B" w14:textId="77777777" w:rsidR="00AE6937" w:rsidRDefault="00AE6937" w:rsidP="00FA62F7">
      <w:pPr>
        <w:spacing w:line="480" w:lineRule="auto"/>
        <w:rPr>
          <w:rFonts w:ascii="Arial" w:hAnsi="Arial" w:cs="Arial"/>
          <w:color w:val="0D0D0D" w:themeColor="text1" w:themeTint="F2"/>
        </w:rPr>
      </w:pPr>
    </w:p>
    <w:p w14:paraId="68B7DBAF" w14:textId="77777777" w:rsidR="009927A8" w:rsidRDefault="009927A8" w:rsidP="00FA62F7">
      <w:pPr>
        <w:spacing w:line="480" w:lineRule="auto"/>
        <w:rPr>
          <w:rFonts w:ascii="Arial" w:hAnsi="Arial" w:cs="Arial"/>
          <w:color w:val="0D0D0D" w:themeColor="text1" w:themeTint="F2"/>
        </w:rPr>
      </w:pPr>
    </w:p>
    <w:p w14:paraId="7073C7E0" w14:textId="77777777" w:rsidR="009927A8" w:rsidRDefault="009927A8" w:rsidP="00FA62F7">
      <w:pPr>
        <w:spacing w:line="480" w:lineRule="auto"/>
        <w:rPr>
          <w:rFonts w:ascii="Arial" w:hAnsi="Arial" w:cs="Arial"/>
          <w:color w:val="0D0D0D" w:themeColor="text1" w:themeTint="F2"/>
        </w:rPr>
      </w:pPr>
    </w:p>
    <w:p w14:paraId="24C7CD85" w14:textId="77777777" w:rsidR="00300CFD" w:rsidRPr="00225AB0" w:rsidRDefault="00300CFD" w:rsidP="00FA62F7">
      <w:pPr>
        <w:spacing w:line="480" w:lineRule="auto"/>
        <w:rPr>
          <w:rFonts w:ascii="Arial" w:hAnsi="Arial" w:cs="Arial"/>
          <w:color w:val="0D0D0D" w:themeColor="text1" w:themeTint="F2"/>
        </w:rPr>
      </w:pPr>
    </w:p>
    <w:p w14:paraId="20242596" w14:textId="77777777" w:rsidR="006832FB" w:rsidRPr="00225AB0" w:rsidRDefault="006832FB" w:rsidP="00FA62F7">
      <w:pPr>
        <w:spacing w:line="480" w:lineRule="auto"/>
        <w:rPr>
          <w:rFonts w:ascii="Arial" w:hAnsi="Arial" w:cs="Arial"/>
          <w:color w:val="0D0D0D" w:themeColor="text1" w:themeTint="F2"/>
        </w:rPr>
      </w:pPr>
    </w:p>
    <w:p w14:paraId="25C29CCC" w14:textId="7CB7FA20" w:rsidR="00943820" w:rsidRDefault="00943820" w:rsidP="00034C2E">
      <w:pPr>
        <w:pStyle w:val="Heading1"/>
        <w:numPr>
          <w:ilvl w:val="0"/>
          <w:numId w:val="10"/>
        </w:numPr>
        <w:rPr>
          <w:rFonts w:ascii="Arial" w:hAnsi="Arial" w:cs="Arial"/>
          <w:b/>
          <w:color w:val="000000" w:themeColor="text1"/>
          <w:sz w:val="44"/>
          <w:szCs w:val="44"/>
        </w:rPr>
      </w:pPr>
      <w:bookmarkStart w:id="726" w:name="_Toc11153986"/>
      <w:bookmarkStart w:id="727" w:name="_Toc11753671"/>
      <w:bookmarkStart w:id="728" w:name="_Toc11926857"/>
      <w:bookmarkStart w:id="729" w:name="_Toc11930120"/>
      <w:bookmarkStart w:id="730" w:name="_Toc16075436"/>
      <w:bookmarkStart w:id="731" w:name="_Toc16237029"/>
      <w:r w:rsidRPr="00225AB0">
        <w:rPr>
          <w:rFonts w:ascii="Arial" w:hAnsi="Arial" w:cs="Arial"/>
          <w:b/>
          <w:color w:val="000000" w:themeColor="text1"/>
          <w:sz w:val="44"/>
          <w:szCs w:val="44"/>
        </w:rPr>
        <w:lastRenderedPageBreak/>
        <w:t xml:space="preserve">Investigating patterns of attentional modulation </w:t>
      </w:r>
      <w:r w:rsidR="00D44AC6">
        <w:rPr>
          <w:rFonts w:ascii="Arial" w:hAnsi="Arial" w:cs="Arial"/>
          <w:b/>
          <w:color w:val="000000" w:themeColor="text1"/>
          <w:sz w:val="44"/>
          <w:szCs w:val="44"/>
        </w:rPr>
        <w:t>in</w:t>
      </w:r>
      <w:r w:rsidRPr="00225AB0">
        <w:rPr>
          <w:rFonts w:ascii="Arial" w:hAnsi="Arial" w:cs="Arial"/>
          <w:b/>
          <w:color w:val="000000" w:themeColor="text1"/>
          <w:sz w:val="44"/>
          <w:szCs w:val="44"/>
        </w:rPr>
        <w:t xml:space="preserve"> the visual cortex with a naturalistic visual stimulus</w:t>
      </w:r>
      <w:bookmarkEnd w:id="726"/>
      <w:bookmarkEnd w:id="727"/>
      <w:bookmarkEnd w:id="728"/>
      <w:bookmarkEnd w:id="729"/>
      <w:bookmarkEnd w:id="730"/>
      <w:bookmarkEnd w:id="731"/>
    </w:p>
    <w:p w14:paraId="36060584" w14:textId="77777777" w:rsidR="00734436" w:rsidRPr="00734436" w:rsidRDefault="00734436" w:rsidP="00734436"/>
    <w:p w14:paraId="200E76C4" w14:textId="77777777" w:rsidR="0060072E" w:rsidRPr="00225AB0" w:rsidRDefault="0060072E" w:rsidP="0060072E">
      <w:pPr>
        <w:rPr>
          <w:rFonts w:ascii="Arial" w:hAnsi="Arial" w:cs="Arial"/>
        </w:rPr>
      </w:pPr>
    </w:p>
    <w:p w14:paraId="65EF0090" w14:textId="77777777" w:rsidR="0060072E" w:rsidRDefault="0060072E" w:rsidP="001811CC">
      <w:pPr>
        <w:pStyle w:val="Heading2"/>
        <w:numPr>
          <w:ilvl w:val="1"/>
          <w:numId w:val="7"/>
        </w:numPr>
        <w:rPr>
          <w:rFonts w:ascii="Arial" w:hAnsi="Arial" w:cs="Arial"/>
          <w:b/>
          <w:color w:val="000000" w:themeColor="text1"/>
          <w:sz w:val="28"/>
          <w:szCs w:val="28"/>
        </w:rPr>
      </w:pPr>
      <w:bookmarkStart w:id="732" w:name="_Toc11148037"/>
      <w:bookmarkStart w:id="733" w:name="_Toc11153987"/>
      <w:bookmarkStart w:id="734" w:name="_Toc11753672"/>
      <w:bookmarkStart w:id="735" w:name="_Toc11926858"/>
      <w:bookmarkStart w:id="736" w:name="_Toc11930121"/>
      <w:bookmarkStart w:id="737" w:name="_Toc16075437"/>
      <w:bookmarkStart w:id="738" w:name="_Toc16237030"/>
      <w:r w:rsidRPr="00734436">
        <w:rPr>
          <w:rFonts w:ascii="Arial" w:hAnsi="Arial" w:cs="Arial"/>
          <w:b/>
          <w:color w:val="000000" w:themeColor="text1"/>
          <w:sz w:val="28"/>
          <w:szCs w:val="28"/>
        </w:rPr>
        <w:t>Abstract</w:t>
      </w:r>
      <w:bookmarkEnd w:id="732"/>
      <w:bookmarkEnd w:id="733"/>
      <w:bookmarkEnd w:id="734"/>
      <w:bookmarkEnd w:id="735"/>
      <w:bookmarkEnd w:id="736"/>
      <w:bookmarkEnd w:id="737"/>
      <w:bookmarkEnd w:id="738"/>
    </w:p>
    <w:p w14:paraId="1CF57978" w14:textId="77777777" w:rsidR="00734436" w:rsidRPr="00734436" w:rsidRDefault="00734436" w:rsidP="00734436"/>
    <w:p w14:paraId="1041AC51" w14:textId="2947DEB1" w:rsidR="0060072E" w:rsidRDefault="0060072E" w:rsidP="0060072E">
      <w:pPr>
        <w:spacing w:line="480" w:lineRule="auto"/>
        <w:rPr>
          <w:rFonts w:ascii="Arial" w:hAnsi="Arial" w:cs="Arial"/>
        </w:rPr>
      </w:pPr>
      <w:r w:rsidRPr="00225AB0">
        <w:rPr>
          <w:rFonts w:ascii="Arial" w:hAnsi="Arial" w:cs="Arial"/>
        </w:rPr>
        <w:t xml:space="preserve">Humans constantly interact with a complex and dynamic visual environment. However, the majority of studies probing visual attention use highly controlled, low-level visual stimuli, which have little similarity with our natural environment. Here, we examined visual cortex activation with fMRI in response to shifting attentional focus, during viewing of an uncontrolled, relatively naturalistic stimulus (the animated movie </w:t>
      </w:r>
      <w:r w:rsidRPr="00225AB0">
        <w:rPr>
          <w:rFonts w:ascii="Arial" w:hAnsi="Arial" w:cs="Arial"/>
          <w:i/>
        </w:rPr>
        <w:t>Frozen).</w:t>
      </w:r>
      <w:r w:rsidRPr="00225AB0">
        <w:rPr>
          <w:rFonts w:ascii="Arial" w:hAnsi="Arial" w:cs="Arial"/>
        </w:rPr>
        <w:t xml:space="preserve">  We identify relatively little evidence of differential patterns of attentional modulation to low-level visual features at both the univariate level and multivariate level. However, we identify distinct and robust effect</w:t>
      </w:r>
      <w:r w:rsidR="00E55A15">
        <w:rPr>
          <w:rFonts w:ascii="Arial" w:hAnsi="Arial" w:cs="Arial"/>
        </w:rPr>
        <w:t>s</w:t>
      </w:r>
      <w:r w:rsidRPr="00225AB0">
        <w:rPr>
          <w:rFonts w:ascii="Arial" w:hAnsi="Arial" w:cs="Arial"/>
        </w:rPr>
        <w:t xml:space="preserve"> of attention on patterns of connectivity between a range of visual areas. We identify significantly greater positive connectivity between visual regions when attending to faces or passively viewing a stimulus </w:t>
      </w:r>
      <w:r w:rsidR="000C655E">
        <w:rPr>
          <w:rFonts w:ascii="Arial" w:hAnsi="Arial" w:cs="Arial"/>
        </w:rPr>
        <w:t>in comparison with conditions of directed attention. We also</w:t>
      </w:r>
      <w:r w:rsidRPr="00225AB0">
        <w:rPr>
          <w:rFonts w:ascii="Arial" w:hAnsi="Arial" w:cs="Arial"/>
        </w:rPr>
        <w:t xml:space="preserve"> provide evidence of differing patterns of network-level connectivity </w:t>
      </w:r>
      <w:r w:rsidR="00D44AC6">
        <w:rPr>
          <w:rFonts w:ascii="Arial" w:hAnsi="Arial" w:cs="Arial"/>
        </w:rPr>
        <w:t>in</w:t>
      </w:r>
      <w:r w:rsidRPr="00225AB0">
        <w:rPr>
          <w:rFonts w:ascii="Arial" w:hAnsi="Arial" w:cs="Arial"/>
        </w:rPr>
        <w:t xml:space="preserve"> the visual cortex when directing attention towards fine-scale differences </w:t>
      </w:r>
      <w:r w:rsidR="00D44AC6">
        <w:rPr>
          <w:rFonts w:ascii="Arial" w:hAnsi="Arial" w:cs="Arial"/>
        </w:rPr>
        <w:t>in</w:t>
      </w:r>
      <w:r w:rsidRPr="00225AB0">
        <w:rPr>
          <w:rFonts w:ascii="Arial" w:hAnsi="Arial" w:cs="Arial"/>
        </w:rPr>
        <w:t xml:space="preserve"> a feature category (e.g. vertical, horizontal and diagonal orientations). We demonstrate naturalistic stimuli are effective in probing mechanisms of visual attention, identifying a synchronisation and desynchronization of visual areas a function of attentional task, and these differences emerge even at a relatively fine scale of stimulus selectivity. </w:t>
      </w:r>
    </w:p>
    <w:p w14:paraId="427C49FC" w14:textId="77777777" w:rsidR="007107D5" w:rsidRPr="00225AB0" w:rsidRDefault="007107D5" w:rsidP="0060072E">
      <w:pPr>
        <w:spacing w:line="480" w:lineRule="auto"/>
        <w:rPr>
          <w:rFonts w:ascii="Arial" w:hAnsi="Arial" w:cs="Arial"/>
        </w:rPr>
      </w:pPr>
    </w:p>
    <w:p w14:paraId="352F28FB" w14:textId="77777777" w:rsidR="0060072E" w:rsidRDefault="0060072E" w:rsidP="001811CC">
      <w:pPr>
        <w:pStyle w:val="Heading2"/>
        <w:numPr>
          <w:ilvl w:val="1"/>
          <w:numId w:val="7"/>
        </w:numPr>
        <w:rPr>
          <w:rFonts w:ascii="Arial" w:hAnsi="Arial" w:cs="Arial"/>
          <w:b/>
          <w:color w:val="000000" w:themeColor="text1"/>
          <w:sz w:val="28"/>
          <w:szCs w:val="28"/>
        </w:rPr>
      </w:pPr>
      <w:bookmarkStart w:id="739" w:name="_Toc11148038"/>
      <w:bookmarkStart w:id="740" w:name="_Toc11153988"/>
      <w:bookmarkStart w:id="741" w:name="_Toc11753673"/>
      <w:bookmarkStart w:id="742" w:name="_Toc11926859"/>
      <w:bookmarkStart w:id="743" w:name="_Toc11930122"/>
      <w:bookmarkStart w:id="744" w:name="_Toc16075438"/>
      <w:bookmarkStart w:id="745" w:name="_Toc16237031"/>
      <w:r w:rsidRPr="00734436">
        <w:rPr>
          <w:rFonts w:ascii="Arial" w:hAnsi="Arial" w:cs="Arial"/>
          <w:b/>
          <w:color w:val="000000" w:themeColor="text1"/>
          <w:sz w:val="28"/>
          <w:szCs w:val="28"/>
        </w:rPr>
        <w:lastRenderedPageBreak/>
        <w:t>Introduction</w:t>
      </w:r>
      <w:bookmarkEnd w:id="739"/>
      <w:bookmarkEnd w:id="740"/>
      <w:bookmarkEnd w:id="741"/>
      <w:bookmarkEnd w:id="742"/>
      <w:bookmarkEnd w:id="743"/>
      <w:bookmarkEnd w:id="744"/>
      <w:bookmarkEnd w:id="745"/>
    </w:p>
    <w:p w14:paraId="6D43F641" w14:textId="77777777" w:rsidR="00734436" w:rsidRPr="00734436" w:rsidRDefault="00734436" w:rsidP="00734436"/>
    <w:p w14:paraId="634B09FB" w14:textId="4536E6E5" w:rsidR="0060072E" w:rsidRPr="00225AB0" w:rsidRDefault="0060072E" w:rsidP="0060072E">
      <w:pPr>
        <w:spacing w:line="480" w:lineRule="auto"/>
        <w:rPr>
          <w:rFonts w:ascii="Arial" w:hAnsi="Arial" w:cs="Arial"/>
        </w:rPr>
      </w:pPr>
      <w:r w:rsidRPr="00225AB0">
        <w:rPr>
          <w:rFonts w:ascii="Arial" w:hAnsi="Arial" w:cs="Arial"/>
        </w:rPr>
        <w:t xml:space="preserve">The human brain has evolved to allow for successful navigation through an immensely stimulating, complex and dynamic visual world </w:t>
      </w:r>
      <w:r w:rsidRPr="00225AB0">
        <w:rPr>
          <w:rFonts w:ascii="Arial" w:hAnsi="Arial" w:cs="Arial"/>
        </w:rPr>
        <w:fldChar w:fldCharType="begin"/>
      </w:r>
      <w:r w:rsidR="005B4361">
        <w:rPr>
          <w:rFonts w:ascii="Arial" w:hAnsi="Arial" w:cs="Arial"/>
        </w:rPr>
        <w:instrText xml:space="preserve"> ADDIN ZOTERO_ITEM CSL_CITATION {"citationID":"mY7ZslEP","properties":{"formattedCitation":"(Spiers &amp; Maguire, 2007)","plainCitation":"(Spiers &amp; Maguire, 2007)","noteIndex":0},"citationItems":[{"id":44,"uris":["http://zotero.org/groups/318634/items/98YZP2H5"],"uri":["http://zotero.org/groups/318634/items/98YZP2H5"],"itemData":{"id":44,"type":"article-journal","title":"Decoding human brain activity during real-world experiences","container-title":"Trends in Cognitive Sciences","page":"356-365","volume":"11","issue":"8","source":"PubMed","abstract":"The human brain evolved to function and survive in a highly stimulating, complex and fast-changing world. Attempting to ascertain the neural substrates of operating in naturalistic contexts represents a huge challenge. Recently, however, researchers have begun to use several innovative analysis methods to interrogate functional magnetic resonance imaging (fMRI) data collected during dynamic naturalistic tasks. Central to these new developments is the inventive approach taken to segregating neural activity linked to specific events within the overall continuous stream of complex stimulation. In this review, we discuss the recent literature, detailing the key studies and their methods. These analytical techniques can be applied in a wide range of cognitive domains and, thus, offer exciting new opportunities for gaining insights into the brain bases of thoughts and behaviours in the real-world setting where they normally occur.","DOI":"10.1016/j.tics.2007.06.002","ISSN":"1364-6613","note":"PMID: 17618161","journalAbbreviation":"Trends Cogn. Sci. (Regul. Ed.)","language":"eng","author":[{"family":"Spiers","given":"Hugo J."},{"family":"Maguire","given":"Eleanor A."}],"issued":{"date-parts":[["2007",8]]}}}],"schema":"https://github.com/citation-style-language/schema/raw/master/csl-citation.json"} </w:instrText>
      </w:r>
      <w:r w:rsidRPr="00225AB0">
        <w:rPr>
          <w:rFonts w:ascii="Arial" w:hAnsi="Arial" w:cs="Arial"/>
        </w:rPr>
        <w:fldChar w:fldCharType="separate"/>
      </w:r>
      <w:r w:rsidRPr="00225AB0">
        <w:rPr>
          <w:rFonts w:ascii="Arial" w:hAnsi="Arial" w:cs="Arial"/>
          <w:noProof/>
        </w:rPr>
        <w:t>(Spiers &amp; Maguire, 2007)</w:t>
      </w:r>
      <w:r w:rsidRPr="00225AB0">
        <w:rPr>
          <w:rFonts w:ascii="Arial" w:hAnsi="Arial" w:cs="Arial"/>
        </w:rPr>
        <w:fldChar w:fldCharType="end"/>
      </w:r>
      <w:r w:rsidRPr="00225AB0">
        <w:rPr>
          <w:rFonts w:ascii="Arial" w:hAnsi="Arial" w:cs="Arial"/>
        </w:rPr>
        <w:t xml:space="preserve">. Typically, visual research focuses on using isolated, highly controlled stimuli to investigate a precise aspect of visual processing. However, such stimuli do not provide an accurate reflection of how humans interact with visual information in their external environment on a day-to-day basis. Recently, visual researchers have begun to experiment with naturalistic, real-world stimuli, to better reflect the rich visual environment we are constantly immersed in and to allow for stronger generalisation of findings to real-world scenarios. The use of dynamic naturalistic stimuli such as movies </w:t>
      </w:r>
      <w:r w:rsidR="00D44AC6">
        <w:rPr>
          <w:rFonts w:ascii="Arial" w:hAnsi="Arial" w:cs="Arial"/>
        </w:rPr>
        <w:t>in</w:t>
      </w:r>
      <w:r w:rsidRPr="00225AB0">
        <w:rPr>
          <w:rFonts w:ascii="Arial" w:hAnsi="Arial" w:cs="Arial"/>
        </w:rPr>
        <w:t xml:space="preserve"> visual research is important to ensure the findings obtained with simplified and controlled low-level visual stimuli are valid and applicable to the complex and dynamic visual world. </w:t>
      </w:r>
    </w:p>
    <w:p w14:paraId="50CAD174" w14:textId="77777777" w:rsidR="0060072E" w:rsidRPr="00225AB0" w:rsidRDefault="0060072E" w:rsidP="0060072E">
      <w:pPr>
        <w:rPr>
          <w:rFonts w:ascii="Arial" w:hAnsi="Arial" w:cs="Arial"/>
        </w:rPr>
      </w:pPr>
    </w:p>
    <w:p w14:paraId="0FD21EDE" w14:textId="6644BAAD" w:rsidR="0060072E" w:rsidRPr="00225AB0" w:rsidRDefault="0060072E" w:rsidP="0060072E">
      <w:pPr>
        <w:spacing w:line="480" w:lineRule="auto"/>
        <w:rPr>
          <w:rFonts w:ascii="Arial" w:hAnsi="Arial" w:cs="Arial"/>
        </w:rPr>
      </w:pPr>
      <w:r w:rsidRPr="00225AB0">
        <w:rPr>
          <w:rFonts w:ascii="Arial" w:hAnsi="Arial" w:cs="Arial"/>
        </w:rPr>
        <w:t xml:space="preserve">Previous research has </w:t>
      </w:r>
      <w:r w:rsidR="00E5785F">
        <w:rPr>
          <w:rFonts w:ascii="Arial" w:hAnsi="Arial" w:cs="Arial"/>
        </w:rPr>
        <w:t>shown that</w:t>
      </w:r>
      <w:r w:rsidRPr="00225AB0">
        <w:rPr>
          <w:rFonts w:ascii="Arial" w:hAnsi="Arial" w:cs="Arial"/>
        </w:rPr>
        <w:t xml:space="preserve"> naturalistic, ‘rich’ visual stimuli can produce greater activation of the visual cortex than similar studies with relatively low-level visual stimul</w:t>
      </w:r>
      <w:r w:rsidR="000C655E">
        <w:rPr>
          <w:rFonts w:ascii="Arial" w:hAnsi="Arial" w:cs="Arial"/>
        </w:rPr>
        <w:t>i</w:t>
      </w:r>
      <w:r w:rsidRPr="00225AB0">
        <w:rPr>
          <w:rFonts w:ascii="Arial" w:hAnsi="Arial" w:cs="Arial"/>
        </w:rPr>
        <w:t xml:space="preserve"> </w:t>
      </w:r>
      <w:r w:rsidRPr="00225AB0">
        <w:rPr>
          <w:rFonts w:ascii="Arial" w:hAnsi="Arial" w:cs="Arial"/>
        </w:rPr>
        <w:fldChar w:fldCharType="begin"/>
      </w:r>
      <w:r w:rsidR="005B4361">
        <w:rPr>
          <w:rFonts w:ascii="Arial" w:hAnsi="Arial" w:cs="Arial"/>
        </w:rPr>
        <w:instrText xml:space="preserve"> ADDIN ZOTERO_ITEM CSL_CITATION {"citationID":"2drcuoxg","properties":{"formattedCitation":"(Andreas Bartels &amp; Zeki, 2004b)","plainCitation":"(Andreas Bartels &amp; Zeki, 2004b)","dontUpdate":true,"noteIndex":0},"citationItems":[{"id":43,"uris":["http://zotero.org/groups/318634/items/4DP68J4G"],"uri":["http://zotero.org/groups/318634/items/4DP68J4G"],"itemData":{"id":43,"type":"article-journal","title":"The chronoarchitecture of the human brain--natural viewing conditions reveal a time-based anatomy of the brain","container-title":"NeuroImage","page":"419-433","volume":"22","issue":"1","source":"PubMed","abstract":"A dominant tendency in cerebral studies has been the attempt to locate architecturally distinct parts of the cortex and assign special functions to each, through histological, clinical or hypothesis-based imaging experiments. Here we show that the cerebral cortex can also be subdivided into different components temporally, without any a priori hypotheses, based on the principle of functional independence. This states that distinct functional subdivisions have activity time courses (ATCs) that are, if not independent, at least characteristic to each when the brain is exposed to natural conditions. To approach a time-based anatomy experimentally, we recorded whole-brain activity using functional magnetic resonance imaging (fMRI) and analyzed the data with independent component analysis (ICA). Our results show that a multitude of cortical areas can be identified based purely on their characteristic ATCs during natural conditions. We demonstrate that a more \"rich\" stimulation (free viewing of a movie) leads to more areas being activated in a specific way than conventional stimuli, allowing for a more detailed dissection of the cortex into its subdivisions. We show that stimulus-driven functionally specialized areas can be identified by intersubject correlation even if their function is unknown. Chronoarchitectonic mapping thus opens the prospect of identifying previously unknown cortical subdivisions based on natural viewing conditions by exploiting the characteristic temporal \"fingerprint\" that is unique to each.","DOI":"10.1016/j.neuroimage.2004.01.007","ISSN":"1053-8119","note":"PMID: 15110035","journalAbbreviation":"Neuroimage","language":"eng","author":[{"family":"Bartels","given":"Andreas"},{"family":"Zeki","given":"Semir"}],"issued":{"date-parts":[["2004",5]]}}}],"schema":"https://github.com/citation-style-language/schema/raw/master/csl-citation.json"} </w:instrText>
      </w:r>
      <w:r w:rsidRPr="00225AB0">
        <w:rPr>
          <w:rFonts w:ascii="Arial" w:hAnsi="Arial" w:cs="Arial"/>
        </w:rPr>
        <w:fldChar w:fldCharType="separate"/>
      </w:r>
      <w:r w:rsidRPr="00225AB0">
        <w:rPr>
          <w:rFonts w:ascii="Arial" w:hAnsi="Arial" w:cs="Arial"/>
          <w:noProof/>
        </w:rPr>
        <w:t>(Bartels &amp; Zeki, 2004b)</w:t>
      </w:r>
      <w:r w:rsidRPr="00225AB0">
        <w:rPr>
          <w:rFonts w:ascii="Arial" w:hAnsi="Arial" w:cs="Arial"/>
        </w:rPr>
        <w:fldChar w:fldCharType="end"/>
      </w:r>
      <w:r w:rsidRPr="00225AB0">
        <w:rPr>
          <w:rFonts w:ascii="Arial" w:hAnsi="Arial" w:cs="Arial"/>
        </w:rPr>
        <w:t xml:space="preserve">. Research has also demonstrated that </w:t>
      </w:r>
      <w:r w:rsidR="00DC4A2C">
        <w:rPr>
          <w:rFonts w:ascii="Arial" w:hAnsi="Arial" w:cs="Arial"/>
        </w:rPr>
        <w:t>canonical</w:t>
      </w:r>
      <w:r w:rsidRPr="00225AB0">
        <w:rPr>
          <w:rFonts w:ascii="Arial" w:hAnsi="Arial" w:cs="Arial"/>
        </w:rPr>
        <w:t xml:space="preserve"> responses of specialised visual regions and patterns of connectivity are preserved with the use of naturalistic stimuli </w:t>
      </w:r>
      <w:r w:rsidRPr="00225AB0">
        <w:rPr>
          <w:rFonts w:ascii="Arial" w:hAnsi="Arial" w:cs="Arial"/>
        </w:rPr>
        <w:fldChar w:fldCharType="begin"/>
      </w:r>
      <w:r w:rsidR="005B4361">
        <w:rPr>
          <w:rFonts w:ascii="Arial" w:hAnsi="Arial" w:cs="Arial"/>
        </w:rPr>
        <w:instrText xml:space="preserve"> ADDIN ZOTERO_ITEM CSL_CITATION {"citationID":"znPRc21h","properties":{"formattedCitation":"(A Bartels, Zeki, &amp; Logothetis, 2008; Andreas Bartels &amp; Zeki, 2004b, 2004a, 2005; Russ &amp; Leopold, 2015; Spiers &amp; Maguire, 2007)","plainCitation":"(A Bartels, Zeki, &amp; Logothetis, 2008; Andreas Bartels &amp; Zeki, 2004b, 2004a, 2005; Russ &amp; Leopold, 2015; Spiers &amp; Maguire, 2007)","dontUpdate":true,"noteIndex":0},"citationItems":[{"id":40,"uris":["http://zotero.org/groups/318634/items/V3DABKWD"],"uri":["http://zotero.org/groups/318634/items/V3DABKWD"],"itemData":{"id":40,"type":"article-journal","title":"Natural vision reveals regional specialization to local motion and to contrast-invariant, global flow in the human brain","container-title":"Cerebral Cortex (New York, N.Y.: 1991)","page":"705-717","volume":"18","issue":"3","source":"PubMed","abstract":"Visual changes in feature movies, like in real-live, can be partitioned into global flow due to self/camera motion, local/differential flow due to object motion, and residuals, for example, due to illumination changes. We correlated these measures with brain responses of human volunteers viewing movies in an fMRI scanner. Early visual areas responded only to residual changes, thus lacking responses to equally large motion-induced changes, consistent with predictive coding. Motion activated V5+ (MT+), V3A, medial posterior parietal cortex (mPPC) and, weakly, lateral occipital cortex (LOC). V5+ responded to local/differential motion and depended on visual contrast, whereas mPPC responded to global flow spanning the whole visual field and was contrast independent. mPPC thus codes for flow compatible with unbiased heading estimation in natural scenes and for the comparison of visual flow with nonretinal, multimodal motion cues in it or downstream. mPPC was functionally connected to anterior portions of V5+, whereas laterally neighboring putative homologue of lateral intraparietal area (LIP) connected with frontal eye fields. Our results demonstrate a progression of selectivity from local and contrast-dependent motion processing in V5+ toward global and contrast-independent motion processing in mPPC. The function, connectivity, and anatomical neighborhood of mPPC imply several parallels to monkey ventral intraparietal area (VIP).","DOI":"10.1093/cercor/bhm107","ISSN":"1460-2199","note":"PMID: 17615246","journalAbbreviation":"Cereb. Cortex","language":"eng","author":[{"family":"Bartels","given":"A"},{"family":"Zeki","given":"S"},{"family":"Logothetis","given":"N. K."}],"issued":{"date-parts":[["2008",3]]}}},{"id":43,"uris":["http://zotero.org/groups/318634/items/4DP68J4G"],"uri":["http://zotero.org/groups/318634/items/4DP68J4G"],"itemData":{"id":43,"type":"article-journal","title":"The chronoarchitecture of the human brain--natural viewing conditions reveal a time-based anatomy of the brain","container-title":"NeuroImage","page":"419-433","volume":"22","issue":"1","source":"PubMed","abstract":"A dominant tendency in cerebral studies has been the attempt to locate architecturally distinct parts of the cortex and assign special functions to each, through histological, clinical or hypothesis-based imaging experiments. Here we show that the cerebral cortex can also be subdivided into different components temporally, without any a priori hypotheses, based on the principle of functional independence. This states that distinct functional subdivisions have activity time courses (ATCs) that are, if not independent, at least characteristic to each when the brain is exposed to natural conditions. To approach a time-based anatomy experimentally, we recorded whole-brain activity using functional magnetic resonance imaging (fMRI) and analyzed the data with independent component analysis (ICA). Our results show that a multitude of cortical areas can be identified based purely on their characteristic ATCs during natural conditions. We demonstrate that a more \"rich\" stimulation (free viewing of a movie) leads to more areas being activated in a specific way than conventional stimuli, allowing for a more detailed dissection of the cortex into its subdivisions. We show that stimulus-driven functionally specialized areas can be identified by intersubject correlation even if their function is unknown. Chronoarchitectonic mapping thus opens the prospect of identifying previously unknown cortical subdivisions based on natural viewing conditions by exploiting the characteristic temporal \"fingerprint\" that is unique to each.","DOI":"10.1016/j.neuroimage.2004.01.007","ISSN":"1053-8119","note":"PMID: 15110035","journalAbbreviation":"Neuroimage","language":"eng","author":[{"family":"Bartels","given":"Andreas"},{"family":"Zeki","given":"Semir"}],"issued":{"date-parts":[["2004",5]]}}},{"id":42,"uris":["http://zotero.org/groups/318634/items/Y8NNHCLK"],"uri":["http://zotero.org/groups/318634/items/Y8NNHCLK"],"itemData":{"id":42,"type":"article-journal","title":"Functional brain mapping during free viewing of natural scenes","container-title":"Human Brain Mapping","page":"75-85","volume":"21","issue":"2","source":"PubMed","abstract":"Previous imaging studies have used mostly perceptually abstracted, idealized, or static stimuli to show segregation of function in the cerebral cortex. We wanted to learn whether functional segregation is maintained during more natural, complex, and dynamic conditions when many features have to be processed simultaneously, and identify regions whose activity correlates with the perception of specific features. To achieve this, we used functional magnetic resonance imaging (fMRI) to measure brain activity when human observers viewed freely dynamic natural scenes (a James Bond movie). The intensity with which they perceived different features (color, faces, language, and human bodies) was assessed psychometrically in separate sessions. In all subjects different features were perceived with a high degree of independence over time. We found that the perception of each feature correlated with activity in separate, specialized areas whose activity also varied independently. We conclude that even in natural conditions, when many features have to be processed simultaneously, functional specialization is preserved. Our method thus opens a new way of brain mapping, which allows the localization of a multitude of brain areas based on a single experiment using uncontrolled, natural stimuli. Furthermore, our results show that the intensity of activity in a specialized area is linearly correlated with the intensity of its perceptual experience. This leads us to suggest that each specialized area is directly responsible for the creation of a feature-specific conscious percept (a microconsciousness). Hum. Brain Mapp. 21:75-83, 2004.","DOI":"10.1002/hbm.10153","ISSN":"1065-9471","note":"PMID: 14755595","journalAbbreviation":"Hum Brain Mapp","language":"eng","author":[{"family":"Bartels","given":"Andreas"},{"family":"Zeki","given":"Semir"}],"issued":{"date-parts":[["2004",2]]}}},{"id":41,"uris":["http://zotero.org/groups/318634/items/4SLK2G7Z"],"uri":["http://zotero.org/groups/318634/items/4SLK2G7Z"],"itemData":{"id":41,"type":"article-journal","title":"Brain dynamics during natural viewing conditions--a new guide for mapping connectivity in vivo","container-title":"NeuroImage","page":"339-349","volume":"24","issue":"2","source":"PubMed","abstract":"We describe here a new way of obtaining maps of connectivity in the human brain based on interregional correlations of blood oxygen level-dependent (BOLD) signal during natural viewing conditions. We propose that anatomical connections are reflected in BOLD signal correlations during natural brain dynamics. This may provide a powerful approach to chart connectivity, more so than that based on the 'resting state' of the human brain, and it may complement diffusion tensor imaging. Our approach relies on natural brain dynamics and is therefore experimentally unbiased and independent of hypothesis-driven, specialized stimuli. It has the advantage that natural viewing leads to considerably stronger cortical activity than rest, thus facilitating detection of weaker connections. To validate our technique, we used functional magnetic resonance imaging (fMRI) to record BOLD signal while volunteers freely viewed a movie that was interrupted by resting periods. We used independent component analysis (ICA) to segregate cortical areas before characterizing the dynamics of their BOLD signal during free viewing and rest. Natural viewing and rest each revealed highly specific correlation maps, which reflected known anatomical connections. Examples are homologous regions in visual and auditory cortices in the two hemispheres and the language network consisting of Wernicke's area, Broca's area, and a premotor region. Correlations between regions known to be directly connected were always substantially higher than between nonconnected regions. Furthermore, compared to rest, natural viewing specifically increased correlations between anatomically connected regions while it decreased correlations between nonconnected regions. Our findings therefore demonstrate that natural viewing conditions lead to particularly specific interregional correlations and thus provide a powerful environment to reveal anatomical connectivity in vivo.","DOI":"10.1016/j.neuroimage.2004.08.044","ISSN":"1053-8119","note":"PMID: 15627577","journalAbbreviation":"Neuroimage","language":"eng","author":[{"family":"Bartels","given":"Andreas"},{"family":"Zeki","given":"Semir"}],"issued":{"date-parts":[["2005",1,15]]}}},{"id":39,"uris":["http://zotero.org/groups/318634/items/R8EIC582"],"uri":["http://zotero.org/groups/318634/items/R8EIC582"],"itemData":{"id":39,"type":"article-journal","title":"Functional MRI mapping of dynamic visual features during natural viewing in the macaque","container-title":"NeuroImage","page":"84-94","volume":"109","source":"PubMed","abstract":"The ventral visual pathway of the primate brain is specialized to respond to stimuli in certain categories, such as the well-studied face selective patches in the macaque inferotemporal cortex. To what extent does response selectivity determined using brief presentations of isolated stimuli predict activity during the free viewing of a natural, dynamic scene, where features are superimposed in space and time? To approach this question, we obtained fMRI activity from the brains of three macaques viewing extended video clips containing a range of social and nonsocial content and compared the fMRI time courses to a family of feature models derived from the movie content. Starting with more than two dozen feature models extracted from each movie, we created functional maps based on features whose time courses were nearly orthogonal, focusing primarily on faces, motion content, and contrast level. Activity mapping using the face feature model readily yielded functional regions closely resembling face patches obtained using a block design in the same animals. Overall, the motion feature model dominated responses in nearly all visually driven areas, including the face patches as well as ventral visual areas V4, TEO, and TE. Control experiments presenting dynamic movies, whose content was free of animals, demonstrated that biological movement critically contributed to the predominance of motion in fMRI responses. These results highlight the value of natural viewing paradigms for studying the brain's functional organization and also underscore the paramount contribution of magnocellular input to the ventral visual pathway during natural vision.","DOI":"10.1016/j.neuroimage.2015.01.012","ISSN":"1095-9572","note":"PMID: 25579448\nPMCID: PMC4339453","journalAbbreviation":"Neuroimage","language":"eng","author":[{"family":"Russ","given":"Brian E."},{"family":"Leopold","given":"David A."}],"issued":{"date-parts":[["2015",4,1]]}}},{"id":44,"uris":["http://zotero.org/groups/318634/items/98YZP2H5"],"uri":["http://zotero.org/groups/318634/items/98YZP2H5"],"itemData":{"id":44,"type":"article-journal","title":"Decoding human brain activity during real-world experiences","container-title":"Trends in Cognitive Sciences","page":"356-365","volume":"11","issue":"8","source":"PubMed","abstract":"The human brain evolved to function and survive in a highly stimulating, complex and fast-changing world. Attempting to ascertain the neural substrates of operating in naturalistic contexts represents a huge challenge. Recently, however, researchers have begun to use several innovative analysis methods to interrogate functional magnetic resonance imaging (fMRI) data collected during dynamic naturalistic tasks. Central to these new developments is the inventive approach taken to segregating neural activity linked to specific events within the overall continuous stream of complex stimulation. In this review, we discuss the recent literature, detailing the key studies and their methods. These analytical techniques can be applied in a wide range of cognitive domains and, thus, offer exciting new opportunities for gaining insights into the brain bases of thoughts and behaviours in the real-world setting where they normally occur.","DOI":"10.1016/j.tics.2007.06.002","ISSN":"1364-6613","note":"PMID: 17618161","journalAbbreviation":"Trends Cogn. Sci. (Regul. Ed.)","language":"eng","author":[{"family":"Spiers","given":"Hugo J."},{"family":"Maguire","given":"Eleanor A."}],"issued":{"date-parts":[["2007",8]]}}}],"schema":"https://github.com/citation-style-language/schema/raw/master/csl-citation.json"} </w:instrText>
      </w:r>
      <w:r w:rsidRPr="00225AB0">
        <w:rPr>
          <w:rFonts w:ascii="Arial" w:hAnsi="Arial" w:cs="Arial"/>
        </w:rPr>
        <w:fldChar w:fldCharType="separate"/>
      </w:r>
      <w:r w:rsidRPr="00225AB0">
        <w:rPr>
          <w:rFonts w:ascii="Arial" w:hAnsi="Arial" w:cs="Arial"/>
          <w:noProof/>
        </w:rPr>
        <w:t>(Bartels, Zeki, &amp; Logothetis, 2008; Bartels &amp; Zeki, 2004b, 2004a, 2005; Russ &amp; Leopold, 2015; Spiers &amp; Maguire, 2007)</w:t>
      </w:r>
      <w:r w:rsidRPr="00225AB0">
        <w:rPr>
          <w:rFonts w:ascii="Arial" w:hAnsi="Arial" w:cs="Arial"/>
        </w:rPr>
        <w:fldChar w:fldCharType="end"/>
      </w:r>
      <w:r w:rsidRPr="00225AB0">
        <w:rPr>
          <w:rFonts w:ascii="Arial" w:hAnsi="Arial" w:cs="Arial"/>
        </w:rPr>
        <w:t xml:space="preserve">. The effectiveness of naturalistic stimuli in providing clear and consistent findings, despite their varying and uncontrolled nature has been demonstrated in a number of studies. For example, </w:t>
      </w:r>
      <w:r w:rsidRPr="00225AB0">
        <w:rPr>
          <w:rFonts w:ascii="Arial" w:hAnsi="Arial" w:cs="Arial"/>
        </w:rPr>
        <w:fldChar w:fldCharType="begin"/>
      </w:r>
      <w:r w:rsidR="005B4361">
        <w:rPr>
          <w:rFonts w:ascii="Arial" w:hAnsi="Arial" w:cs="Arial"/>
        </w:rPr>
        <w:instrText xml:space="preserve"> ADDIN ZOTERO_ITEM CSL_CITATION {"citationID":"xrqZoAkc","properties":{"formattedCitation":"(Andreas Bartels &amp; Zeki, 2004a)","plainCitation":"(Andreas Bartels &amp; Zeki, 2004a)","dontUpdate":true,"noteIndex":0},"citationItems":[{"id":42,"uris":["http://zotero.org/groups/318634/items/Y8NNHCLK"],"uri":["http://zotero.org/groups/318634/items/Y8NNHCLK"],"itemData":{"id":42,"type":"article-journal","title":"Functional brain mapping during free viewing of natural scenes","container-title":"Human Brain Mapping","page":"75-85","volume":"21","issue":"2","source":"PubMed","abstract":"Previous imaging studies have used mostly perceptually abstracted, idealized, or static stimuli to show segregation of function in the cerebral cortex. We wanted to learn whether functional segregation is maintained during more natural, complex, and dynamic conditions when many features have to be processed simultaneously, and identify regions whose activity correlates with the perception of specific features. To achieve this, we used functional magnetic resonance imaging (fMRI) to measure brain activity when human observers viewed freely dynamic natural scenes (a James Bond movie). The intensity with which they perceived different features (color, faces, language, and human bodies) was assessed psychometrically in separate sessions. In all subjects different features were perceived with a high degree of independence over time. We found that the perception of each feature correlated with activity in separate, specialized areas whose activity also varied independently. We conclude that even in natural conditions, when many features have to be processed simultaneously, functional specialization is preserved. Our method thus opens a new way of brain mapping, which allows the localization of a multitude of brain areas based on a single experiment using uncontrolled, natural stimuli. Furthermore, our results show that the intensity of activity in a specialized area is linearly correlated with the intensity of its perceptual experience. This leads us to suggest that each specialized area is directly responsible for the creation of a feature-specific conscious percept (a microconsciousness). Hum. Brain Mapp. 21:75-83, 2004.","DOI":"10.1002/hbm.10153","ISSN":"1065-9471","note":"PMID: 14755595","journalAbbreviation":"Hum Brain Mapp","language":"eng","author":[{"family":"Bartels","given":"Andreas"},{"family":"Zeki","given":"Semir"}],"issued":{"date-parts":[["2004",2]]}}}],"schema":"https://github.com/citation-style-language/schema/raw/master/csl-citation.json"} </w:instrText>
      </w:r>
      <w:r w:rsidRPr="00225AB0">
        <w:rPr>
          <w:rFonts w:ascii="Arial" w:hAnsi="Arial" w:cs="Arial"/>
        </w:rPr>
        <w:fldChar w:fldCharType="separate"/>
      </w:r>
      <w:r w:rsidRPr="00225AB0">
        <w:rPr>
          <w:rFonts w:ascii="Arial" w:hAnsi="Arial" w:cs="Arial"/>
          <w:noProof/>
        </w:rPr>
        <w:t>Bartels &amp; Zeki, (2004a)</w:t>
      </w:r>
      <w:r w:rsidRPr="00225AB0">
        <w:rPr>
          <w:rFonts w:ascii="Arial" w:hAnsi="Arial" w:cs="Arial"/>
        </w:rPr>
        <w:fldChar w:fldCharType="end"/>
      </w:r>
      <w:r w:rsidRPr="00225AB0">
        <w:rPr>
          <w:rFonts w:ascii="Arial" w:hAnsi="Arial" w:cs="Arial"/>
        </w:rPr>
        <w:t xml:space="preserve"> demonstrated highly similar patterns of feature-specific and anatomically-localised activity across participants </w:t>
      </w:r>
      <w:r w:rsidRPr="00225AB0">
        <w:rPr>
          <w:rFonts w:ascii="Arial" w:hAnsi="Arial" w:cs="Arial"/>
        </w:rPr>
        <w:lastRenderedPageBreak/>
        <w:t xml:space="preserve">viewing two halves of a film independently. Additional research has also demonstrated clear and consistent patterns of functional organisation and connectivity (even at the voxel level) through the use of naturalistic paradigms, demonstrating the effectiveness of such a stimulus in probing mechanisms of attention </w:t>
      </w:r>
      <w:r w:rsidR="00D44AC6">
        <w:rPr>
          <w:rFonts w:ascii="Arial" w:hAnsi="Arial" w:cs="Arial"/>
        </w:rPr>
        <w:t>in</w:t>
      </w:r>
      <w:r w:rsidRPr="00225AB0">
        <w:rPr>
          <w:rFonts w:ascii="Arial" w:hAnsi="Arial" w:cs="Arial"/>
        </w:rPr>
        <w:t xml:space="preserve"> the visual cortex </w:t>
      </w:r>
      <w:r w:rsidRPr="00225AB0">
        <w:rPr>
          <w:rFonts w:ascii="Arial" w:hAnsi="Arial" w:cs="Arial"/>
        </w:rPr>
        <w:fldChar w:fldCharType="begin"/>
      </w:r>
      <w:r w:rsidR="005B4361">
        <w:rPr>
          <w:rFonts w:ascii="Arial" w:hAnsi="Arial" w:cs="Arial"/>
        </w:rPr>
        <w:instrText xml:space="preserve"> ADDIN ZOTERO_ITEM CSL_CITATION {"citationID":"ZY6wRvxm","properties":{"formattedCitation":"(Andreas Bartels &amp; Zeki, 2004b; Hasson, Nir, Levy, Fuhrmann, &amp; Malach, 2004)","plainCitation":"(Andreas Bartels &amp; Zeki, 2004b; Hasson, Nir, Levy, Fuhrmann, &amp; Malach, 2004)","dontUpdate":true,"noteIndex":0},"citationItems":[{"id":43,"uris":["http://zotero.org/groups/318634/items/4DP68J4G"],"uri":["http://zotero.org/groups/318634/items/4DP68J4G"],"itemData":{"id":43,"type":"article-journal","title":"The chronoarchitecture of the human brain--natural viewing conditions reveal a time-based anatomy of the brain","container-title":"NeuroImage","page":"419-433","volume":"22","issue":"1","source":"PubMed","abstract":"A dominant tendency in cerebral studies has been the attempt to locate architecturally distinct parts of the cortex and assign special functions to each, through histological, clinical or hypothesis-based imaging experiments. Here we show that the cerebral cortex can also be subdivided into different components temporally, without any a priori hypotheses, based on the principle of functional independence. This states that distinct functional subdivisions have activity time courses (ATCs) that are, if not independent, at least characteristic to each when the brain is exposed to natural conditions. To approach a time-based anatomy experimentally, we recorded whole-brain activity using functional magnetic resonance imaging (fMRI) and analyzed the data with independent component analysis (ICA). Our results show that a multitude of cortical areas can be identified based purely on their characteristic ATCs during natural conditions. We demonstrate that a more \"rich\" stimulation (free viewing of a movie) leads to more areas being activated in a specific way than conventional stimuli, allowing for a more detailed dissection of the cortex into its subdivisions. We show that stimulus-driven functionally specialized areas can be identified by intersubject correlation even if their function is unknown. Chronoarchitectonic mapping thus opens the prospect of identifying previously unknown cortical subdivisions based on natural viewing conditions by exploiting the characteristic temporal \"fingerprint\" that is unique to each.","DOI":"10.1016/j.neuroimage.2004.01.007","ISSN":"1053-8119","note":"PMID: 15110035","journalAbbreviation":"Neuroimage","language":"eng","author":[{"family":"Bartels","given":"Andreas"},{"family":"Zeki","given":"Semir"}],"issued":{"date-parts":[["2004",5]]}}},{"id":38,"uris":["http://zotero.org/groups/318634/items/S72VS9BZ"],"uri":["http://zotero.org/groups/318634/items/S72VS9BZ"],"itemData":{"id":38,"type":"article-journal","title":"Intersubject synchronization of cortical activity during natural vision","container-title":"Science (New York, N.Y.)","page":"1634-1640","volume":"303","issue":"5664","source":"PubMed","abstract":"To what extent do all brains work alike during natural conditions? We explored this question by letting five subjects freely view half an hour of a popular movie while undergoing functional brain imaging. Applying an unbiased analysis in which spatiotemporal activity patterns in one brain were used to \"model\" activity in another brain, we found a striking level of voxel-by-voxel synchronization between individuals, not only in primary and secondary visual and auditory areas but also in association cortices. The results reveal a surprising tendency of individual brains to \"tick collectively\" during natural vision. The intersubject synchronization consisted of a widespread cortical activation pattern correlated with emotionally arousing scenes and regionally selective components. The characteristics of these activations were revealed with the use of an open-ended \"reverse-correlation\" approach, which inverts the conventional analysis by letting the brain signals themselves \"pick up\" the optimal stimuli for each specialized cortical area.","DOI":"10.1126/science.1089506","ISSN":"1095-9203","note":"PMID: 15016991","journalAbbreviation":"Science","language":"eng","author":[{"family":"Hasson","given":"Uri"},{"family":"Nir","given":"Yuval"},{"family":"Levy","given":"Ifat"},{"family":"Fuhrmann","given":"Galit"},{"family":"Malach","given":"Rafael"}],"issued":{"date-parts":[["2004",3,12]]}}}],"schema":"https://github.com/citation-style-language/schema/raw/master/csl-citation.json"} </w:instrText>
      </w:r>
      <w:r w:rsidRPr="00225AB0">
        <w:rPr>
          <w:rFonts w:ascii="Arial" w:hAnsi="Arial" w:cs="Arial"/>
        </w:rPr>
        <w:fldChar w:fldCharType="separate"/>
      </w:r>
      <w:r w:rsidRPr="00225AB0">
        <w:rPr>
          <w:rFonts w:ascii="Arial" w:hAnsi="Arial" w:cs="Arial"/>
          <w:noProof/>
        </w:rPr>
        <w:t>(Bartels &amp; Zeki, 2004b; Hasson, Nir, Levy, Fuhrmann, &amp; Malach, 2004)</w:t>
      </w:r>
      <w:r w:rsidRPr="00225AB0">
        <w:rPr>
          <w:rFonts w:ascii="Arial" w:hAnsi="Arial" w:cs="Arial"/>
        </w:rPr>
        <w:fldChar w:fldCharType="end"/>
      </w:r>
      <w:r w:rsidRPr="00225AB0">
        <w:rPr>
          <w:rFonts w:ascii="Arial" w:hAnsi="Arial" w:cs="Arial"/>
        </w:rPr>
        <w:t>.</w:t>
      </w:r>
    </w:p>
    <w:p w14:paraId="0AF6E851" w14:textId="77777777" w:rsidR="0060072E" w:rsidRPr="00225AB0" w:rsidRDefault="0060072E" w:rsidP="0060072E">
      <w:pPr>
        <w:spacing w:line="480" w:lineRule="auto"/>
        <w:rPr>
          <w:rFonts w:ascii="Arial" w:hAnsi="Arial" w:cs="Arial"/>
        </w:rPr>
      </w:pPr>
    </w:p>
    <w:p w14:paraId="3D3B31B6" w14:textId="3BB6F838" w:rsidR="0060072E" w:rsidRPr="00225AB0" w:rsidRDefault="00E5785F" w:rsidP="0060072E">
      <w:pPr>
        <w:spacing w:line="480" w:lineRule="auto"/>
        <w:rPr>
          <w:rFonts w:ascii="Arial" w:hAnsi="Arial" w:cs="Arial"/>
        </w:rPr>
      </w:pPr>
      <w:r>
        <w:rPr>
          <w:rFonts w:ascii="Arial" w:hAnsi="Arial" w:cs="Arial"/>
        </w:rPr>
        <w:t>The use of</w:t>
      </w:r>
      <w:r w:rsidR="0060072E" w:rsidRPr="00225AB0">
        <w:rPr>
          <w:rFonts w:ascii="Arial" w:hAnsi="Arial" w:cs="Arial"/>
        </w:rPr>
        <w:t xml:space="preserve"> naturalistic stimuli provides clear evidence of functional specificity </w:t>
      </w:r>
      <w:r w:rsidR="00D44AC6">
        <w:rPr>
          <w:rFonts w:ascii="Arial" w:hAnsi="Arial" w:cs="Arial"/>
        </w:rPr>
        <w:t>in</w:t>
      </w:r>
      <w:r w:rsidR="0060072E" w:rsidRPr="00225AB0">
        <w:rPr>
          <w:rFonts w:ascii="Arial" w:hAnsi="Arial" w:cs="Arial"/>
        </w:rPr>
        <w:t xml:space="preserve"> the visual cortex, such as the identification of colour-specific responses </w:t>
      </w:r>
      <w:r w:rsidR="00D44AC6">
        <w:rPr>
          <w:rFonts w:ascii="Arial" w:hAnsi="Arial" w:cs="Arial"/>
        </w:rPr>
        <w:t>in</w:t>
      </w:r>
      <w:r w:rsidR="0060072E" w:rsidRPr="00225AB0">
        <w:rPr>
          <w:rFonts w:ascii="Arial" w:hAnsi="Arial" w:cs="Arial"/>
        </w:rPr>
        <w:t xml:space="preserve"> hV4 </w:t>
      </w:r>
      <w:r w:rsidR="0060072E" w:rsidRPr="00225AB0">
        <w:rPr>
          <w:rFonts w:ascii="Arial" w:hAnsi="Arial" w:cs="Arial"/>
        </w:rPr>
        <w:fldChar w:fldCharType="begin"/>
      </w:r>
      <w:r w:rsidR="005B4361">
        <w:rPr>
          <w:rFonts w:ascii="Arial" w:hAnsi="Arial" w:cs="Arial"/>
        </w:rPr>
        <w:instrText xml:space="preserve"> ADDIN ZOTERO_ITEM CSL_CITATION {"citationID":"v19WObQX","properties":{"formattedCitation":"(A Bartels et al., 2008; Andreas Bartels &amp; Zeki, 2004a)","plainCitation":"(A Bartels et al., 2008; Andreas Bartels &amp; Zeki, 2004a)","dontUpdate":true,"noteIndex":0},"citationItems":[{"id":40,"uris":["http://zotero.org/groups/318634/items/V3DABKWD"],"uri":["http://zotero.org/groups/318634/items/V3DABKWD"],"itemData":{"id":40,"type":"article-journal","title":"Natural vision reveals regional specialization to local motion and to contrast-invariant, global flow in the human brain","container-title":"Cerebral Cortex (New York, N.Y.: 1991)","page":"705-717","volume":"18","issue":"3","source":"PubMed","abstract":"Visual changes in feature movies, like in real-live, can be partitioned into global flow due to self/camera motion, local/differential flow due to object motion, and residuals, for example, due to illumination changes. We correlated these measures with brain responses of human volunteers viewing movies in an fMRI scanner. Early visual areas responded only to residual changes, thus lacking responses to equally large motion-induced changes, consistent with predictive coding. Motion activated V5+ (MT+), V3A, medial posterior parietal cortex (mPPC) and, weakly, lateral occipital cortex (LOC). V5+ responded to local/differential motion and depended on visual contrast, whereas mPPC responded to global flow spanning the whole visual field and was contrast independent. mPPC thus codes for flow compatible with unbiased heading estimation in natural scenes and for the comparison of visual flow with nonretinal, multimodal motion cues in it or downstream. mPPC was functionally connected to anterior portions of V5+, whereas laterally neighboring putative homologue of lateral intraparietal area (LIP) connected with frontal eye fields. Our results demonstrate a progression of selectivity from local and contrast-dependent motion processing in V5+ toward global and contrast-independent motion processing in mPPC. The function, connectivity, and anatomical neighborhood of mPPC imply several parallels to monkey ventral intraparietal area (VIP).","DOI":"10.1093/cercor/bhm107","ISSN":"1460-2199","note":"PMID: 17615246","journalAbbreviation":"Cereb. Cortex","language":"eng","author":[{"family":"Bartels","given":"A"},{"family":"Zeki","given":"S"},{"family":"Logothetis","given":"N. K."}],"issued":{"date-parts":[["2008",3]]}}},{"id":42,"uris":["http://zotero.org/groups/318634/items/Y8NNHCLK"],"uri":["http://zotero.org/groups/318634/items/Y8NNHCLK"],"itemData":{"id":42,"type":"article-journal","title":"Functional brain mapping during free viewing of natural scenes","container-title":"Human Brain Mapping","page":"75-85","volume":"21","issue":"2","source":"PubMed","abstract":"Previous imaging studies have used mostly perceptually abstracted, idealized, or static stimuli to show segregation of function in the cerebral cortex. We wanted to learn whether functional segregation is maintained during more natural, complex, and dynamic conditions when many features have to be processed simultaneously, and identify regions whose activity correlates with the perception of specific features. To achieve this, we used functional magnetic resonance imaging (fMRI) to measure brain activity when human observers viewed freely dynamic natural scenes (a James Bond movie). The intensity with which they perceived different features (color, faces, language, and human bodies) was assessed psychometrically in separate sessions. In all subjects different features were perceived with a high degree of independence over time. We found that the perception of each feature correlated with activity in separate, specialized areas whose activity also varied independently. We conclude that even in natural conditions, when many features have to be processed simultaneously, functional specialization is preserved. Our method thus opens a new way of brain mapping, which allows the localization of a multitude of brain areas based on a single experiment using uncontrolled, natural stimuli. Furthermore, our results show that the intensity of activity in a specialized area is linearly correlated with the intensity of its perceptual experience. This leads us to suggest that each specialized area is directly responsible for the creation of a feature-specific conscious percept (a microconsciousness). Hum. Brain Mapp. 21:75-83, 2004.","DOI":"10.1002/hbm.10153","ISSN":"1065-9471","note":"PMID: 14755595","journalAbbreviation":"Hum Brain Mapp","language":"eng","author":[{"family":"Bartels","given":"Andreas"},{"family":"Zeki","given":"Semir"}],"issued":{"date-parts":[["2004",2]]}}}],"schema":"https://github.com/citation-style-language/schema/raw/master/csl-citation.json"} </w:instrText>
      </w:r>
      <w:r w:rsidR="0060072E" w:rsidRPr="00225AB0">
        <w:rPr>
          <w:rFonts w:ascii="Arial" w:hAnsi="Arial" w:cs="Arial"/>
        </w:rPr>
        <w:fldChar w:fldCharType="separate"/>
      </w:r>
      <w:r w:rsidR="0060072E" w:rsidRPr="00225AB0">
        <w:rPr>
          <w:rFonts w:ascii="Arial" w:hAnsi="Arial" w:cs="Arial"/>
          <w:noProof/>
        </w:rPr>
        <w:t>(Bartels et al., 2008; Bartels &amp; Zeki, 2004a)</w:t>
      </w:r>
      <w:r w:rsidR="0060072E" w:rsidRPr="00225AB0">
        <w:rPr>
          <w:rFonts w:ascii="Arial" w:hAnsi="Arial" w:cs="Arial"/>
        </w:rPr>
        <w:fldChar w:fldCharType="end"/>
      </w:r>
      <w:r w:rsidR="0060072E" w:rsidRPr="00225AB0">
        <w:rPr>
          <w:rFonts w:ascii="Arial" w:hAnsi="Arial" w:cs="Arial"/>
        </w:rPr>
        <w:t xml:space="preserve">. </w:t>
      </w:r>
      <w:r>
        <w:rPr>
          <w:rFonts w:ascii="Arial" w:hAnsi="Arial" w:cs="Arial"/>
        </w:rPr>
        <w:t>However, there has not been an</w:t>
      </w:r>
      <w:r w:rsidR="0060072E" w:rsidRPr="00225AB0">
        <w:rPr>
          <w:rFonts w:ascii="Arial" w:hAnsi="Arial" w:cs="Arial"/>
        </w:rPr>
        <w:t xml:space="preserve"> explicit analysis of the effects of changing attentional focus during viewing of a naturalistic stimulus,</w:t>
      </w:r>
      <w:r>
        <w:rPr>
          <w:rFonts w:ascii="Arial" w:hAnsi="Arial" w:cs="Arial"/>
        </w:rPr>
        <w:t xml:space="preserve"> with researchers</w:t>
      </w:r>
      <w:r w:rsidR="0060072E" w:rsidRPr="00225AB0">
        <w:rPr>
          <w:rFonts w:ascii="Arial" w:hAnsi="Arial" w:cs="Arial"/>
        </w:rPr>
        <w:t xml:space="preserve"> instead preferring to employ reverse correlation techniques to examine connectivity between regions </w:t>
      </w:r>
      <w:r w:rsidR="00D44AC6">
        <w:rPr>
          <w:rFonts w:ascii="Arial" w:hAnsi="Arial" w:cs="Arial"/>
        </w:rPr>
        <w:t>in</w:t>
      </w:r>
      <w:r w:rsidR="0060072E" w:rsidRPr="00225AB0">
        <w:rPr>
          <w:rFonts w:ascii="Arial" w:hAnsi="Arial" w:cs="Arial"/>
        </w:rPr>
        <w:t xml:space="preserve"> an unrestricted paradigm </w:t>
      </w:r>
      <w:r w:rsidR="0060072E" w:rsidRPr="00225AB0">
        <w:rPr>
          <w:rFonts w:ascii="Arial" w:hAnsi="Arial" w:cs="Arial"/>
        </w:rPr>
        <w:fldChar w:fldCharType="begin"/>
      </w:r>
      <w:r w:rsidR="005B4361">
        <w:rPr>
          <w:rFonts w:ascii="Arial" w:hAnsi="Arial" w:cs="Arial"/>
        </w:rPr>
        <w:instrText xml:space="preserve"> ADDIN ZOTERO_ITEM CSL_CITATION {"citationID":"TGCquTMF","properties":{"formattedCitation":"(Andreas Bartels &amp; Zeki, 2004b; Hasson et al., 2004)","plainCitation":"(Andreas Bartels &amp; Zeki, 2004b; Hasson et al., 2004)","dontUpdate":true,"noteIndex":0},"citationItems":[{"id":43,"uris":["http://zotero.org/groups/318634/items/4DP68J4G"],"uri":["http://zotero.org/groups/318634/items/4DP68J4G"],"itemData":{"id":43,"type":"article-journal","title":"The chronoarchitecture of the human brain--natural viewing conditions reveal a time-based anatomy of the brain","container-title":"NeuroImage","page":"419-433","volume":"22","issue":"1","source":"PubMed","abstract":"A dominant tendency in cerebral studies has been the attempt to locate architecturally distinct parts of the cortex and assign special functions to each, through histological, clinical or hypothesis-based imaging experiments. Here we show that the cerebral cortex can also be subdivided into different components temporally, without any a priori hypotheses, based on the principle of functional independence. This states that distinct functional subdivisions have activity time courses (ATCs) that are, if not independent, at least characteristic to each when the brain is exposed to natural conditions. To approach a time-based anatomy experimentally, we recorded whole-brain activity using functional magnetic resonance imaging (fMRI) and analyzed the data with independent component analysis (ICA). Our results show that a multitude of cortical areas can be identified based purely on their characteristic ATCs during natural conditions. We demonstrate that a more \"rich\" stimulation (free viewing of a movie) leads to more areas being activated in a specific way than conventional stimuli, allowing for a more detailed dissection of the cortex into its subdivisions. We show that stimulus-driven functionally specialized areas can be identified by intersubject correlation even if their function is unknown. Chronoarchitectonic mapping thus opens the prospect of identifying previously unknown cortical subdivisions based on natural viewing conditions by exploiting the characteristic temporal \"fingerprint\" that is unique to each.","DOI":"10.1016/j.neuroimage.2004.01.007","ISSN":"1053-8119","note":"PMID: 15110035","journalAbbreviation":"Neuroimage","language":"eng","author":[{"family":"Bartels","given":"Andreas"},{"family":"Zeki","given":"Semir"}],"issued":{"date-parts":[["2004",5]]}}},{"id":38,"uris":["http://zotero.org/groups/318634/items/S72VS9BZ"],"uri":["http://zotero.org/groups/318634/items/S72VS9BZ"],"itemData":{"id":38,"type":"article-journal","title":"Intersubject synchronization of cortical activity during natural vision","container-title":"Science (New York, N.Y.)","page":"1634-1640","volume":"303","issue":"5664","source":"PubMed","abstract":"To what extent do all brains work alike during natural conditions? We explored this question by letting five subjects freely view half an hour of a popular movie while undergoing functional brain imaging. Applying an unbiased analysis in which spatiotemporal activity patterns in one brain were used to \"model\" activity in another brain, we found a striking level of voxel-by-voxel synchronization between individuals, not only in primary and secondary visual and auditory areas but also in association cortices. The results reveal a surprising tendency of individual brains to \"tick collectively\" during natural vision. The intersubject synchronization consisted of a widespread cortical activation pattern correlated with emotionally arousing scenes and regionally selective components. The characteristics of these activations were revealed with the use of an open-ended \"reverse-correlation\" approach, which inverts the conventional analysis by letting the brain signals themselves \"pick up\" the optimal stimuli for each specialized cortical area.","DOI":"10.1126/science.1089506","ISSN":"1095-9203","note":"PMID: 15016991","journalAbbreviation":"Science","language":"eng","author":[{"family":"Hasson","given":"Uri"},{"family":"Nir","given":"Yuval"},{"family":"Levy","given":"Ifat"},{"family":"Fuhrmann","given":"Galit"},{"family":"Malach","given":"Rafael"}],"issued":{"date-parts":[["2004",3,12]]}}}],"schema":"https://github.com/citation-style-language/schema/raw/master/csl-citation.json"} </w:instrText>
      </w:r>
      <w:r w:rsidR="0060072E" w:rsidRPr="00225AB0">
        <w:rPr>
          <w:rFonts w:ascii="Arial" w:hAnsi="Arial" w:cs="Arial"/>
        </w:rPr>
        <w:fldChar w:fldCharType="separate"/>
      </w:r>
      <w:r w:rsidR="0060072E" w:rsidRPr="00225AB0">
        <w:rPr>
          <w:rFonts w:ascii="Arial" w:hAnsi="Arial" w:cs="Arial"/>
          <w:noProof/>
        </w:rPr>
        <w:t>(e.g. Bartels &amp; Zeki, 2004b; Hasson et al., 2004)</w:t>
      </w:r>
      <w:r w:rsidR="0060072E" w:rsidRPr="00225AB0">
        <w:rPr>
          <w:rFonts w:ascii="Arial" w:hAnsi="Arial" w:cs="Arial"/>
        </w:rPr>
        <w:fldChar w:fldCharType="end"/>
      </w:r>
      <w:r w:rsidR="0060072E" w:rsidRPr="00225AB0">
        <w:rPr>
          <w:rFonts w:ascii="Arial" w:hAnsi="Arial" w:cs="Arial"/>
        </w:rPr>
        <w:t xml:space="preserve">. </w:t>
      </w:r>
      <w:r w:rsidR="00D44AC6">
        <w:rPr>
          <w:rFonts w:ascii="Arial" w:hAnsi="Arial" w:cs="Arial"/>
        </w:rPr>
        <w:t>In</w:t>
      </w:r>
      <w:r w:rsidR="0060072E" w:rsidRPr="00225AB0">
        <w:rPr>
          <w:rFonts w:ascii="Arial" w:hAnsi="Arial" w:cs="Arial"/>
        </w:rPr>
        <w:t xml:space="preserve"> this experiment, we wished to extend our previous findings of distinct, feature-specific patterns of attentional modulation with low-level, highly controlled visual stimuli (see Chapters 4 and 5), using a naturalistic stimulus to examine differential patterns of within- and between-area activity as a function of shifting attentional state with a dynamic and complex stimulus. We also extended our analysis to explore </w:t>
      </w:r>
      <w:r w:rsidR="00300CFD" w:rsidRPr="00225AB0">
        <w:rPr>
          <w:rFonts w:ascii="Arial" w:hAnsi="Arial" w:cs="Arial"/>
        </w:rPr>
        <w:t>the effects</w:t>
      </w:r>
      <w:r w:rsidR="0060072E" w:rsidRPr="00225AB0">
        <w:rPr>
          <w:rFonts w:ascii="Arial" w:hAnsi="Arial" w:cs="Arial"/>
        </w:rPr>
        <w:t xml:space="preserve"> of directed attention to a relatively higher-level visual stimulus (faces), examining functional specialisation and changing network connectivity across the visual cortex. </w:t>
      </w:r>
    </w:p>
    <w:p w14:paraId="22EED522" w14:textId="77777777" w:rsidR="0060072E" w:rsidRPr="00225AB0" w:rsidRDefault="0060072E" w:rsidP="0060072E">
      <w:pPr>
        <w:spacing w:line="480" w:lineRule="auto"/>
        <w:rPr>
          <w:rFonts w:ascii="Arial" w:hAnsi="Arial" w:cs="Arial"/>
        </w:rPr>
      </w:pPr>
    </w:p>
    <w:p w14:paraId="3F732DCD" w14:textId="678BE4EA" w:rsidR="0060072E" w:rsidRPr="00225AB0" w:rsidRDefault="0060072E" w:rsidP="0060072E">
      <w:pPr>
        <w:spacing w:line="480" w:lineRule="auto"/>
        <w:rPr>
          <w:rFonts w:ascii="Arial" w:hAnsi="Arial" w:cs="Arial"/>
        </w:rPr>
      </w:pPr>
      <w:r w:rsidRPr="00225AB0">
        <w:rPr>
          <w:rFonts w:ascii="Arial" w:hAnsi="Arial" w:cs="Arial"/>
        </w:rPr>
        <w:t xml:space="preserve">The fusiform face area (FFA) has been identified as </w:t>
      </w:r>
      <w:r w:rsidR="00E5785F">
        <w:rPr>
          <w:rFonts w:ascii="Arial" w:hAnsi="Arial" w:cs="Arial"/>
        </w:rPr>
        <w:t>a</w:t>
      </w:r>
      <w:r w:rsidR="00E5785F" w:rsidRPr="00225AB0">
        <w:rPr>
          <w:rFonts w:ascii="Arial" w:hAnsi="Arial" w:cs="Arial"/>
        </w:rPr>
        <w:t xml:space="preserve"> </w:t>
      </w:r>
      <w:r w:rsidRPr="00225AB0">
        <w:rPr>
          <w:rFonts w:ascii="Arial" w:hAnsi="Arial" w:cs="Arial"/>
        </w:rPr>
        <w:t xml:space="preserve">locus of face-specific processing </w:t>
      </w:r>
      <w:r w:rsidR="00D44AC6">
        <w:rPr>
          <w:rFonts w:ascii="Arial" w:hAnsi="Arial" w:cs="Arial"/>
        </w:rPr>
        <w:t>in</w:t>
      </w:r>
      <w:r w:rsidRPr="00225AB0">
        <w:rPr>
          <w:rFonts w:ascii="Arial" w:hAnsi="Arial" w:cs="Arial"/>
        </w:rPr>
        <w:t xml:space="preserve"> the visual cortex, demonstrating preferential processing of face </w:t>
      </w:r>
      <w:r w:rsidRPr="00225AB0">
        <w:rPr>
          <w:rFonts w:ascii="Arial" w:hAnsi="Arial" w:cs="Arial"/>
        </w:rPr>
        <w:lastRenderedPageBreak/>
        <w:t xml:space="preserve">stimuli in comparison to visual stimuli of other categories, such as scrambled faces, houses and hands </w:t>
      </w:r>
      <w:r w:rsidRPr="00225AB0">
        <w:rPr>
          <w:rFonts w:ascii="Arial" w:hAnsi="Arial" w:cs="Arial"/>
        </w:rPr>
        <w:fldChar w:fldCharType="begin"/>
      </w:r>
      <w:r w:rsidR="005B4361">
        <w:rPr>
          <w:rFonts w:ascii="Arial" w:hAnsi="Arial" w:cs="Arial"/>
        </w:rPr>
        <w:instrText xml:space="preserve"> ADDIN ZOTERO_ITEM CSL_CITATION {"citationID":"dLNUl1QV","properties":{"formattedCitation":"(N. Kanwisher, McDermott, &amp; Chun, 1997)","plainCitation":"(N. Kanwisher, McDermott, &amp; Chun, 1997)","dontUpdate":true,"noteIndex":0},"citationItems":[{"id":37,"uris":["http://zotero.org/groups/318634/items/M27FKGX4"],"uri":["http://zotero.org/groups/318634/items/M27FKGX4"],"itemData":{"id":37,"type":"article-journal","title":"The fusiform face area: a module in human extrastriate cortex specialized for face perception","container-title":"The Journal of Neuroscience: The Official Journal of the Society for Neuroscience","page":"4302-4311","volume":"17","issue":"11","source":"PubMed","abstract":"Using functional magnetic resonance imaging (fMRI), we found an area in the fusiform gyrus in 12 of the 15 subjects tested that was significantly more active when the subjects viewed faces than when they viewed assorted common objects. This face activation was used to define a specific region of interest individually for each subject, within which several new tests of face specificity were run. In each of five subjects tested, the predefined candidate \"face area\" also responded significantly more strongly to passive viewing of (1) intact than scrambled two-tone faces, (2) full front-view face photos than front-view photos of houses, and (in a different set of five subjects) (3) three-quarter-view face photos (with hair concealed) than photos of human hands; it also responded more strongly during (4) a consecutive matching task performed on three-quarter-view faces versus hands. Our technique of running multiple tests applied to the same region defined functionally within individual subjects provides a solution to two common problems in functional imaging: (1) the requirement to correct for multiple statistical comparisons and (2) the inevitable ambiguity in the interpretation of any study in which only two or three conditions are compared. Our data allow us to reject alternative accounts of the function of the fusiform face area (area \"FF\") that appeal to visual attention, subordinate-level classification, or general processing of any animate or human forms, demonstrating that this region is selectively involved in the perception of faces.","ISSN":"0270-6474","note":"PMID: 9151747","title-short":"The fusiform face area","journalAbbreviation":"J. Neurosci.","language":"eng","author":[{"family":"Kanwisher","given":"N."},{"family":"McDermott","given":"J."},{"family":"Chun","given":"M. M."}],"issued":{"date-parts":[["1997",6,1]]}}}],"schema":"https://github.com/citation-style-language/schema/raw/master/csl-citation.json"} </w:instrText>
      </w:r>
      <w:r w:rsidRPr="00225AB0">
        <w:rPr>
          <w:rFonts w:ascii="Arial" w:hAnsi="Arial" w:cs="Arial"/>
        </w:rPr>
        <w:fldChar w:fldCharType="separate"/>
      </w:r>
      <w:r w:rsidRPr="00225AB0">
        <w:rPr>
          <w:rFonts w:ascii="Arial" w:hAnsi="Arial" w:cs="Arial"/>
          <w:noProof/>
        </w:rPr>
        <w:t>(Kanwisher, McDermott, &amp; Chun, 1997)</w:t>
      </w:r>
      <w:r w:rsidRPr="00225AB0">
        <w:rPr>
          <w:rFonts w:ascii="Arial" w:hAnsi="Arial" w:cs="Arial"/>
        </w:rPr>
        <w:fldChar w:fldCharType="end"/>
      </w:r>
      <w:r w:rsidRPr="00225AB0">
        <w:rPr>
          <w:rFonts w:ascii="Arial" w:hAnsi="Arial" w:cs="Arial"/>
        </w:rPr>
        <w:t xml:space="preserve">. </w:t>
      </w:r>
      <w:r w:rsidR="00E5785F">
        <w:rPr>
          <w:rFonts w:ascii="Arial" w:hAnsi="Arial" w:cs="Arial"/>
        </w:rPr>
        <w:t>Many researchers consider the</w:t>
      </w:r>
      <w:r w:rsidR="00E5785F" w:rsidRPr="00225AB0">
        <w:rPr>
          <w:rFonts w:ascii="Arial" w:hAnsi="Arial" w:cs="Arial"/>
        </w:rPr>
        <w:t xml:space="preserve"> </w:t>
      </w:r>
      <w:r w:rsidRPr="00225AB0">
        <w:rPr>
          <w:rFonts w:ascii="Arial" w:hAnsi="Arial" w:cs="Arial"/>
        </w:rPr>
        <w:t xml:space="preserve">FFA </w:t>
      </w:r>
      <w:r w:rsidR="00E5785F">
        <w:rPr>
          <w:rFonts w:ascii="Arial" w:hAnsi="Arial" w:cs="Arial"/>
        </w:rPr>
        <w:t>to be</w:t>
      </w:r>
      <w:r w:rsidRPr="00225AB0">
        <w:rPr>
          <w:rFonts w:ascii="Arial" w:hAnsi="Arial" w:cs="Arial"/>
        </w:rPr>
        <w:t xml:space="preserve"> a key area in a specialised face-processing network across the visual cortex (termed the face-specificity hypothesis) </w:t>
      </w:r>
      <w:r w:rsidRPr="00225AB0">
        <w:rPr>
          <w:rFonts w:ascii="Arial" w:hAnsi="Arial" w:cs="Arial"/>
        </w:rPr>
        <w:fldChar w:fldCharType="begin"/>
      </w:r>
      <w:r w:rsidR="005B4361">
        <w:rPr>
          <w:rFonts w:ascii="Arial" w:hAnsi="Arial" w:cs="Arial"/>
        </w:rPr>
        <w:instrText xml:space="preserve"> ADDIN ZOTERO_ITEM CSL_CITATION {"citationID":"pkJ0L5CO","properties":{"formattedCitation":"(N. Kanwisher et al., 1997; Nancy Kanwisher &amp; Yovel, 2006)","plainCitation":"(N. Kanwisher et al., 1997; Nancy Kanwisher &amp; Yovel, 2006)","dontUpdate":true,"noteIndex":0},"citationItems":[{"id":37,"uris":["http://zotero.org/groups/318634/items/M27FKGX4"],"uri":["http://zotero.org/groups/318634/items/M27FKGX4"],"itemData":{"id":37,"type":"article-journal","title":"The fusiform face area: a module in human extrastriate cortex specialized for face perception","container-title":"The Journal of Neuroscience: The Official Journal of the Society for Neuroscience","page":"4302-4311","volume":"17","issue":"11","source":"PubMed","abstract":"Using functional magnetic resonance imaging (fMRI), we found an area in the fusiform gyrus in 12 of the 15 subjects tested that was significantly more active when the subjects viewed faces than when they viewed assorted common objects. This face activation was used to define a specific region of interest individually for each subject, within which several new tests of face specificity were run. In each of five subjects tested, the predefined candidate \"face area\" also responded significantly more strongly to passive viewing of (1) intact than scrambled two-tone faces, (2) full front-view face photos than front-view photos of houses, and (in a different set of five subjects) (3) three-quarter-view face photos (with hair concealed) than photos of human hands; it also responded more strongly during (4) a consecutive matching task performed on three-quarter-view faces versus hands. Our technique of running multiple tests applied to the same region defined functionally within individual subjects provides a solution to two common problems in functional imaging: (1) the requirement to correct for multiple statistical comparisons and (2) the inevitable ambiguity in the interpretation of any study in which only two or three conditions are compared. Our data allow us to reject alternative accounts of the function of the fusiform face area (area \"FF\") that appeal to visual attention, subordinate-level classification, or general processing of any animate or human forms, demonstrating that this region is selectively involved in the perception of faces.","ISSN":"0270-6474","note":"PMID: 9151747","title-short":"The fusiform face area","journalAbbreviation":"J. Neurosci.","language":"eng","author":[{"family":"Kanwisher","given":"N."},{"family":"McDermott","given":"J."},{"family":"Chun","given":"M. M."}],"issued":{"date-parts":[["1997",6,1]]}}},{"id":36,"uris":["http://zotero.org/groups/318634/items/RIELCVYF"],"uri":["http://zotero.org/groups/318634/items/RIELCVYF"],"itemData":{"id":36,"type":"article-journal","title":"The fusiform face area: a cortical region specialized for the perception of faces","container-title":"Philosophical Transactions of the Royal Society of London. Series B, Biological Sciences","page":"2109-2128","volume":"361","issue":"1476","source":"PubMed","abstract":"Faces are among the most important visual stimuli we perceive, informing us not only about a person's identity, but also about their mood, sex, age and direction of gaze. The ability to extract this information within a fraction of a second of viewing a face is important for normal social interactions and has probably played a critical role in the survival of our primate ancestors. Considerable evidence from behavioural, neuropsychological and neurophysiological investigations supports the hypothesis that humans have specialized cognitive and neural mechanisms dedicated to the perception of faces (the face-specificity hypothesis). Here, we review the literature on a region of the human brain that appears to play a key role in face perception, known as the fusiform face area (FFA). Section 1 outlines the theoretical background for much of this work. The face-specificity hypothesis falls squarely on one side of a longstanding debate in the fields of cognitive science and cognitive neuroscience concerning the extent to which the mind/brain is composed of: (i) special-purpose ('domain-specific') mechanisms, each dedicated to processing a specific kind of information (e.g. faces, according to the face-specificity hypothesis), versus (ii) general-purpose ('domain-general') mechanisms, each capable of operating on any kind of information. Face perception has long served both as one of the prime candidates of a domain-specific process and as a key target for attack by proponents of domain-general theories of brain and mind. Section 2 briefly reviews the prior literature on face perception from behaviour and neurophysiology. This work supports the face-specificity hypothesis and argues against its domain-general alternatives (the individuation hypothesis, the expertise hypothesis and others). Section 3 outlines the more recent evidence on this debate from brain imaging, focusing particularly on the FFA. We review the evidence that the FFA is selectively engaged in face perception, by addressing (and rebutting) five of the most widely discussed alternatives to this hypothesis. In section 4, we consider recent findings that are beginning to provide clues into the computations conducted in the FFA and the nature of the representations the FFA extracts from faces. We argue that the FFA is engaged both in detecting faces and in extracting the necessary perceptual information to recognize them, and that the properties of the FFA mirror previously identified behavioural signatures of face-specific processing (e.g. the face-inversion effect). Section 5 asks how the computations and representations in the FFA differ from those occurring in other nearby regions of cortex that respond strongly to faces and objects. The evidence indicates clear functional dissociations between these regions, demonstrating that the FFA shows not only functional specificity but also area specificity. We end by speculating in section 6 on some of the broader questions raised by current research on the FFA, including the developmental origins of this region and the question of whether faces are unique versus whether similarly specialized mechanisms also exist for other domains of high-level perception and cognition.","DOI":"10.1098/rstb.2006.1934","ISSN":"0962-8436","note":"PMID: 17118927\nPMCID: PMC1857737","title-short":"The fusiform face area","journalAbbreviation":"Philos. Trans. R. Soc. Lond., B, Biol. Sci.","language":"eng","author":[{"family":"Kanwisher","given":"Nancy"},{"family":"Yovel","given":"Galit"}],"issued":{"date-parts":[["2006",12,29]]}}}],"schema":"https://github.com/citation-style-language/schema/raw/master/csl-citation.json"} </w:instrText>
      </w:r>
      <w:r w:rsidRPr="00225AB0">
        <w:rPr>
          <w:rFonts w:ascii="Arial" w:hAnsi="Arial" w:cs="Arial"/>
        </w:rPr>
        <w:fldChar w:fldCharType="separate"/>
      </w:r>
      <w:r w:rsidRPr="00225AB0">
        <w:rPr>
          <w:rFonts w:ascii="Arial" w:hAnsi="Arial" w:cs="Arial"/>
          <w:noProof/>
        </w:rPr>
        <w:t>(Kanwisher et al., 1997; Kanwisher &amp; Yovel, 2006)</w:t>
      </w:r>
      <w:r w:rsidRPr="00225AB0">
        <w:rPr>
          <w:rFonts w:ascii="Arial" w:hAnsi="Arial" w:cs="Arial"/>
        </w:rPr>
        <w:fldChar w:fldCharType="end"/>
      </w:r>
      <w:r w:rsidRPr="00225AB0">
        <w:rPr>
          <w:rFonts w:ascii="Arial" w:hAnsi="Arial" w:cs="Arial"/>
        </w:rPr>
        <w:t xml:space="preserve">. However, other research suggests the FFA is a </w:t>
      </w:r>
      <w:r w:rsidR="00E5785F">
        <w:rPr>
          <w:rFonts w:ascii="Arial" w:hAnsi="Arial" w:cs="Arial"/>
        </w:rPr>
        <w:t xml:space="preserve">more generalized </w:t>
      </w:r>
      <w:r w:rsidRPr="00225AB0">
        <w:rPr>
          <w:rFonts w:ascii="Arial" w:hAnsi="Arial" w:cs="Arial"/>
        </w:rPr>
        <w:t xml:space="preserve">region selective for fine-grain discriminations </w:t>
      </w:r>
      <w:r w:rsidR="00D44AC6">
        <w:rPr>
          <w:rFonts w:ascii="Arial" w:hAnsi="Arial" w:cs="Arial"/>
        </w:rPr>
        <w:t>in</w:t>
      </w:r>
      <w:r w:rsidRPr="00225AB0">
        <w:rPr>
          <w:rFonts w:ascii="Arial" w:hAnsi="Arial" w:cs="Arial"/>
        </w:rPr>
        <w:t xml:space="preserve"> a category, rather than specifically selective for faces </w:t>
      </w:r>
      <w:r w:rsidRPr="00225AB0">
        <w:rPr>
          <w:rFonts w:ascii="Arial" w:hAnsi="Arial" w:cs="Arial"/>
        </w:rPr>
        <w:fldChar w:fldCharType="begin"/>
      </w:r>
      <w:r w:rsidR="005B4361">
        <w:rPr>
          <w:rFonts w:ascii="Arial" w:hAnsi="Arial" w:cs="Arial"/>
        </w:rPr>
        <w:instrText xml:space="preserve"> ADDIN ZOTERO_ITEM CSL_CITATION {"citationID":"6O4ZNuJD","properties":{"formattedCitation":"(Gauthier et al., 1999)","plainCitation":"(Gauthier et al., 1999)","noteIndex":0},"citationItems":[{"id":167,"uris":["http://zotero.org/groups/318634/items/NXKIAC5P"],"uri":["http://zotero.org/groups/318634/items/NXKIAC5P"],"itemData":{"id":167,"type":"article-journal","title":"Can face recognition really be dissociated from object recognition?","container-title":"Journal of Cognitive Neuroscience","page":"349-370","volume":"11","issue":"4","source":"PubMed","abstract":"We argue that the current literature on prosopagnosia fails to demonstrate unequivocal evidence for a disproportionate impairment for faces as compared to nonface objects. Two prosopagnosic subjects were tested for the discrimination of objects from several categories (face as well as nonface) at different levels of categorization (basic, subordinate, and exemplar levels). Several dependent measures were obtained including accuracy, signal detection measures, and response times. The results from Experiments 1 to 4 demonstrate that, in simultaneous-matching tasks, response times may reveal impairments with nonface objects in subjects whose error rates only indicate a face deficit. The results from Experiments 5 and 6 show that, given limited stimulus presentation times for face and nonface objects, the same subjects may demonstrate a deficit for both stimulus categories in sensitivity. In Experiments 7, 8 and 9, a match-to-sample task that places greater demands on memory led to comparable recognition sensitivity with both face and nonface objects. Regardless of object category, the prosopagnosic subjects were more affected by manipulations of the level of categorization than normal controls. This result raises questions regarding neuropsychological evidence for the modularity of face recognition, as well as its theoretical and methodological foundations.","ISSN":"0898-929X","note":"PMID: 10471845","journalAbbreviation":"J Cogn Neurosci","language":"eng","author":[{"family":"Gauthier","given":"I."},{"family":"Behrmann","given":"M."},{"family":"Tarr","given":"M. J."}],"issued":{"date-parts":[["1999",7]]}}}],"schema":"https://github.com/citation-style-language/schema/raw/master/csl-citation.json"}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(Gauthier et al., 1999)</w:t>
      </w:r>
      <w:r w:rsidRPr="00225AB0">
        <w:rPr>
          <w:rFonts w:ascii="Arial" w:hAnsi="Arial" w:cs="Arial"/>
        </w:rPr>
        <w:fldChar w:fldCharType="end"/>
      </w:r>
      <w:r w:rsidRPr="00225AB0">
        <w:rPr>
          <w:rFonts w:ascii="Arial" w:hAnsi="Arial" w:cs="Arial"/>
        </w:rPr>
        <w:t xml:space="preserve">. Despite this, previous research used naturalistic stimuli to demonstrate that an overwhelming majority (94%) of movie frames eliciting the greatest FFA activation contained face images, supporting the notion of functional specialisation </w:t>
      </w:r>
      <w:r w:rsidR="00D44AC6">
        <w:rPr>
          <w:rFonts w:ascii="Arial" w:hAnsi="Arial" w:cs="Arial"/>
        </w:rPr>
        <w:t>in</w:t>
      </w:r>
      <w:r w:rsidRPr="00225AB0">
        <w:rPr>
          <w:rFonts w:ascii="Arial" w:hAnsi="Arial" w:cs="Arial"/>
        </w:rPr>
        <w:t xml:space="preserve"> this region </w:t>
      </w:r>
      <w:r w:rsidRPr="00225AB0">
        <w:rPr>
          <w:rFonts w:ascii="Arial" w:hAnsi="Arial" w:cs="Arial"/>
        </w:rPr>
        <w:fldChar w:fldCharType="begin"/>
      </w:r>
      <w:r w:rsidR="005B4361">
        <w:rPr>
          <w:rFonts w:ascii="Arial" w:hAnsi="Arial" w:cs="Arial"/>
        </w:rPr>
        <w:instrText xml:space="preserve"> ADDIN ZOTERO_ITEM CSL_CITATION {"citationID":"iGrmIVLQ","properties":{"formattedCitation":"(Hasson et al., 2004)","plainCitation":"(Hasson et al., 2004)","noteIndex":0},"citationItems":[{"id":38,"uris":["http://zotero.org/groups/318634/items/S72VS9BZ"],"uri":["http://zotero.org/groups/318634/items/S72VS9BZ"],"itemData":{"id":38,"type":"article-journal","title":"Intersubject synchronization of cortical activity during natural vision","container-title":"Science (New York, N.Y.)","page":"1634-1640","volume":"303","issue":"5664","source":"PubMed","abstract":"To what extent do all brains work alike during natural conditions? We explored this question by letting five subjects freely view half an hour of a popular movie while undergoing functional brain imaging. Applying an unbiased analysis in which spatiotemporal activity patterns in one brain were used to \"model\" activity in another brain, we found a striking level of voxel-by-voxel synchronization between individuals, not only in primary and secondary visual and auditory areas but also in association cortices. The results reveal a surprising tendency of individual brains to \"tick collectively\" during natural vision. The intersubject synchronization consisted of a widespread cortical activation pattern correlated with emotionally arousing scenes and regionally selective components. The characteristics of these activations were revealed with the use of an open-ended \"reverse-correlation\" approach, which inverts the conventional analysis by letting the brain signals themselves \"pick up\" the optimal stimuli for each specialized cortical area.","DOI":"10.1126/science.1089506","ISSN":"1095-9203","note":"PMID: 15016991","journalAbbreviation":"Science","language":"eng","author":[{"family":"Hasson","given":"Uri"},{"family":"Nir","given":"Yuval"},{"family":"Levy","given":"Ifat"},{"family":"Fuhrmann","given":"Galit"},{"family":"Malach","given":"Rafael"}],"issued":{"date-parts":[["2004",3,12]]}}}],"schema":"https://github.com/citation-style-language/schema/raw/master/csl-citation.json"} </w:instrText>
      </w:r>
      <w:r w:rsidRPr="00225AB0">
        <w:rPr>
          <w:rFonts w:ascii="Arial" w:hAnsi="Arial" w:cs="Arial"/>
        </w:rPr>
        <w:fldChar w:fldCharType="separate"/>
      </w:r>
      <w:r w:rsidRPr="00225AB0">
        <w:rPr>
          <w:rFonts w:ascii="Arial" w:hAnsi="Arial" w:cs="Arial"/>
          <w:noProof/>
        </w:rPr>
        <w:t>(Hasson et al., 2004)</w:t>
      </w:r>
      <w:r w:rsidRPr="00225AB0">
        <w:rPr>
          <w:rFonts w:ascii="Arial" w:hAnsi="Arial" w:cs="Arial"/>
        </w:rPr>
        <w:fldChar w:fldCharType="end"/>
      </w:r>
      <w:r w:rsidRPr="00225AB0">
        <w:rPr>
          <w:rFonts w:ascii="Arial" w:hAnsi="Arial" w:cs="Arial"/>
        </w:rPr>
        <w:t xml:space="preserve">.  Attention directed toward face stimuli has also been </w:t>
      </w:r>
      <w:r w:rsidR="00DD0A13">
        <w:rPr>
          <w:rFonts w:ascii="Arial" w:hAnsi="Arial" w:cs="Arial"/>
        </w:rPr>
        <w:t>shown</w:t>
      </w:r>
      <w:r w:rsidR="00DD0A13" w:rsidRPr="00225AB0">
        <w:rPr>
          <w:rFonts w:ascii="Arial" w:hAnsi="Arial" w:cs="Arial"/>
        </w:rPr>
        <w:t xml:space="preserve"> </w:t>
      </w:r>
      <w:r w:rsidRPr="00225AB0">
        <w:rPr>
          <w:rFonts w:ascii="Arial" w:hAnsi="Arial" w:cs="Arial"/>
        </w:rPr>
        <w:t xml:space="preserve">to modulate the response of the FFA </w:t>
      </w:r>
      <w:r w:rsidRPr="00225AB0">
        <w:rPr>
          <w:rFonts w:ascii="Arial" w:hAnsi="Arial" w:cs="Arial"/>
        </w:rPr>
        <w:fldChar w:fldCharType="begin"/>
      </w:r>
      <w:r w:rsidR="005B4361">
        <w:rPr>
          <w:rFonts w:ascii="Arial" w:hAnsi="Arial" w:cs="Arial"/>
        </w:rPr>
        <w:instrText xml:space="preserve"> ADDIN ZOTERO_ITEM CSL_CITATION {"citationID":"ulA1vFb7","properties":{"formattedCitation":"(Wojciulik, Kanwisher, &amp; Driver, 1998; Yi, Kelley, Marois, &amp; Chun, 2006)","plainCitation":"(Wojciulik, Kanwisher, &amp; Driver, 1998; Yi, Kelley, Marois, &amp; Chun, 2006)","noteIndex":0},"citationItems":[{"id":95,"uris":["http://zotero.org/groups/318634/items/6RY94UGZ"],"uri":["http://zotero.org/groups/318634/items/6RY94UGZ"],"itemData":{"id":95,"type":"article-journal","title":"Covert Visual Attention Modulates Face-Specific Activity in the Human Fusiform Gyrus: fMRI Study","container-title":"Journal of Neurophysiology","page":"1574-1578","volume":"79","issue":"3","source":"physiology.org (Atypon)","abstract":"Wojciulik, Ewa, Nancy Kanwisher, and Jon Driver. Covert visual attention modulates face-specific activity in the human fusiform gyrus: an fMRI study. J. Neurophysiol. 79: 1574–1578, 1998. Several lines of evidence demonstrate that faces undergo specialized processing within the primate visual system. It has been claimed that dedicated modules for such biologically significant stimuli operate in a mandatory fashion whenever their triggering input is presented. However, the possible role of covert attention to the activating stimulus has never been examined for such cases. We used functional magnetic resonance imaging to test whether face-specific activity in the human fusiform face area (FFA) is modulated by covert attention. The FFA was first identified individually in each subject as the ventral occipitotemporal region that responded more strongly to visually presented faces than to other visual objects under passive central viewing. This then served as the region of interest within which attentional modulation was tested independently, using active tasks and a very different stimulus set. Subjects viewed brief displays each comprising two peripheral faces and two peripheral houses (all presented simultaneously). They performed a matching task on either the two faces or the two houses, while maintaining central fixation to equate retinal stimulation across tasks. Signal intensity was reliably stronger during face-matching than house matching in both right- and left-hemisphere predefined FFAs. These results show that face-specific fusiform activity is reduced when stimuli appear outside (vs. inside) the focus of attention. Despite the modular nature of the FFA (i.e., its functional specificity and anatomic localization), face processing in this region nonetheless depends on voluntary attention.","DOI":"10.1152/jn.1998.79.3.1574","ISSN":"0022-3077","title-short":"Covert Visual Attention Modulates Face-Specific Activity in the Human Fusiform Gyrus","journalAbbreviation":"Journal of Neurophysiology","author":[{"family":"Wojciulik","given":"Ewa"},{"family":"Kanwisher","given":"Nancy"},{"family":"Driver","given":"Jon"}],"issued":{"date-parts":[["1998",3,1]]}}},{"id":33,"uris":["http://zotero.org/groups/318634/items/GQ66KDV8"],"uri":["http://zotero.org/groups/318634/items/GQ66KDV8"],"itemData":{"id":33,"type":"article-journal","title":"Attentional modulation of repetition attenuation is anatomically dissociable for scenes and faces","container-title":"Brain Research","page":"53-62","volume":"1080","issue":"1","source":"PubMed","abstract":"Repeating a stimulus generally leads to a decreased response in neural activity compared to that for novel items. This neural attenuation provides a marker for stimulus-specific perceptual encoding and memory that can be detected using functional magnetic resonance imaging (fMRI). Although previously assumed to occur automatically whenever a stimulus is repeated, recent studies have begun to show that the repetition attenuation effect is task-specific and modulated by attention. Here, we demonstrate that attention is crucial for obtaining neural attenuation even after extensive stimulus repetitions. Furthermore, the effect of attention on attenuation is anatomically dissociable for stimuli that have relatively segregated neural representations in high-level perceptual cortex. To manipulate attention, we used overlapping scene and face images, and asked subjects to attend to either category. In a scene-sensitive cortical region known as the parahippocampal place area (PPA), significant attenuation in the fMRI BOLD signal was observed for the attended repeated scenes (relative to attended novel scenes), while no attenuation was observed for ignored repeated scenes or attended repeated faces against their respective novel image baselines. Conversely, in the face-sensitive region known as the fusiform face area (FFA), significant attenuation was observed for attended repeated faces, but not for ignored repeated faces or attended repeated scenes. An additional control experiment ruled out alternative explanations based on global signal level reductions due to inattention. Thus, attention actively governed when neuronal activity was attenuated to repeated perceptual input, and such attenuation was specific to the cortical regions that actively represent the attended category of stimuli.","DOI":"10.1016/j.brainres.2006.01.090","ISSN":"0006-8993","note":"PMID: 16507300","journalAbbreviation":"Brain Res.","language":"eng","author":[{"family":"Yi","given":"Do-Joon"},{"family":"Kelley","given":"Todd A."},{"family":"Marois","given":"René"},{"family":"Chun","given":"Marvin M."}],"issued":{"date-parts":[["2006",3,29]]}}}],"schema":"https://github.com/citation-style-language/schema/raw/master/csl-citation.json"} </w:instrText>
      </w:r>
      <w:r w:rsidRPr="00225AB0">
        <w:rPr>
          <w:rFonts w:ascii="Arial" w:hAnsi="Arial" w:cs="Arial"/>
        </w:rPr>
        <w:fldChar w:fldCharType="separate"/>
      </w:r>
      <w:r w:rsidRPr="00225AB0">
        <w:rPr>
          <w:rFonts w:ascii="Arial" w:hAnsi="Arial" w:cs="Arial"/>
          <w:noProof/>
        </w:rPr>
        <w:t>(Wojciulik, Kanwisher, &amp; Driver, 1998; Yi, Kelley, Marois, &amp; Chun, 2006)</w:t>
      </w:r>
      <w:r w:rsidRPr="00225AB0">
        <w:rPr>
          <w:rFonts w:ascii="Arial" w:hAnsi="Arial" w:cs="Arial"/>
        </w:rPr>
        <w:fldChar w:fldCharType="end"/>
      </w:r>
      <w:r w:rsidRPr="00225AB0">
        <w:rPr>
          <w:rFonts w:ascii="Arial" w:hAnsi="Arial" w:cs="Arial"/>
        </w:rPr>
        <w:t xml:space="preserve">, boosting its activation preferentially to face versus house stimuli. Hence, we wished to examine modulation </w:t>
      </w:r>
      <w:r w:rsidR="00D44AC6">
        <w:rPr>
          <w:rFonts w:ascii="Arial" w:hAnsi="Arial" w:cs="Arial"/>
        </w:rPr>
        <w:t>in</w:t>
      </w:r>
      <w:r w:rsidRPr="00225AB0">
        <w:rPr>
          <w:rFonts w:ascii="Arial" w:hAnsi="Arial" w:cs="Arial"/>
        </w:rPr>
        <w:t xml:space="preserve"> the FFA in response to attention directed toward different visual stimuli, comparing responses when attending to faces with modulation when viewing relatively lower-level visual stimulus attributes. </w:t>
      </w:r>
    </w:p>
    <w:p w14:paraId="40B0F102" w14:textId="77777777" w:rsidR="0060072E" w:rsidRPr="00225AB0" w:rsidRDefault="0060072E" w:rsidP="0060072E">
      <w:pPr>
        <w:spacing w:line="480" w:lineRule="auto"/>
        <w:rPr>
          <w:rFonts w:ascii="Arial" w:hAnsi="Arial" w:cs="Arial"/>
        </w:rPr>
      </w:pPr>
    </w:p>
    <w:p w14:paraId="5F1AA3E7" w14:textId="008C0C4A" w:rsidR="0060072E" w:rsidRPr="00225AB0" w:rsidRDefault="0060072E" w:rsidP="0060072E">
      <w:pPr>
        <w:spacing w:line="480" w:lineRule="auto"/>
        <w:rPr>
          <w:rFonts w:ascii="Arial" w:hAnsi="Arial" w:cs="Arial"/>
        </w:rPr>
      </w:pPr>
      <w:r w:rsidRPr="00225AB0">
        <w:rPr>
          <w:rFonts w:ascii="Arial" w:hAnsi="Arial" w:cs="Arial"/>
        </w:rPr>
        <w:t xml:space="preserve">Additional regions such as the occipital face area (OFA) and superior temporal sulcus (STS) have also been implicated in face-processing. The OFA region has been demonstrated to possess greater responsivity to faces versus objects </w:t>
      </w:r>
      <w:r w:rsidRPr="00225AB0">
        <w:rPr>
          <w:rFonts w:ascii="Arial" w:hAnsi="Arial" w:cs="Arial"/>
        </w:rPr>
        <w:fldChar w:fldCharType="begin"/>
      </w:r>
      <w:r w:rsidR="005B4361">
        <w:rPr>
          <w:rFonts w:ascii="Arial" w:hAnsi="Arial" w:cs="Arial"/>
        </w:rPr>
        <w:instrText xml:space="preserve"> ADDIN ZOTERO_ITEM CSL_CITATION {"citationID":"mz5NvXka","properties":{"formattedCitation":"(Gauthier et al., 2000)","plainCitation":"(Gauthier et al., 2000)","noteIndex":0},"citationItems":[{"id":32,"uris":["http://zotero.org/groups/318634/items/7IQ5I4DZ"],"uri":["http://zotero.org/groups/318634/items/7IQ5I4DZ"],"itemData":{"id":32,"type":"article-journal","title":"The fusiform \"face area\" is part of a network that processes faces at the individual level","container-title":"Journal of Cognitive Neuroscience","page":"495-504","volume":"12","issue":"3","source":"PubMed","abstract":"According to modular models of cortical organization, many areas of the extrastriate cortex are dedicated to object categories. These models often assume an early processing stage for the detection of category membership. Can functional imaging isolate areas responsible for detection of members of a category, such as faces or letters? We consider whether responses in three different areas (two selective for faces and one selective for letters) support category detection. Activity in these areas habituates to the repeated presentation of one exemplar more than to the presentation of different exemplars of the same category, but only for the category for which the area is selective. Thus, these areas appear to play computational roles more complex than detection, processing stimuli at the individual level. Drawing from prior work, we suggest that face-selective areas may be involved in the perception of faces at the individual level, whereas letter-selective regions may be tuning themselves to font information in order to recognize letters more efficiently.","ISSN":"0898-929X","note":"PMID: 10931774","journalAbbreviation":"J Cogn Neurosci","language":"eng","author":[{"family":"Gauthier","given":"I."},{"family":"Tarr","given":"M. J."},{"family":"Moylan","given":"J."},{"family":"Skudlarski","given":"P."},{"family":"Gore","given":"J. C."},{"family":"Anderson","given":"A. W."}],"issued":{"date-parts":[["2000",5]]}}}],"schema":"https://github.com/citation-style-language/schema/raw/master/csl-citation.json"} </w:instrText>
      </w:r>
      <w:r w:rsidRPr="00225AB0">
        <w:rPr>
          <w:rFonts w:ascii="Arial" w:hAnsi="Arial" w:cs="Arial"/>
        </w:rPr>
        <w:fldChar w:fldCharType="separate"/>
      </w:r>
      <w:r w:rsidRPr="00225AB0">
        <w:rPr>
          <w:rFonts w:ascii="Arial" w:hAnsi="Arial" w:cs="Arial"/>
          <w:noProof/>
        </w:rPr>
        <w:t>(Gauthier et al., 2000)</w:t>
      </w:r>
      <w:r w:rsidRPr="00225AB0">
        <w:rPr>
          <w:rFonts w:ascii="Arial" w:hAnsi="Arial" w:cs="Arial"/>
        </w:rPr>
        <w:fldChar w:fldCharType="end"/>
      </w:r>
      <w:r w:rsidRPr="00225AB0">
        <w:rPr>
          <w:rFonts w:ascii="Arial" w:hAnsi="Arial" w:cs="Arial"/>
        </w:rPr>
        <w:t xml:space="preserve">, and the STS has been identified as a region responsive to dynamic faces and bodies, and emotional expressions </w:t>
      </w:r>
      <w:r w:rsidRPr="00225AB0">
        <w:rPr>
          <w:rFonts w:ascii="Arial" w:hAnsi="Arial" w:cs="Arial"/>
        </w:rPr>
        <w:fldChar w:fldCharType="begin"/>
      </w:r>
      <w:r w:rsidR="005B4361">
        <w:rPr>
          <w:rFonts w:ascii="Arial" w:hAnsi="Arial" w:cs="Arial"/>
        </w:rPr>
        <w:instrText xml:space="preserve"> ADDIN ZOTERO_ITEM CSL_CITATION {"citationID":"zg5wFb7a","properties":{"formattedCitation":"(Allison et al., 2000; O\\uc0\\u8217{}Toole, Roark, &amp; Abdi, 2002)","plainCitation":"(Allison et al., 2000; O’Toole, Roark, &amp; Abdi, 2002)","noteIndex":0},"citationItems":[{"id":27,"uris":["http://zotero.org/groups/318634/items/EEN7GFLU"],"uri":["http://zotero.org/groups/318634/items/EEN7GFLU"],"itemData":{"id":27,"type":"article-journal","title":"Social perception from visual cues: role of the STS region","container-title":"Trends in Cognitive Sciences","page":"267-278","volume":"4","issue":"7","source":"PubMed","abstract":"Social perception refers to initial stages in the processing of information that culminates in the accurate analysis of the dispositions and intentions of other individuals. Single-cell recordings in monkeys, and neurophysiological and neuroimaging studies in humans, reveal that cerebral cortex in and near the superior temporal sulcus (STS) region is an important component of this perceptual system. In monkeys and humans, the STS region is activated by movements of the eyes, mouth, hands and body, suggesting that it is involved in analysis of biological motion. However, it is also activated by static images of the face and body, suggesting that it is sensitive to implied motion and more generally to stimuli that signal the actions of another individual. Subsequent analysis of socially relevant stimuli is carried out in the amygdala and orbitofrontal cortex, which supports a three-structure model proposed by Brothers. The homology of human and monkey areas involved in social perception, and the functional interrelationships between the STS region and the ventral face area, are unresolved issues.","ISSN":"1879-307X","note":"PMID: 10859571","title-short":"Social perception from visual cues","journalAbbreviation":"Trends Cogn. Sci. (Regul. Ed.)","language":"eng","author":[{"family":"Allison","given":"null"},{"family":"Puce","given":"null"},{"family":"McCarthy","given":"null"}],"issued":{"date-parts":[["2000",7]]}}},{"id":28,"uris":["http://zotero.org/groups/318634/items/MRMIYYLG"],"uri":["http://zotero.org/groups/318634/items/MRMIYYLG"],"itemData":{"id":28,"type":"article-journal","title":"Recognizing moving faces: a psychological and neural synthesis","container-title":"Trends in Cognitive Sciences","page":"261-266","volume":"6","issue":"6","source":"PubMed","abstract":"Information for identifying a human face can be found both in the invariant structure of features and in idiosyncratic movements and gestures. When both kinds of information are available, psychological evidence indicates that: (1) dynamic information contributes more to recognition under non-optimal viewing conditions, e.g. poor illumination, low image resolution, recognition from a distance; (2) dynamic information contributes more as a viewer's experience with the face increases; and (3) a structure-from-motion analysis can make a perceptually based contribution to face recognition. A recently proposed distributed neural system for face perception, with minor modifications, can accommodate the psychological findings with moving faces.","ISSN":"1879-307X","note":"PMID: 12039608","title-short":"Recognizing moving faces","journalAbbreviation":"Trends Cogn. Sci. (Regul. Ed.)","language":"eng","author":[{"family":"O'Toole","given":"Alice J."},{"family":"Roark","given":"Dana A."},{"family":"Abdi","given":"Hervé"}],"issued":{"date-parts":[["2002",6,1]]}}}],"schema":"https://github.com/citation-style-language/schema/raw/master/csl-citation.json"} </w:instrText>
      </w:r>
      <w:r w:rsidRPr="00225AB0">
        <w:rPr>
          <w:rFonts w:ascii="Arial" w:hAnsi="Arial" w:cs="Arial"/>
        </w:rPr>
        <w:fldChar w:fldCharType="separate"/>
      </w:r>
      <w:r w:rsidR="00967B1F" w:rsidRPr="00225AB0">
        <w:rPr>
          <w:rFonts w:ascii="Arial" w:hAnsi="Arial" w:cs="Arial"/>
          <w:lang w:val="en-US"/>
        </w:rPr>
        <w:t>(Allison et al., 2000; O’Toole, Roark, &amp; Abdi, 2002)</w:t>
      </w:r>
      <w:r w:rsidRPr="00225AB0">
        <w:rPr>
          <w:rFonts w:ascii="Arial" w:hAnsi="Arial" w:cs="Arial"/>
        </w:rPr>
        <w:fldChar w:fldCharType="end"/>
      </w:r>
      <w:r w:rsidRPr="00225AB0">
        <w:rPr>
          <w:rFonts w:ascii="Arial" w:hAnsi="Arial" w:cs="Arial"/>
        </w:rPr>
        <w:t xml:space="preserve">. Like the FFA, attentional modulation effects have been noted </w:t>
      </w:r>
      <w:r w:rsidR="00D44AC6">
        <w:rPr>
          <w:rFonts w:ascii="Arial" w:hAnsi="Arial" w:cs="Arial"/>
        </w:rPr>
        <w:t>in</w:t>
      </w:r>
      <w:r w:rsidRPr="00225AB0">
        <w:rPr>
          <w:rFonts w:ascii="Arial" w:hAnsi="Arial" w:cs="Arial"/>
        </w:rPr>
        <w:t xml:space="preserve"> the OFA and </w:t>
      </w:r>
      <w:r w:rsidR="00D44AC6">
        <w:rPr>
          <w:rFonts w:ascii="Arial" w:hAnsi="Arial" w:cs="Arial"/>
        </w:rPr>
        <w:t>in</w:t>
      </w:r>
      <w:r w:rsidRPr="00225AB0">
        <w:rPr>
          <w:rFonts w:ascii="Arial" w:hAnsi="Arial" w:cs="Arial"/>
        </w:rPr>
        <w:t xml:space="preserve"> the STS, where </w:t>
      </w:r>
      <w:r w:rsidRPr="00225AB0">
        <w:rPr>
          <w:rFonts w:ascii="Arial" w:hAnsi="Arial" w:cs="Arial"/>
        </w:rPr>
        <w:lastRenderedPageBreak/>
        <w:t xml:space="preserve">attention directed toward simulated biological motion has been demonstrated to modulate activity </w:t>
      </w:r>
      <w:r w:rsidRPr="00225AB0">
        <w:rPr>
          <w:rFonts w:ascii="Arial" w:hAnsi="Arial" w:cs="Arial"/>
        </w:rPr>
        <w:fldChar w:fldCharType="begin"/>
      </w:r>
      <w:r w:rsidR="005B4361">
        <w:rPr>
          <w:rFonts w:ascii="Arial" w:hAnsi="Arial" w:cs="Arial"/>
        </w:rPr>
        <w:instrText xml:space="preserve"> ADDIN ZOTERO_ITEM CSL_CITATION {"citationID":"lnTtanD9","properties":{"formattedCitation":"(Chiu, Esterman, Han, Rosen, &amp; Yantis, 2011; Safford, Hussey, Parasuraman, &amp; Thompson, 2010)","plainCitation":"(Chiu, Esterman, Han, Rosen, &amp; Yantis, 2011; Safford, Hussey, Parasuraman, &amp; Thompson, 2010)","noteIndex":0},"citationItems":[{"id":26,"uris":["http://zotero.org/groups/318634/items/XYPX26H4"],"uri":["http://zotero.org/groups/318634/items/XYPX26H4"],"itemData":{"id":26,"type":"article-journal","title":"Decoding task-based attentional modulation during face categorization","container-title":"Journal of Cognitive Neuroscience","page":"1198-1204","volume":"23","issue":"5","source":"PubMed","abstract":"Attention is a neurocognitive mechanism that selects task-relevant sensory or mnemonic information to achieve current behavioral goals. Attentional modulation of cortical activity has been observed when attention is directed to specific locations, features, or objects. However, little is known about how high-level categorization task set modulates perceptual representations. In the current study, observers categorized faces by gender (male vs. female) or race (Asian vs. White). Each face was perceptually ambiguous in both dimensions, such that categorization of one dimension demanded selective attention to task-relevant information within the face. We used multivoxel pattern classification to show that task-specific modulations evoke reliably distinct spatial patterns of activity within three face-selective cortical regions (right fusiform face area and bilateral occipital face areas). This result suggests that patterns of activity in these regions reflect not only stimulus-specific (i.e., faces vs. houses) responses but also task-specific (i.e., race vs. gender) attentional modulation. Furthermore, exploratory whole-brain multivoxel pattern classification (using a searchlight procedure) revealed a network of dorsal fronto-parietal regions (left middle frontal gyrus and left inferior and superior parietal lobule) that also exhibit distinct patterns for the two task sets, suggesting that these regions may represent abstract goals during high-level categorization tasks.","DOI":"10.1162/jocn.2010.21503","ISSN":"1530-8898","note":"PMID: 20429856\nPMCID: PMC3098507","journalAbbreviation":"J Cogn Neurosci","language":"eng","author":[{"family":"Chiu","given":"Yu-Chin"},{"family":"Esterman","given":"Michael"},{"family":"Han","given":"Yuefeng"},{"family":"Rosen","given":"Heather"},{"family":"Yantis","given":"Steven"}],"issued":{"date-parts":[["2011",5]]}}},{"id":25,"uris":["http://zotero.org/groups/318634/items/Y5QVNPVZ"],"uri":["http://zotero.org/groups/318634/items/Y5QVNPVZ"],"itemData":{"id":25,"type":"article-journal","title":"Object-based attentional modulation of biological motion processing: spatiotemporal dynamics using functional magnetic resonance imaging and electroencephalography","container-title":"The Journal of Neuroscience: The Official Journal of the Society for Neuroscience","page":"9064-9073","volume":"30","issue":"27","source":"PubMed","abstract":"Although it is well documented that the ability to perceive biological motion is mediated by the lateral temporal cortex, whether and when neural activity in this brain region is modulated by attention is unknown. In particular, it is unclear whether the processing of biological motion requires attention or whether such stimuli are processed preattentively. Here, we used functional magnetic resonance imaging, high-density electroencephalography, and cortically constrained source estimation methods to investigate the spatiotemporal effects of attention on the processing of biological motion. Directing attention to tool motion in overlapping movies of biological motion and tool motion suppressed the blood oxygenation level-dependent (BOLD) response of the right superior temporal sulcus (STS)/middle temporal gyrus (MTG), while directing attention to biological motion suppressed the BOLD response of the left inferior temporal sulcus (ITS)/MTG. Similarly, category-based modulation of the cortical current source density estimates from the right STS/MTG and left ITS was observed beginning at approximately 450 ms following stimulus onset. Our results indicate that the cortical processing of biological motion is strongly modulated by attention. These findings argue against preattentive processing of biological motion in the presence of stimuli that compete for attention. Our findings also suggest that the attention-based segregation of motion category-specific responses only emerges relatively late (several hundred milliseconds) in processing.","DOI":"10.1523/JNEUROSCI.1779-10.2010","ISSN":"1529-2401","note":"PMID: 20610740","title-short":"Object-based attentional modulation of biological motion processing","journalAbbreviation":"J. Neurosci.","language":"eng","author":[{"family":"Safford","given":"Ashley S."},{"family":"Hussey","given":"Elizabeth A."},{"family":"Parasuraman","given":"Raja"},{"family":"Thompson","given":"James C."}],"issued":{"date-parts":[["2010",7,7]]}}}],"schema":"https://github.com/citation-style-language/schema/raw/master/csl-citation.json"} </w:instrText>
      </w:r>
      <w:r w:rsidRPr="00225AB0">
        <w:rPr>
          <w:rFonts w:ascii="Arial" w:hAnsi="Arial" w:cs="Arial"/>
        </w:rPr>
        <w:fldChar w:fldCharType="separate"/>
      </w:r>
      <w:r w:rsidRPr="00225AB0">
        <w:rPr>
          <w:rFonts w:ascii="Arial" w:hAnsi="Arial" w:cs="Arial"/>
          <w:noProof/>
        </w:rPr>
        <w:t>(Chiu, Esterman, Han, Rosen, &amp; Yantis, 2011; Safford, Hussey, Parasuraman, &amp; Thompson, 2010)</w:t>
      </w:r>
      <w:r w:rsidRPr="00225AB0">
        <w:rPr>
          <w:rFonts w:ascii="Arial" w:hAnsi="Arial" w:cs="Arial"/>
        </w:rPr>
        <w:fldChar w:fldCharType="end"/>
      </w:r>
      <w:r w:rsidRPr="00225AB0">
        <w:rPr>
          <w:rFonts w:ascii="Arial" w:hAnsi="Arial" w:cs="Arial"/>
        </w:rPr>
        <w:t xml:space="preserve">. Evidence of signal modulation </w:t>
      </w:r>
      <w:r w:rsidR="00D44AC6">
        <w:rPr>
          <w:rFonts w:ascii="Arial" w:hAnsi="Arial" w:cs="Arial"/>
        </w:rPr>
        <w:t>in</w:t>
      </w:r>
      <w:r w:rsidRPr="00225AB0">
        <w:rPr>
          <w:rFonts w:ascii="Arial" w:hAnsi="Arial" w:cs="Arial"/>
        </w:rPr>
        <w:t xml:space="preserve"> the visual cortex in response to face stimuli has been noted across the lateral fusiform gyrus (including the FFA), STS and along the middle temporal gyrus, forming a face-processing network </w:t>
      </w:r>
      <w:r w:rsidRPr="00225AB0">
        <w:rPr>
          <w:rFonts w:ascii="Arial" w:hAnsi="Arial" w:cs="Arial"/>
        </w:rPr>
        <w:fldChar w:fldCharType="begin"/>
      </w:r>
      <w:r w:rsidR="005B4361">
        <w:rPr>
          <w:rFonts w:ascii="Arial" w:hAnsi="Arial" w:cs="Arial"/>
        </w:rPr>
        <w:instrText xml:space="preserve"> ADDIN ZOTERO_ITEM CSL_CITATION {"citationID":"gTTYaO0t","properties":{"formattedCitation":"(Andreas Bartels &amp; Zeki, 2004a)","plainCitation":"(Andreas Bartels &amp; Zeki, 2004a)","dontUpdate":true,"noteIndex":0},"citationItems":[{"id":42,"uris":["http://zotero.org/groups/318634/items/Y8NNHCLK"],"uri":["http://zotero.org/groups/318634/items/Y8NNHCLK"],"itemData":{"id":42,"type":"article-journal","title":"Functional brain mapping during free viewing of natural scenes","container-title":"Human Brain Mapping","page":"75-85","volume":"21","issue":"2","source":"PubMed","abstract":"Previous imaging studies have used mostly perceptually abstracted, idealized, or static stimuli to show segregation of function in the cerebral cortex. We wanted to learn whether functional segregation is maintained during more natural, complex, and dynamic conditions when many features have to be processed simultaneously, and identify regions whose activity correlates with the perception of specific features. To achieve this, we used functional magnetic resonance imaging (fMRI) to measure brain activity when human observers viewed freely dynamic natural scenes (a James Bond movie). The intensity with which they perceived different features (color, faces, language, and human bodies) was assessed psychometrically in separate sessions. In all subjects different features were perceived with a high degree of independence over time. We found that the perception of each feature correlated with activity in separate, specialized areas whose activity also varied independently. We conclude that even in natural conditions, when many features have to be processed simultaneously, functional specialization is preserved. Our method thus opens a new way of brain mapping, which allows the localization of a multitude of brain areas based on a single experiment using uncontrolled, natural stimuli. Furthermore, our results show that the intensity of activity in a specialized area is linearly correlated with the intensity of its perceptual experience. This leads us to suggest that each specialized area is directly responsible for the creation of a feature-specific conscious percept (a microconsciousness). Hum. Brain Mapp. 21:75-83, 2004.","DOI":"10.1002/hbm.10153","ISSN":"1065-9471","note":"PMID: 14755595","journalAbbreviation":"Hum Brain Mapp","language":"eng","author":[{"family":"Bartels","given":"Andreas"},{"family":"Zeki","given":"Semir"}],"issued":{"date-parts":[["2004",2]]}}}],"schema":"https://github.com/citation-style-language/schema/raw/master/csl-citation.json"} </w:instrText>
      </w:r>
      <w:r w:rsidRPr="00225AB0">
        <w:rPr>
          <w:rFonts w:ascii="Arial" w:hAnsi="Arial" w:cs="Arial"/>
        </w:rPr>
        <w:fldChar w:fldCharType="separate"/>
      </w:r>
      <w:r w:rsidRPr="00225AB0">
        <w:rPr>
          <w:rFonts w:ascii="Arial" w:hAnsi="Arial" w:cs="Arial"/>
          <w:noProof/>
        </w:rPr>
        <w:t>(Bartels &amp; Zeki, 2004a)</w:t>
      </w:r>
      <w:r w:rsidRPr="00225AB0">
        <w:rPr>
          <w:rFonts w:ascii="Arial" w:hAnsi="Arial" w:cs="Arial"/>
        </w:rPr>
        <w:fldChar w:fldCharType="end"/>
      </w:r>
      <w:r w:rsidRPr="00225AB0">
        <w:rPr>
          <w:rFonts w:ascii="Arial" w:hAnsi="Arial" w:cs="Arial"/>
        </w:rPr>
        <w:t>. Hence, attention directed toward face-stimuli produces widespread, yet specific activation across the visual cortex and beyond, and examination of these regions in response to attention to faces versus attention to low-level visual stimulus attributes will allow for investigation of the specialisation of processing along this face-</w:t>
      </w:r>
      <w:r w:rsidR="00D533DA">
        <w:rPr>
          <w:rFonts w:ascii="Arial" w:hAnsi="Arial" w:cs="Arial"/>
        </w:rPr>
        <w:t>specific</w:t>
      </w:r>
      <w:r w:rsidRPr="00225AB0">
        <w:rPr>
          <w:rFonts w:ascii="Arial" w:hAnsi="Arial" w:cs="Arial"/>
        </w:rPr>
        <w:t xml:space="preserve"> network. </w:t>
      </w:r>
    </w:p>
    <w:p w14:paraId="1C0ECE61" w14:textId="77777777" w:rsidR="0060072E" w:rsidRPr="00225AB0" w:rsidRDefault="0060072E" w:rsidP="0060072E">
      <w:pPr>
        <w:rPr>
          <w:rFonts w:ascii="Arial" w:hAnsi="Arial" w:cs="Arial"/>
        </w:rPr>
      </w:pPr>
    </w:p>
    <w:p w14:paraId="7F102392" w14:textId="0412BA55" w:rsidR="0060072E" w:rsidRPr="00225AB0" w:rsidRDefault="0060072E" w:rsidP="0060072E">
      <w:pPr>
        <w:spacing w:line="480" w:lineRule="auto"/>
        <w:rPr>
          <w:rFonts w:ascii="Arial" w:hAnsi="Arial" w:cs="Arial"/>
        </w:rPr>
      </w:pPr>
      <w:r w:rsidRPr="00225AB0">
        <w:rPr>
          <w:rFonts w:ascii="Arial" w:hAnsi="Arial" w:cs="Arial"/>
        </w:rPr>
        <w:t xml:space="preserve">Further research has investigated attentional modulation during natural vision at a finer spatial scale than the level of connectivity between different functionally specialised regions. For example, </w:t>
      </w:r>
      <w:r w:rsidRPr="00225AB0">
        <w:rPr>
          <w:rFonts w:ascii="Arial" w:hAnsi="Arial" w:cs="Arial"/>
        </w:rPr>
        <w:fldChar w:fldCharType="begin"/>
      </w:r>
      <w:r w:rsidR="005B4361">
        <w:rPr>
          <w:rFonts w:ascii="Arial" w:hAnsi="Arial" w:cs="Arial"/>
        </w:rPr>
        <w:instrText xml:space="preserve"> ADDIN ZOTERO_ITEM CSL_CITATION {"citationID":"7hP9GizV","properties":{"formattedCitation":"(\\uc0\\u199{}ukur, Nishimoto, Huth, &amp; Gallant, 2013)","plainCitation":"(Çukur, Nishimoto, Huth, &amp; Gallant, 2013)","dontUpdate":true,"noteIndex":0},"citationItems":[{"id":24,"uris":["http://zotero.org/groups/318634/items/HXBDG7FU"],"uri":["http://zotero.org/groups/318634/items/HXBDG7FU"],"itemData":{"id":24,"type":"article-journal","title":"Attention during natural vision warps semantic representation across the human brain","container-title":"Nature Neuroscience","page":"763-770","volume":"16","issue":"6","source":"PubMed","abstract":"Little is known about how attention changes the cortical representation of sensory information in humans. On the basis of neurophysiological evidence, we hypothesized that attention causes tuning changes to expand the representation of attended stimuli at the cost of unattended stimuli. To investigate this issue, we used functional magnetic resonance imaging to measure how semantic representation changed during visual search for different object categories in natural movies. We found that many voxels across occipito-temporal and fronto-parietal cortex shifted their tuning toward the attended category. These tuning shifts expanded the representation of the attended category and of semantically related, but unattended, categories, and compressed the representation of categories that were semantically dissimilar to the target. Attentional warping of semantic representation occurred even when the attended category was not present in the movie; thus, the effect was not a target-detection artifact. These results suggest that attention dynamically alters visual representation to optimize processing of behaviorally relevant objects during natural vision.","DOI":"10.1038/nn.3381","ISSN":"1546-1726","note":"PMID: 23603707\nPMCID: PMC3929490","journalAbbreviation":"Nat. Neurosci.","language":"eng","author":[{"family":"Çukur","given":"Tolga"},{"family":"Nishimoto","given":"Shinji"},{"family":"Huth","given":"Alexander G."},{"family":"Gallant","given":"Jack L."}],"issued":{"date-parts":[["2013",6]]}}}],"schema":"https://github.com/citation-style-language/schema/raw/master/csl-citation.json"} </w:instrText>
      </w:r>
      <w:r w:rsidRPr="00225AB0">
        <w:rPr>
          <w:rFonts w:ascii="Arial" w:hAnsi="Arial" w:cs="Arial"/>
        </w:rPr>
        <w:fldChar w:fldCharType="separate"/>
      </w:r>
      <w:r w:rsidRPr="00225AB0">
        <w:rPr>
          <w:rFonts w:ascii="Arial" w:hAnsi="Arial" w:cs="Arial"/>
          <w:lang w:val="en-US"/>
        </w:rPr>
        <w:t>Çukur, Nishimoto, Huth, &amp; Gallant, (2013)</w:t>
      </w:r>
      <w:r w:rsidRPr="00225AB0">
        <w:rPr>
          <w:rFonts w:ascii="Arial" w:hAnsi="Arial" w:cs="Arial"/>
        </w:rPr>
        <w:fldChar w:fldCharType="end"/>
      </w:r>
      <w:r w:rsidRPr="00225AB0">
        <w:rPr>
          <w:rFonts w:ascii="Arial" w:hAnsi="Arial" w:cs="Arial"/>
        </w:rPr>
        <w:t xml:space="preserve"> identified voxels </w:t>
      </w:r>
      <w:r w:rsidR="00D44AC6">
        <w:rPr>
          <w:rFonts w:ascii="Arial" w:hAnsi="Arial" w:cs="Arial"/>
        </w:rPr>
        <w:t>in</w:t>
      </w:r>
      <w:r w:rsidRPr="00225AB0">
        <w:rPr>
          <w:rFonts w:ascii="Arial" w:hAnsi="Arial" w:cs="Arial"/>
        </w:rPr>
        <w:t xml:space="preserve"> the </w:t>
      </w:r>
      <w:proofErr w:type="spellStart"/>
      <w:r w:rsidRPr="00225AB0">
        <w:rPr>
          <w:rFonts w:ascii="Arial" w:hAnsi="Arial" w:cs="Arial"/>
        </w:rPr>
        <w:t>occipito</w:t>
      </w:r>
      <w:proofErr w:type="spellEnd"/>
      <w:r w:rsidRPr="00225AB0">
        <w:rPr>
          <w:rFonts w:ascii="Arial" w:hAnsi="Arial" w:cs="Arial"/>
        </w:rPr>
        <w:t xml:space="preserve">-temporal and fronto-parietal cortex that shifted their tuning toward an attended category and compressed representation of categories semantically unrelated to the attended target. Additionally, </w:t>
      </w:r>
      <w:r w:rsidRPr="00225AB0">
        <w:rPr>
          <w:rFonts w:ascii="Arial" w:hAnsi="Arial" w:cs="Arial"/>
        </w:rPr>
        <w:fldChar w:fldCharType="begin"/>
      </w:r>
      <w:r w:rsidR="005B4361">
        <w:rPr>
          <w:rFonts w:ascii="Arial" w:hAnsi="Arial" w:cs="Arial"/>
        </w:rPr>
        <w:instrText xml:space="preserve"> ADDIN ZOTERO_ITEM CSL_CITATION {"citationID":"y4jFvC9f","properties":{"formattedCitation":"(Chiu et al., 2011)","plainCitation":"(Chiu et al., 2011)","dontUpdate":true,"noteIndex":0},"citationItems":[{"id":26,"uris":["http://zotero.org/groups/318634/items/XYPX26H4"],"uri":["http://zotero.org/groups/318634/items/XYPX26H4"],"itemData":{"id":26,"type":"article-journal","title":"Decoding task-based attentional modulation during face categorization","container-title":"Journal of Cognitive Neuroscience","page":"1198-1204","volume":"23","issue":"5","source":"PubMed","abstract":"Attention is a neurocognitive mechanism that selects task-relevant sensory or mnemonic information to achieve current behavioral goals. Attentional modulation of cortical activity has been observed when attention is directed to specific locations, features, or objects. However, little is known about how high-level categorization task set modulates perceptual representations. In the current study, observers categorized faces by gender (male vs. female) or race (Asian vs. White). Each face was perceptually ambiguous in both dimensions, such that categorization of one dimension demanded selective attention to task-relevant information within the face. We used multivoxel pattern classification to show that task-specific modulations evoke reliably distinct spatial patterns of activity within three face-selective cortical regions (right fusiform face area and bilateral occipital face areas). This result suggests that patterns of activity in these regions reflect not only stimulus-specific (i.e., faces vs. houses) responses but also task-specific (i.e., race vs. gender) attentional modulation. Furthermore, exploratory whole-brain multivoxel pattern classification (using a searchlight procedure) revealed a network of dorsal fronto-parietal regions (left middle frontal gyrus and left inferior and superior parietal lobule) that also exhibit distinct patterns for the two task sets, suggesting that these regions may represent abstract goals during high-level categorization tasks.","DOI":"10.1162/jocn.2010.21503","ISSN":"1530-8898","note":"PMID: 20429856\nPMCID: PMC3098507","journalAbbreviation":"J Cogn Neurosci","language":"eng","author":[{"family":"Chiu","given":"Yu-Chin"},{"family":"Esterman","given":"Michael"},{"family":"Han","given":"Yuefeng"},{"family":"Rosen","given":"Heather"},{"family":"Yantis","given":"Steven"}],"issued":{"date-parts":[["2011",5]]}}}],"schema":"https://github.com/citation-style-language/schema/raw/master/csl-citation.json"} </w:instrText>
      </w:r>
      <w:r w:rsidRPr="00225AB0">
        <w:rPr>
          <w:rFonts w:ascii="Arial" w:hAnsi="Arial" w:cs="Arial"/>
        </w:rPr>
        <w:fldChar w:fldCharType="separate"/>
      </w:r>
      <w:r w:rsidRPr="00225AB0">
        <w:rPr>
          <w:rFonts w:ascii="Arial" w:hAnsi="Arial" w:cs="Arial"/>
          <w:noProof/>
        </w:rPr>
        <w:t>Chiu et al., (2011)</w:t>
      </w:r>
      <w:r w:rsidRPr="00225AB0">
        <w:rPr>
          <w:rFonts w:ascii="Arial" w:hAnsi="Arial" w:cs="Arial"/>
        </w:rPr>
        <w:fldChar w:fldCharType="end"/>
      </w:r>
      <w:r w:rsidRPr="00225AB0">
        <w:rPr>
          <w:rFonts w:ascii="Arial" w:hAnsi="Arial" w:cs="Arial"/>
        </w:rPr>
        <w:t xml:space="preserve"> demonstrated differential patterns of voxel-level activity during attention to </w:t>
      </w:r>
      <w:r w:rsidR="00831E34">
        <w:rPr>
          <w:rFonts w:ascii="Arial" w:hAnsi="Arial" w:cs="Arial"/>
        </w:rPr>
        <w:t>race</w:t>
      </w:r>
      <w:r w:rsidRPr="00225AB0">
        <w:rPr>
          <w:rFonts w:ascii="Arial" w:hAnsi="Arial" w:cs="Arial"/>
        </w:rPr>
        <w:t xml:space="preserve"> or gender of a perceptually ambiguous face, respectively </w:t>
      </w:r>
      <w:r w:rsidR="00D44AC6">
        <w:rPr>
          <w:rFonts w:ascii="Arial" w:hAnsi="Arial" w:cs="Arial"/>
        </w:rPr>
        <w:t>in</w:t>
      </w:r>
      <w:r w:rsidRPr="00225AB0">
        <w:rPr>
          <w:rFonts w:ascii="Arial" w:hAnsi="Arial" w:cs="Arial"/>
        </w:rPr>
        <w:t xml:space="preserve"> the rFFA and bilateral OFA. Hence, we also planned to investigate the effect of shifting attentional focus at the voxel-level examining patterns of activation </w:t>
      </w:r>
      <w:r w:rsidR="00D44AC6">
        <w:rPr>
          <w:rFonts w:ascii="Arial" w:hAnsi="Arial" w:cs="Arial"/>
        </w:rPr>
        <w:t>in</w:t>
      </w:r>
      <w:r w:rsidRPr="00225AB0">
        <w:rPr>
          <w:rFonts w:ascii="Arial" w:hAnsi="Arial" w:cs="Arial"/>
        </w:rPr>
        <w:t xml:space="preserve"> </w:t>
      </w:r>
      <w:r w:rsidR="00652CF7">
        <w:rPr>
          <w:rFonts w:ascii="Arial" w:hAnsi="Arial" w:cs="Arial"/>
        </w:rPr>
        <w:t>individual visual</w:t>
      </w:r>
      <w:r w:rsidRPr="00225AB0">
        <w:rPr>
          <w:rFonts w:ascii="Arial" w:hAnsi="Arial" w:cs="Arial"/>
        </w:rPr>
        <w:t xml:space="preserve"> ROIs. Despite the uncontrolled nature of </w:t>
      </w:r>
      <w:r w:rsidR="00652CF7">
        <w:rPr>
          <w:rFonts w:ascii="Arial" w:hAnsi="Arial" w:cs="Arial"/>
        </w:rPr>
        <w:t>this</w:t>
      </w:r>
      <w:r w:rsidRPr="00225AB0">
        <w:rPr>
          <w:rFonts w:ascii="Arial" w:hAnsi="Arial" w:cs="Arial"/>
        </w:rPr>
        <w:t xml:space="preserve"> </w:t>
      </w:r>
      <w:r w:rsidR="00652CF7">
        <w:rPr>
          <w:rFonts w:ascii="Arial" w:hAnsi="Arial" w:cs="Arial"/>
        </w:rPr>
        <w:t xml:space="preserve">naturalistic </w:t>
      </w:r>
      <w:r w:rsidRPr="00225AB0">
        <w:rPr>
          <w:rFonts w:ascii="Arial" w:hAnsi="Arial" w:cs="Arial"/>
        </w:rPr>
        <w:t xml:space="preserve">stimulus in comparison to our previous experiments (see Chapters 4 and 5), we were hopeful regarding our ability to identify </w:t>
      </w:r>
      <w:r w:rsidR="00652CF7">
        <w:rPr>
          <w:rFonts w:ascii="Arial" w:hAnsi="Arial" w:cs="Arial"/>
        </w:rPr>
        <w:t>similar</w:t>
      </w:r>
      <w:r w:rsidRPr="00225AB0">
        <w:rPr>
          <w:rFonts w:ascii="Arial" w:hAnsi="Arial" w:cs="Arial"/>
        </w:rPr>
        <w:t xml:space="preserve"> </w:t>
      </w:r>
      <w:r w:rsidR="00652CF7">
        <w:rPr>
          <w:rFonts w:ascii="Arial" w:hAnsi="Arial" w:cs="Arial"/>
        </w:rPr>
        <w:t xml:space="preserve">multivariate activation patterns as identified </w:t>
      </w:r>
      <w:r w:rsidR="00D44AC6">
        <w:rPr>
          <w:rFonts w:ascii="Arial" w:hAnsi="Arial" w:cs="Arial"/>
        </w:rPr>
        <w:t>in</w:t>
      </w:r>
      <w:r w:rsidR="00652CF7">
        <w:rPr>
          <w:rFonts w:ascii="Arial" w:hAnsi="Arial" w:cs="Arial"/>
        </w:rPr>
        <w:t xml:space="preserve"> Chapters 4 and 5. As </w:t>
      </w:r>
      <w:r w:rsidR="00652CF7">
        <w:rPr>
          <w:rFonts w:ascii="Arial" w:hAnsi="Arial" w:cs="Arial"/>
        </w:rPr>
        <w:lastRenderedPageBreak/>
        <w:t>n</w:t>
      </w:r>
      <w:r w:rsidRPr="00225AB0">
        <w:rPr>
          <w:rFonts w:ascii="Arial" w:hAnsi="Arial" w:cs="Arial"/>
        </w:rPr>
        <w:t xml:space="preserve">aturalistic stimuli </w:t>
      </w:r>
      <w:r w:rsidR="00652CF7">
        <w:rPr>
          <w:rFonts w:ascii="Arial" w:hAnsi="Arial" w:cs="Arial"/>
        </w:rPr>
        <w:t xml:space="preserve">have been suggested to </w:t>
      </w:r>
      <w:r w:rsidRPr="00225AB0">
        <w:rPr>
          <w:rFonts w:ascii="Arial" w:hAnsi="Arial" w:cs="Arial"/>
        </w:rPr>
        <w:t xml:space="preserve">produce an improved signal-to-noise ratio, allowing for a better chance of revealing neuronally-specific interactions </w:t>
      </w:r>
      <w:r w:rsidRPr="00225AB0">
        <w:rPr>
          <w:rFonts w:ascii="Arial" w:hAnsi="Arial" w:cs="Arial"/>
        </w:rPr>
        <w:fldChar w:fldCharType="begin"/>
      </w:r>
      <w:r w:rsidR="005B4361">
        <w:rPr>
          <w:rFonts w:ascii="Arial" w:hAnsi="Arial" w:cs="Arial"/>
        </w:rPr>
        <w:instrText xml:space="preserve"> ADDIN ZOTERO_ITEM CSL_CITATION {"citationID":"Wxzf9SVS","properties":{"formattedCitation":"(Andreas Bartels &amp; Zeki, 2005)","plainCitation":"(Andreas Bartels &amp; Zeki, 2005)","dontUpdate":true,"noteIndex":0},"citationItems":[{"id":41,"uris":["http://zotero.org/groups/318634/items/4SLK2G7Z"],"uri":["http://zotero.org/groups/318634/items/4SLK2G7Z"],"itemData":{"id":41,"type":"article-journal","title":"Brain dynamics during natural viewing conditions--a new guide for mapping connectivity in vivo","container-title":"NeuroImage","page":"339-349","volume":"24","issue":"2","source":"PubMed","abstract":"We describe here a new way of obtaining maps of connectivity in the human brain based on interregional correlations of blood oxygen level-dependent (BOLD) signal during natural viewing conditions. We propose that anatomical connections are reflected in BOLD signal correlations during natural brain dynamics. This may provide a powerful approach to chart connectivity, more so than that based on the 'resting state' of the human brain, and it may complement diffusion tensor imaging. Our approach relies on natural brain dynamics and is therefore experimentally unbiased and independent of hypothesis-driven, specialized stimuli. It has the advantage that natural viewing leads to considerably stronger cortical activity than rest, thus facilitating detection of weaker connections. To validate our technique, we used functional magnetic resonance imaging (fMRI) to record BOLD signal while volunteers freely viewed a movie that was interrupted by resting periods. We used independent component analysis (ICA) to segregate cortical areas before characterizing the dynamics of their BOLD signal during free viewing and rest. Natural viewing and rest each revealed highly specific correlation maps, which reflected known anatomical connections. Examples are homologous regions in visual and auditory cortices in the two hemispheres and the language network consisting of Wernicke's area, Broca's area, and a premotor region. Correlations between regions known to be directly connected were always substantially higher than between nonconnected regions. Furthermore, compared to rest, natural viewing specifically increased correlations between anatomically connected regions while it decreased correlations between nonconnected regions. Our findings therefore demonstrate that natural viewing conditions lead to particularly specific interregional correlations and thus provide a powerful environment to reveal anatomical connectivity in vivo.","DOI":"10.1016/j.neuroimage.2004.08.044","ISSN":"1053-8119","note":"PMID: 15627577","journalAbbreviation":"Neuroimage","language":"eng","author":[{"family":"Bartels","given":"Andreas"},{"family":"Zeki","given":"Semir"}],"issued":{"date-parts":[["2005",1,15]]}}}],"schema":"https://github.com/citation-style-language/schema/raw/master/csl-citation.json"} </w:instrText>
      </w:r>
      <w:r w:rsidRPr="00225AB0">
        <w:rPr>
          <w:rFonts w:ascii="Arial" w:hAnsi="Arial" w:cs="Arial"/>
        </w:rPr>
        <w:fldChar w:fldCharType="separate"/>
      </w:r>
      <w:r w:rsidRPr="00225AB0">
        <w:rPr>
          <w:rFonts w:ascii="Arial" w:hAnsi="Arial" w:cs="Arial"/>
          <w:noProof/>
        </w:rPr>
        <w:t>(Bartels &amp; Zeki, 2005)</w:t>
      </w:r>
      <w:r w:rsidRPr="00225AB0">
        <w:rPr>
          <w:rFonts w:ascii="Arial" w:hAnsi="Arial" w:cs="Arial"/>
        </w:rPr>
        <w:fldChar w:fldCharType="end"/>
      </w:r>
      <w:r w:rsidRPr="00225AB0">
        <w:rPr>
          <w:rFonts w:ascii="Arial" w:hAnsi="Arial" w:cs="Arial"/>
        </w:rPr>
        <w:t xml:space="preserve">. </w:t>
      </w:r>
    </w:p>
    <w:p w14:paraId="29318B0E" w14:textId="77777777" w:rsidR="0060072E" w:rsidRPr="00225AB0" w:rsidRDefault="0060072E" w:rsidP="0060072E">
      <w:pPr>
        <w:spacing w:line="480" w:lineRule="auto"/>
        <w:rPr>
          <w:rFonts w:ascii="Arial" w:hAnsi="Arial" w:cs="Arial"/>
        </w:rPr>
      </w:pPr>
    </w:p>
    <w:p w14:paraId="6CB06B07" w14:textId="26EB7F65" w:rsidR="00352DE5" w:rsidRDefault="0060072E" w:rsidP="0060072E">
      <w:pPr>
        <w:spacing w:line="480" w:lineRule="auto"/>
        <w:rPr>
          <w:rFonts w:ascii="Arial" w:hAnsi="Arial" w:cs="Arial"/>
        </w:rPr>
      </w:pPr>
      <w:r w:rsidRPr="00225AB0">
        <w:rPr>
          <w:rFonts w:ascii="Arial" w:hAnsi="Arial" w:cs="Arial"/>
        </w:rPr>
        <w:t xml:space="preserve">In light of our previous research and the literature surrounding the use of naturalistic paradigms as effective stimuli to probe visual attentional mechanisms, we made four predictions. Firstly, we expected little difference in BOLD signal modulation at the univariate level in response to attention directed towards low-level visual features, given the findings of previous literature reflecting the relative fine-scale influence of attentional modulation </w:t>
      </w:r>
      <w:r w:rsidRPr="00225AB0">
        <w:rPr>
          <w:rFonts w:ascii="Arial" w:hAnsi="Arial" w:cs="Arial"/>
        </w:rPr>
        <w:fldChar w:fldCharType="begin"/>
      </w:r>
      <w:r w:rsidR="005B4361">
        <w:rPr>
          <w:rFonts w:ascii="Arial" w:hAnsi="Arial" w:cs="Arial"/>
        </w:rPr>
        <w:instrText xml:space="preserve"> ADDIN ZOTERO_ITEM CSL_CITATION {"citationID":"QFLXnzHP","properties":{"formattedCitation":"(Brouwer &amp; Heeger, 2009; Seymour, Clifford, Logothetis, &amp; Bartels, 2009; Seymour et al., 2010; Song, Rowland, McPeek, &amp; Wade, 2011; Sumner et al., 2008)","plainCitation":"(Brouwer &amp; Heeger, 2009; Seymour, Clifford, Logothetis, &amp; Bartels, 2009; Seymour et al., 2010; Song, Rowland, McPeek, &amp; Wade, 2011; Sumner et al., 2008)","dontUpdate":true,"noteIndex":0},"citationItems":[{"id":275,"uris":["http://zotero.org/groups/318634/items/QTDSBB45"],"uri":["http://zotero.org/groups/318634/items/QTDSBB45"],"itemData":{"id":275,"type":"article-journal","title":"Decoding and reconstructing color from responses in human visual cortex","container-title":"The Journal of Neuroscience: The Official Journal of the Society for Neuroscience","page":"13992-14003","volume":"29","issue":"44","source":"PubMed","abstract":"How is color represented by spatially distributed patterns of activity in visual cortex? Functional magnetic resonance imaging responses to several stimulus colors were analyzed with multivariate techniques: conventional pattern classification, a forward model of idealized color tuning, and principal component analysis (PCA). Stimulus color was accurately decoded from activity in V1, V2, V3, V4, and VO1 but not LO1, LO2, V3A/B, or MT+. The conventional classifier and forward model yielded similar accuracies, but the forward model (unlike the classifier) also reliably reconstructed novel stimulus colors not used to train (specify parameters of) the model. The mean responses, averaged across voxels in each visual area, were not reliably distinguishable for the different stimulus colors. Hence, each stimulus color was associated with a unique spatially distributed pattern of activity, presumably reflecting the color selectivity of cortical neurons. Using PCA, a color space was derived from the covariation, across voxels, in the responses to different colors. In V4 and VO1, the first two principal component scores (main source of variation) of the responses revealed a progression through perceptual color space, with perceptually similar colors evoking the most similar responses. This was not the case for any of the other visual cortical areas, including V1, although decoding was most accurate in V1. This dissociation implies a transformation from the color representation in V1 to reflect perceptual color space in V4 and VO1.","DOI":"10.1523/JNEUROSCI.3577-09.2009","ISSN":"1529-2401","note":"PMID: 19890009\nPMCID: PMC2799419","journalAbbreviation":"J. Neurosci.","language":"eng","author":[{"family":"Brouwer","given":"Gijs Joost"},{"family":"Heeger","given":"David J."}],"issued":{"date-parts":[["2009",11,4]]}}},{"id":48,"uris":["http://zotero.org/groups/318634/items/J687G4R4"],"uri":["http://zotero.org/groups/318634/items/J687G4R4"],"itemData":{"id":48,"type":"article-journal","title":"The coding of color, motion, and their conjunction in the human visual cortex","container-title":"Current biology: CB","page":"177-183","volume":"19","issue":"3","source":"PubMed","abstract":"BACKGROUND: Color and motion serve as the prime examples of segregated processing in the visual brain, giving rise to the question how color-motion conjunctions are represented. This problem is also known as the \"binding problem.\"\nRESULTS: Human volunteers viewed visual displays containing colored dots rotating around the center. The dots could be red or green and rotate clockwise or counterclockwise, leading to four possible stimulus displays. Superimposed pairs of such stimuli provided two additional displays, each containing both colors and both directions of motion but differing in their feature conjunctions. We applied multivariate classifiers to voxel-activation patterns obtained while subjects viewed such displays. Our analyses confirm the presence of directional-motion information across visual cortex and provide evidence of hue coding in all early visual areas except V5/MT(+). Within each cortical area, information on color and motion appeared to be coded in distinct sets of voxels. Furthermore, our results demonstrate the explicit representation of feature conjunctions in the primary visual cortex and beyond.\nCONCLUSIONS: The results show that conjunctions can be decoded from spatial activation patterns already in V1, indicating an explicit coding of conjunctions at early stages of visual processing. Our findings raise the possibility that the solution of what has been taken as the prime example of the binding problem engages neural mechanisms as early as V1.","DOI":"10.1016/j.cub.2008.12.050","ISSN":"1879-0445","note":"PMID: 19185496","journalAbbreviation":"Curr. Biol.","language":"eng","author":[{"family":"Seymour","given":"Kiley"},{"family":"Clifford","given":"Colin W. G."},{"family":"Logothetis","given":"Nikos K."},{"family":"Bartels","given":"Andreas"}],"issued":{"date-parts":[["2009",2,10]]}}},{"id":230,"uris":["http://zotero.org/groups/318634/items/JVCLYXC6"],"uri":["http://zotero.org/groups/318634/items/JVCLYXC6"],"itemData":{"id":230,"type":"article-journal","title":"Coding and binding of color and form in visual cortex","container-title":"Cerebral Cortex (New York, N.Y.: 1991)","page":"1946-1954","volume":"20","issue":"8","source":"PubMed","abstract":"The processing of color and form is largely segregated within the visual brain. But there is also evidence to suggest that these features are coded in combination early in visual processing. Here, we combined high-resolution functional magnetic resonance imaging (fMRI) together with multivariate pattern classification to examine where in the visual cortex specific color form \"conjunctions\" are represented. Human subjects viewed visual displays containing colored spiral patterns. The spiral patterns could be red or green, and oriented either clockwise or counterclockwise, leading to 4 possible stimulus configurations. Two additional displays combined 2 of the above single color-form pairings, leading to double conjunctions. We applied linear classifiers to voxel activation patterns obtained while subjects viewed such displays. Our findings not only show that color and form information is coded across retinotopically defined visual areas, but also that the 2 double-conjunction stimuli can be distinguished. The voxels most informative about conjunctions were distinct from those most informative about color or form alone. Our results indicate that conjunctions of form and color may be coded by separate functional units as early as primary visual cortex. The results of this study have implications for theories concerning the segregation and binding of color and form information.","DOI":"10.1093/cercor/bhp265","ISSN":"1460-2199","note":"PMID: 20019147","journalAbbreviation":"Cereb. Cortex","language":"eng","author":[{"family":"Seymour","given":"Kiley"},{"family":"Clifford","given":"Colin W. G."},{"family":"Logothetis","given":"Nikos K."},{"family":"Bartels","given":"Andreas"}],"issued":{"date-parts":[["2010",8]]}}},{"id":216,"uris":["http://zotero.org/groups/318634/items/ET7SY4ZM"],"uri":["http://zotero.org/groups/318634/items/ET7SY4ZM"],"itemData":{"id":216,"type":"article-journal","title":"Attentional Modulation of fMRI Responses in Human V1 Is Consistent with Distinct Spatial Maps for Chromatically Defined Orientation and Contrast","container-title":"Journal of Neuroscience","page":"12900-12905","volume":"31","issue":"36","source":"www.jneurosci.org","abstract":"Attending to different stimulus features such as contrast or orientation can change the pattern of neural responses in human V1 measured with fMRI. We show that these pattern changes are much more distinct for colored stimuli than for achromatic stimuli. This is evidence for a classic model of V1 functional architecture in which chromatic contrast and orientation are coded in spatially distinct neural domains, while achromatic contrast and orientation are not.","DOI":"10.1523/JNEUROSCI.0580-11.2011","ISSN":"0270-6474, 1529-2401","note":"PMID: 21900568","journalAbbreviation":"J. Neurosci.","language":"en","author":[{"family":"Song","given":"Joo-Hyun"},{"family":"Rowland","given":"Jess"},{"family":"McPeek","given":"Robert M."},{"family":"Wade","given":"Alex R."}],"issued":{"date-parts":[["2011",9,7]]}}},{"id":56,"uris":["http://zotero.org/groups/318634/items/LRFY4LYQ"],"uri":["http://zotero.org/groups/318634/items/LRFY4LYQ"],"itemData":{"id":56,"type":"article-journal","title":"Combined orientation and colour information in human V1 for both L-M and S-cone chromatic axes","container-title":"NeuroImage","page":"814-824","volume":"39","issue":"2","source":"PubMed","abstract":"Although it is widely held that colour and form are processed separately in early visual cortex, there is growing evidence that primary visual cortex (V1) may show some joint selectivity for orientation and colour. Colour is supplied to V1 via two very different pathways: the parvocellular pathway (which also supports detailed form processing) carries L-M (\"red-green\") chromatic information, while a koniocellular pathway carries S-cone (\"lilac-yellow\") information. Therefore on entering V1, S-cone information is segregated from the pathways carrying form information, while L-M information is not. Whether signals from neuronal populations in human V1 reflect combined orientation and S-cone information has not been systematically addressed. We used fMRI in combination with a multivariate data analysis technique to investigate whether BOLD signals recorded from V1 contain information that could directly discriminate between orientations based on different types of chromatic information. We found selectivity in V1 for L-M and luminance-defined orientation signals, and most interestingly, also for S-cone defined orientation. We also found similarly successful orientation discrimination for both colour dimensions in V2 and V3. These results imply that a proportion of cells throughout human visual cortex show joint sensitivity to both colour and orientation. We discuss also the potential role of feedback to V1 from higher visual areas.","DOI":"10.1016/j.neuroimage.2007.09.013","ISSN":"1053-8119","note":"PMID: 17964188","journalAbbreviation":"Neuroimage","language":"eng","author":[{"family":"Sumner","given":"Petroc"},{"family":"Anderson","given":"Elaine J."},{"family":"Sylvester","given":"Richard"},{"family":"Haynes","given":"John-Dylan"},{"family":"Rees","given":"Geraint"}],"issued":{"date-parts":[["2008",1,15]]}}}],"schema":"https://github.com/citation-style-language/schema/raw/master/csl-citation.json"} </w:instrText>
      </w:r>
      <w:r w:rsidRPr="00225AB0">
        <w:rPr>
          <w:rFonts w:ascii="Arial" w:hAnsi="Arial" w:cs="Arial"/>
        </w:rPr>
        <w:fldChar w:fldCharType="separate"/>
      </w:r>
      <w:r w:rsidRPr="00225AB0">
        <w:rPr>
          <w:rFonts w:ascii="Arial" w:hAnsi="Arial" w:cs="Arial"/>
          <w:noProof/>
        </w:rPr>
        <w:t>(e.g. Brouwer &amp; Heeger, 2009; Seymour, Clifford, Logothetis, &amp; Bartels, 2009; Seymour et al., 2010; Song, Rowland, McPeek, &amp; Wade, 2011; Sumner et al., 2008)</w:t>
      </w:r>
      <w:r w:rsidRPr="00225AB0">
        <w:rPr>
          <w:rFonts w:ascii="Arial" w:hAnsi="Arial" w:cs="Arial"/>
        </w:rPr>
        <w:fldChar w:fldCharType="end"/>
      </w:r>
      <w:r w:rsidRPr="00225AB0">
        <w:rPr>
          <w:rFonts w:ascii="Arial" w:hAnsi="Arial" w:cs="Arial"/>
        </w:rPr>
        <w:t xml:space="preserve">. However, we predicted univariate differences in activation when attending to faces versus attending to other visual features, </w:t>
      </w:r>
      <w:r w:rsidR="00D44AC6">
        <w:rPr>
          <w:rFonts w:ascii="Arial" w:hAnsi="Arial" w:cs="Arial"/>
        </w:rPr>
        <w:t>in</w:t>
      </w:r>
      <w:r w:rsidRPr="00225AB0">
        <w:rPr>
          <w:rFonts w:ascii="Arial" w:hAnsi="Arial" w:cs="Arial"/>
        </w:rPr>
        <w:t xml:space="preserve"> the proposed face-specialised regions (FFA, OFA and STS). We predicted differences in voxel-level patterns of activation when participants shifted their attention between different visual stimuli, and finally, we also predicted differing patterns </w:t>
      </w:r>
      <w:r w:rsidR="00652CF7">
        <w:rPr>
          <w:rFonts w:ascii="Arial" w:hAnsi="Arial" w:cs="Arial"/>
        </w:rPr>
        <w:t>o</w:t>
      </w:r>
      <w:r w:rsidRPr="00225AB0">
        <w:rPr>
          <w:rFonts w:ascii="Arial" w:hAnsi="Arial" w:cs="Arial"/>
        </w:rPr>
        <w:t xml:space="preserve">f connectivity between visual regions as a function of attentional focus. In short, we predicted we would see evidence of </w:t>
      </w:r>
      <w:r w:rsidRPr="00225AB0">
        <w:rPr>
          <w:rFonts w:ascii="Arial" w:hAnsi="Arial" w:cs="Arial"/>
          <w:i/>
        </w:rPr>
        <w:t>within-</w:t>
      </w:r>
      <w:r w:rsidRPr="00225AB0">
        <w:rPr>
          <w:rFonts w:ascii="Arial" w:hAnsi="Arial" w:cs="Arial"/>
        </w:rPr>
        <w:t xml:space="preserve"> as well as </w:t>
      </w:r>
      <w:r w:rsidRPr="00225AB0">
        <w:rPr>
          <w:rFonts w:ascii="Arial" w:hAnsi="Arial" w:cs="Arial"/>
          <w:i/>
        </w:rPr>
        <w:t>between-</w:t>
      </w:r>
      <w:r w:rsidRPr="00225AB0">
        <w:rPr>
          <w:rFonts w:ascii="Arial" w:hAnsi="Arial" w:cs="Arial"/>
        </w:rPr>
        <w:t>area differences</w:t>
      </w:r>
      <w:r w:rsidR="00652CF7">
        <w:rPr>
          <w:rFonts w:ascii="Arial" w:hAnsi="Arial" w:cs="Arial"/>
        </w:rPr>
        <w:t xml:space="preserve"> in attentional modulation</w:t>
      </w:r>
      <w:r w:rsidRPr="00225AB0">
        <w:rPr>
          <w:rFonts w:ascii="Arial" w:hAnsi="Arial" w:cs="Arial"/>
        </w:rPr>
        <w:t xml:space="preserve">, though as in previous research, these differences may not be wholly evident at the coarse-scale level of univariate analysis. </w:t>
      </w:r>
    </w:p>
    <w:p w14:paraId="338314AB" w14:textId="46BCA8D5" w:rsidR="00AE6937" w:rsidRDefault="00AE6937" w:rsidP="0060072E">
      <w:pPr>
        <w:spacing w:line="480" w:lineRule="auto"/>
        <w:rPr>
          <w:rFonts w:ascii="Arial" w:hAnsi="Arial" w:cs="Arial"/>
        </w:rPr>
      </w:pPr>
    </w:p>
    <w:p w14:paraId="4EA5BC82" w14:textId="4D6C207A" w:rsidR="00AE6937" w:rsidRDefault="00AE6937" w:rsidP="0060072E">
      <w:pPr>
        <w:spacing w:line="480" w:lineRule="auto"/>
        <w:rPr>
          <w:rFonts w:ascii="Arial" w:hAnsi="Arial" w:cs="Arial"/>
        </w:rPr>
      </w:pPr>
    </w:p>
    <w:p w14:paraId="4826C621" w14:textId="77777777" w:rsidR="00AE6937" w:rsidRPr="00225AB0" w:rsidRDefault="00AE6937" w:rsidP="0060072E">
      <w:pPr>
        <w:spacing w:line="480" w:lineRule="auto"/>
        <w:rPr>
          <w:rFonts w:ascii="Arial" w:hAnsi="Arial" w:cs="Arial"/>
        </w:rPr>
      </w:pPr>
    </w:p>
    <w:p w14:paraId="4706EEAB" w14:textId="77777777" w:rsidR="0060072E" w:rsidRDefault="0060072E" w:rsidP="001811CC">
      <w:pPr>
        <w:pStyle w:val="Heading2"/>
        <w:numPr>
          <w:ilvl w:val="1"/>
          <w:numId w:val="7"/>
        </w:numPr>
        <w:rPr>
          <w:rFonts w:ascii="Arial" w:hAnsi="Arial" w:cs="Arial"/>
          <w:b/>
          <w:color w:val="000000" w:themeColor="text1"/>
          <w:sz w:val="28"/>
          <w:szCs w:val="28"/>
        </w:rPr>
      </w:pPr>
      <w:bookmarkStart w:id="746" w:name="_Toc11148039"/>
      <w:bookmarkStart w:id="747" w:name="_Toc11153989"/>
      <w:bookmarkStart w:id="748" w:name="_Toc11753674"/>
      <w:bookmarkStart w:id="749" w:name="_Toc11926860"/>
      <w:bookmarkStart w:id="750" w:name="_Toc11930123"/>
      <w:bookmarkStart w:id="751" w:name="_Toc16075439"/>
      <w:bookmarkStart w:id="752" w:name="_Toc16237032"/>
      <w:r w:rsidRPr="00734436">
        <w:rPr>
          <w:rFonts w:ascii="Arial" w:hAnsi="Arial" w:cs="Arial"/>
          <w:b/>
          <w:color w:val="000000" w:themeColor="text1"/>
          <w:sz w:val="28"/>
          <w:szCs w:val="28"/>
        </w:rPr>
        <w:lastRenderedPageBreak/>
        <w:t>Methods</w:t>
      </w:r>
      <w:bookmarkEnd w:id="746"/>
      <w:bookmarkEnd w:id="747"/>
      <w:bookmarkEnd w:id="748"/>
      <w:bookmarkEnd w:id="749"/>
      <w:bookmarkEnd w:id="750"/>
      <w:bookmarkEnd w:id="751"/>
      <w:bookmarkEnd w:id="752"/>
    </w:p>
    <w:p w14:paraId="6FFEEB29" w14:textId="77777777" w:rsidR="00352DE5" w:rsidRPr="00352DE5" w:rsidRDefault="00352DE5" w:rsidP="00352DE5"/>
    <w:p w14:paraId="21908A51" w14:textId="77777777" w:rsidR="0060072E" w:rsidRDefault="0060072E" w:rsidP="001811CC">
      <w:pPr>
        <w:pStyle w:val="Heading3"/>
        <w:numPr>
          <w:ilvl w:val="2"/>
          <w:numId w:val="7"/>
        </w:numPr>
        <w:rPr>
          <w:rFonts w:ascii="Arial" w:hAnsi="Arial" w:cs="Arial"/>
          <w:b/>
          <w:i/>
          <w:color w:val="000000" w:themeColor="text1"/>
          <w:sz w:val="28"/>
          <w:szCs w:val="28"/>
        </w:rPr>
      </w:pPr>
      <w:bookmarkStart w:id="753" w:name="_Toc11148040"/>
      <w:bookmarkStart w:id="754" w:name="_Toc11153990"/>
      <w:bookmarkStart w:id="755" w:name="_Toc11753675"/>
      <w:bookmarkStart w:id="756" w:name="_Toc11926861"/>
      <w:bookmarkStart w:id="757" w:name="_Toc11930124"/>
      <w:bookmarkStart w:id="758" w:name="_Toc16075440"/>
      <w:bookmarkStart w:id="759" w:name="_Toc16237033"/>
      <w:r w:rsidRPr="00352DE5">
        <w:rPr>
          <w:rFonts w:ascii="Arial" w:hAnsi="Arial" w:cs="Arial"/>
          <w:b/>
          <w:i/>
          <w:color w:val="000000" w:themeColor="text1"/>
          <w:sz w:val="28"/>
          <w:szCs w:val="28"/>
        </w:rPr>
        <w:t>Participants</w:t>
      </w:r>
      <w:bookmarkEnd w:id="753"/>
      <w:bookmarkEnd w:id="754"/>
      <w:bookmarkEnd w:id="755"/>
      <w:bookmarkEnd w:id="756"/>
      <w:bookmarkEnd w:id="757"/>
      <w:bookmarkEnd w:id="758"/>
      <w:bookmarkEnd w:id="759"/>
    </w:p>
    <w:p w14:paraId="41171A2C" w14:textId="77777777" w:rsidR="00352DE5" w:rsidRPr="00352DE5" w:rsidRDefault="00352DE5" w:rsidP="00352DE5">
      <w:pPr>
        <w:pStyle w:val="ListParagraph"/>
      </w:pPr>
    </w:p>
    <w:p w14:paraId="2E53CE2C" w14:textId="77777777" w:rsidR="0060072E" w:rsidRDefault="0060072E" w:rsidP="0060072E">
      <w:pPr>
        <w:spacing w:line="480" w:lineRule="auto"/>
        <w:rPr>
          <w:rFonts w:ascii="Arial" w:hAnsi="Arial" w:cs="Arial"/>
        </w:rPr>
      </w:pPr>
      <w:r w:rsidRPr="00225AB0">
        <w:rPr>
          <w:rFonts w:ascii="Arial" w:hAnsi="Arial" w:cs="Arial"/>
        </w:rPr>
        <w:t xml:space="preserve">14 participants, all University of York staff and students volunteered for the study (9 female, mean age 26.71 years). All participants had normal or corrected-to-normal vision. Informed consent was collected from participants prior to scanning and the study was granted ethical approval by the York Neuroimaging Centre Ethics Committee. All participants also possessed previously collected population receptive field mapping data (see section 2.2. and Chapter 4). </w:t>
      </w:r>
    </w:p>
    <w:p w14:paraId="60192CB3" w14:textId="77777777" w:rsidR="0060072E" w:rsidRPr="00225AB0" w:rsidRDefault="0060072E" w:rsidP="0060072E">
      <w:pPr>
        <w:spacing w:line="480" w:lineRule="auto"/>
        <w:rPr>
          <w:rFonts w:ascii="Arial" w:hAnsi="Arial" w:cs="Arial"/>
        </w:rPr>
      </w:pPr>
    </w:p>
    <w:p w14:paraId="40D4AA24" w14:textId="77777777" w:rsidR="0060072E" w:rsidRDefault="0060072E" w:rsidP="001811CC">
      <w:pPr>
        <w:pStyle w:val="Heading3"/>
        <w:numPr>
          <w:ilvl w:val="2"/>
          <w:numId w:val="7"/>
        </w:numPr>
        <w:rPr>
          <w:rFonts w:ascii="Arial" w:hAnsi="Arial" w:cs="Arial"/>
          <w:b/>
          <w:i/>
          <w:color w:val="000000" w:themeColor="text1"/>
          <w:sz w:val="28"/>
          <w:szCs w:val="28"/>
        </w:rPr>
      </w:pPr>
      <w:bookmarkStart w:id="760" w:name="_Toc11148041"/>
      <w:bookmarkStart w:id="761" w:name="_Toc11153991"/>
      <w:bookmarkStart w:id="762" w:name="_Toc11753676"/>
      <w:bookmarkStart w:id="763" w:name="_Toc11926862"/>
      <w:bookmarkStart w:id="764" w:name="_Toc11930125"/>
      <w:bookmarkStart w:id="765" w:name="_Toc16075441"/>
      <w:bookmarkStart w:id="766" w:name="_Toc16237034"/>
      <w:r w:rsidRPr="00352DE5">
        <w:rPr>
          <w:rFonts w:ascii="Arial" w:hAnsi="Arial" w:cs="Arial"/>
          <w:b/>
          <w:i/>
          <w:color w:val="000000" w:themeColor="text1"/>
          <w:sz w:val="28"/>
          <w:szCs w:val="28"/>
        </w:rPr>
        <w:t>Stimulus presentation</w:t>
      </w:r>
      <w:bookmarkEnd w:id="760"/>
      <w:bookmarkEnd w:id="761"/>
      <w:bookmarkEnd w:id="762"/>
      <w:bookmarkEnd w:id="763"/>
      <w:bookmarkEnd w:id="764"/>
      <w:bookmarkEnd w:id="765"/>
      <w:bookmarkEnd w:id="766"/>
    </w:p>
    <w:p w14:paraId="398FFC1F" w14:textId="77777777" w:rsidR="00352DE5" w:rsidRPr="00352DE5" w:rsidRDefault="00352DE5" w:rsidP="00352DE5"/>
    <w:p w14:paraId="63C81151" w14:textId="061AED71" w:rsidR="0060072E" w:rsidRPr="00225AB0" w:rsidRDefault="0060072E" w:rsidP="0060072E">
      <w:pPr>
        <w:spacing w:line="480" w:lineRule="auto"/>
        <w:rPr>
          <w:rFonts w:ascii="Arial" w:hAnsi="Arial" w:cs="Arial"/>
        </w:rPr>
      </w:pPr>
      <w:r w:rsidRPr="00225AB0">
        <w:rPr>
          <w:rFonts w:ascii="Arial" w:hAnsi="Arial" w:cs="Arial"/>
        </w:rPr>
        <w:t xml:space="preserve">Stimuli were projected onto a screen at the back of the scanner and were viewed via an angle mounted mirror on the head coil, at approximately 57cm viewing distance. Audio commands were received by participants via padded air-based headphones (MR </w:t>
      </w:r>
      <w:proofErr w:type="spellStart"/>
      <w:r w:rsidRPr="00225AB0">
        <w:rPr>
          <w:rFonts w:ascii="Arial" w:hAnsi="Arial" w:cs="Arial"/>
        </w:rPr>
        <w:t>Confon</w:t>
      </w:r>
      <w:proofErr w:type="spellEnd"/>
      <w:r w:rsidRPr="00225AB0">
        <w:rPr>
          <w:rFonts w:ascii="Arial" w:hAnsi="Arial" w:cs="Arial"/>
        </w:rPr>
        <w:t xml:space="preserve"> </w:t>
      </w:r>
      <w:proofErr w:type="spellStart"/>
      <w:r w:rsidR="00E5785F">
        <w:rPr>
          <w:rFonts w:ascii="Arial" w:hAnsi="Arial" w:cs="Arial"/>
        </w:rPr>
        <w:t>M</w:t>
      </w:r>
      <w:r w:rsidR="00E5785F" w:rsidRPr="00225AB0">
        <w:rPr>
          <w:rFonts w:ascii="Arial" w:hAnsi="Arial" w:cs="Arial"/>
        </w:rPr>
        <w:t>kll</w:t>
      </w:r>
      <w:proofErr w:type="spellEnd"/>
      <w:r w:rsidR="00E5785F" w:rsidRPr="00225AB0">
        <w:rPr>
          <w:rFonts w:ascii="Arial" w:hAnsi="Arial" w:cs="Arial"/>
        </w:rPr>
        <w:t xml:space="preserve"> </w:t>
      </w:r>
      <w:r w:rsidRPr="00225AB0">
        <w:rPr>
          <w:rFonts w:ascii="Arial" w:hAnsi="Arial" w:cs="Arial"/>
        </w:rPr>
        <w:t xml:space="preserve">system), that were fitted </w:t>
      </w:r>
      <w:r w:rsidR="00D44AC6">
        <w:rPr>
          <w:rFonts w:ascii="Arial" w:hAnsi="Arial" w:cs="Arial"/>
        </w:rPr>
        <w:t>in</w:t>
      </w:r>
      <w:r w:rsidRPr="00225AB0">
        <w:rPr>
          <w:rFonts w:ascii="Arial" w:hAnsi="Arial" w:cs="Arial"/>
        </w:rPr>
        <w:t xml:space="preserve"> the scanner driven by a MOTU 2408mk3 soundcard. </w:t>
      </w:r>
    </w:p>
    <w:p w14:paraId="0D4D4B63" w14:textId="77777777" w:rsidR="0060072E" w:rsidRPr="00225AB0" w:rsidRDefault="0060072E" w:rsidP="0060072E">
      <w:pPr>
        <w:rPr>
          <w:rFonts w:ascii="Arial" w:hAnsi="Arial" w:cs="Arial"/>
        </w:rPr>
      </w:pPr>
    </w:p>
    <w:p w14:paraId="6951CB36" w14:textId="0E963D64" w:rsidR="0060072E" w:rsidRPr="00225AB0" w:rsidRDefault="0060072E" w:rsidP="0060072E">
      <w:pPr>
        <w:spacing w:line="480" w:lineRule="auto"/>
        <w:rPr>
          <w:rFonts w:ascii="Arial" w:hAnsi="Arial" w:cs="Arial"/>
        </w:rPr>
      </w:pPr>
      <w:r w:rsidRPr="00225AB0">
        <w:rPr>
          <w:rFonts w:ascii="Arial" w:hAnsi="Arial" w:cs="Arial"/>
        </w:rPr>
        <w:t xml:space="preserve">Stimulus presentation was controlled by </w:t>
      </w:r>
      <w:proofErr w:type="spellStart"/>
      <w:r w:rsidRPr="00225AB0">
        <w:rPr>
          <w:rFonts w:ascii="Arial" w:hAnsi="Arial" w:cs="Arial"/>
        </w:rPr>
        <w:t>Psychopy</w:t>
      </w:r>
      <w:proofErr w:type="spellEnd"/>
      <w:r w:rsidRPr="00225AB0">
        <w:rPr>
          <w:rFonts w:ascii="Arial" w:hAnsi="Arial" w:cs="Arial"/>
        </w:rPr>
        <w:t xml:space="preserve"> v1.9 </w:t>
      </w:r>
      <w:r w:rsidRPr="00225AB0">
        <w:rPr>
          <w:rFonts w:ascii="Arial" w:hAnsi="Arial" w:cs="Arial"/>
        </w:rPr>
        <w:fldChar w:fldCharType="begin"/>
      </w:r>
      <w:r w:rsidR="005B4361">
        <w:rPr>
          <w:rFonts w:ascii="Arial" w:hAnsi="Arial" w:cs="Arial"/>
        </w:rPr>
        <w:instrText xml:space="preserve"> ADDIN ZOTERO_ITEM CSL_CITATION {"citationID":"k5ZqMRcb","properties":{"formattedCitation":"(Peirce et al., 2019)","plainCitation":"(Peirce et al., 2019)","noteIndex":0},"citationItems":[{"id":117,"uris":["http://zotero.org/groups/318634/items/G3PBFWLC"],"uri":["http://zotero.org/groups/318634/items/G3PBFWLC"],"itemData":{"id":117,"type":"article-journal","title":"PsychoPy2: Experiments in behavior made easy","container-title":"Behavior Research Methods","page":"195-203","volume":"51","issue":"1","source":"PubMed","abstract":"PsychoPy is an application for the creation of experiments in behavioral science (psychology, neuroscience, linguistics, etc.) with precise spatial control and timing of stimuli. It now provides a choice of interface; users can write scripts in Python if they choose, while those who prefer to construct experiments graphically can use the new Builder interface. Here we describe the features that have been added over the last 10 years of its development. The most notable addition has been that Builder interface, allowing users to create studies with minimal or no programming, while also allowing the insertion of Python code for maximal flexibility. We also present some of the other new features, including further stimulus options, asynchronous time-stamped hardware polling, and better support for open science and reproducibility. Tens of thousands of users now launch PsychoPy every month, and more than 90 people have contributed to the code. We discuss the current state of the project, as well as plans for the future.","DOI":"10.3758/s13428-018-01193-y","ISSN":"1554-3528","note":"PMID: 30734206\nPMCID: PMC6420413","title-short":"PsychoPy2","journalAbbreviation":"Behav Res Methods","language":"eng","author":[{"family":"Peirce","given":"Jonathan"},{"family":"Gray","given":"Jeremy R."},{"family":"Simpson","given":"Sol"},{"family":"MacAskill","given":"Michael"},{"family":"Höchenberger","given":"Richard"},{"family":"Sogo","given":"Hiroyuki"},{"family":"Kastman","given":"Erik"},{"family":"Lindeløv","given":"Jonas Kristoffer"}],"issued":{"date-parts":[["2019"]]}}}],"schema":"https://github.com/citation-style-language/schema/raw/master/csl-citation.json"} </w:instrText>
      </w:r>
      <w:r w:rsidRPr="00225AB0">
        <w:rPr>
          <w:rFonts w:ascii="Arial" w:hAnsi="Arial" w:cs="Arial"/>
        </w:rPr>
        <w:fldChar w:fldCharType="separate"/>
      </w:r>
      <w:r w:rsidRPr="00225AB0">
        <w:rPr>
          <w:rFonts w:ascii="Arial" w:hAnsi="Arial" w:cs="Arial"/>
          <w:noProof/>
        </w:rPr>
        <w:t>(Peirce et al., 2019)</w:t>
      </w:r>
      <w:r w:rsidRPr="00225AB0">
        <w:rPr>
          <w:rFonts w:ascii="Arial" w:hAnsi="Arial" w:cs="Arial"/>
        </w:rPr>
        <w:fldChar w:fldCharType="end"/>
      </w:r>
      <w:r w:rsidRPr="00225AB0">
        <w:rPr>
          <w:rFonts w:ascii="Arial" w:hAnsi="Arial" w:cs="Arial"/>
        </w:rPr>
        <w:t xml:space="preserve"> and stimulus randomisation was controlled by MATLAB 9.4.0 (2018a) (MathWorks, Inc., Natick, Massachusetts, United States). Visual stimuli were presented using a </w:t>
      </w:r>
      <w:proofErr w:type="spellStart"/>
      <w:r w:rsidRPr="00225AB0">
        <w:rPr>
          <w:rFonts w:ascii="Arial" w:hAnsi="Arial" w:cs="Arial"/>
        </w:rPr>
        <w:t>PROpixx</w:t>
      </w:r>
      <w:proofErr w:type="spellEnd"/>
      <w:r w:rsidRPr="00225AB0">
        <w:rPr>
          <w:rFonts w:ascii="Arial" w:hAnsi="Arial" w:cs="Arial"/>
        </w:rPr>
        <w:t xml:space="preserve"> DLP LED projector (</w:t>
      </w:r>
      <w:proofErr w:type="spellStart"/>
      <w:r w:rsidRPr="00225AB0">
        <w:rPr>
          <w:rFonts w:ascii="Arial" w:hAnsi="Arial" w:cs="Arial"/>
        </w:rPr>
        <w:t>Vpixx</w:t>
      </w:r>
      <w:proofErr w:type="spellEnd"/>
      <w:r w:rsidRPr="00225AB0">
        <w:rPr>
          <w:rFonts w:ascii="Arial" w:hAnsi="Arial" w:cs="Arial"/>
        </w:rPr>
        <w:t xml:space="preserve"> Technologies Inc., Saint-Bruno-de-</w:t>
      </w:r>
      <w:proofErr w:type="spellStart"/>
      <w:r w:rsidRPr="00225AB0">
        <w:rPr>
          <w:rFonts w:ascii="Arial" w:hAnsi="Arial" w:cs="Arial"/>
        </w:rPr>
        <w:t>Montarvile</w:t>
      </w:r>
      <w:proofErr w:type="spellEnd"/>
      <w:r w:rsidRPr="00225AB0">
        <w:rPr>
          <w:rFonts w:ascii="Arial" w:hAnsi="Arial" w:cs="Arial"/>
        </w:rPr>
        <w:t xml:space="preserve">, QC, Canada) with a long-throw lens which projected the image through a waveguide behind the scanner bore and onto an acrylic screen. Presented images had a 120Hz refresh rate and 1920 x 1080 resolution. During scanning behavioural responses and scanner trigger </w:t>
      </w:r>
      <w:r w:rsidRPr="00225AB0">
        <w:rPr>
          <w:rFonts w:ascii="Arial" w:hAnsi="Arial" w:cs="Arial"/>
        </w:rPr>
        <w:lastRenderedPageBreak/>
        <w:t xml:space="preserve">pulses were acquired using a USB, 4-button fibre-optic response pad Forp-932 (Current Designs, Philadelphia, PA). </w:t>
      </w:r>
    </w:p>
    <w:p w14:paraId="01EDC3F1" w14:textId="77777777" w:rsidR="0060072E" w:rsidRDefault="0060072E" w:rsidP="0060072E">
      <w:pPr>
        <w:spacing w:line="480" w:lineRule="auto"/>
        <w:rPr>
          <w:rFonts w:ascii="Arial" w:hAnsi="Arial" w:cs="Arial"/>
        </w:rPr>
      </w:pPr>
    </w:p>
    <w:p w14:paraId="1982A88E" w14:textId="77777777" w:rsidR="00352DE5" w:rsidRDefault="00352DE5" w:rsidP="001811CC">
      <w:pPr>
        <w:pStyle w:val="Heading3"/>
        <w:numPr>
          <w:ilvl w:val="2"/>
          <w:numId w:val="7"/>
        </w:numPr>
        <w:rPr>
          <w:rFonts w:ascii="Arial" w:hAnsi="Arial" w:cs="Arial"/>
          <w:b/>
          <w:i/>
          <w:color w:val="000000" w:themeColor="text1"/>
          <w:sz w:val="28"/>
          <w:szCs w:val="28"/>
        </w:rPr>
      </w:pPr>
      <w:bookmarkStart w:id="767" w:name="_Toc11753677"/>
      <w:bookmarkStart w:id="768" w:name="_Toc11926863"/>
      <w:bookmarkStart w:id="769" w:name="_Toc11930126"/>
      <w:bookmarkStart w:id="770" w:name="_Toc16075442"/>
      <w:bookmarkStart w:id="771" w:name="_Toc16237035"/>
      <w:r>
        <w:rPr>
          <w:rFonts w:ascii="Arial" w:hAnsi="Arial" w:cs="Arial"/>
          <w:b/>
          <w:i/>
          <w:color w:val="000000" w:themeColor="text1"/>
          <w:sz w:val="28"/>
          <w:szCs w:val="28"/>
        </w:rPr>
        <w:t>Data</w:t>
      </w:r>
      <w:r w:rsidRPr="00352DE5">
        <w:rPr>
          <w:rFonts w:ascii="Arial" w:hAnsi="Arial" w:cs="Arial"/>
          <w:b/>
          <w:i/>
          <w:color w:val="000000" w:themeColor="text1"/>
          <w:sz w:val="28"/>
          <w:szCs w:val="28"/>
        </w:rPr>
        <w:t xml:space="preserve"> </w:t>
      </w:r>
      <w:r>
        <w:rPr>
          <w:rFonts w:ascii="Arial" w:hAnsi="Arial" w:cs="Arial"/>
          <w:b/>
          <w:i/>
          <w:color w:val="000000" w:themeColor="text1"/>
          <w:sz w:val="28"/>
          <w:szCs w:val="28"/>
        </w:rPr>
        <w:t>Acquisition</w:t>
      </w:r>
      <w:bookmarkEnd w:id="767"/>
      <w:bookmarkEnd w:id="768"/>
      <w:bookmarkEnd w:id="769"/>
      <w:bookmarkEnd w:id="770"/>
      <w:bookmarkEnd w:id="771"/>
    </w:p>
    <w:p w14:paraId="44890550" w14:textId="77777777" w:rsidR="0060072E" w:rsidRPr="00225AB0" w:rsidRDefault="0060072E" w:rsidP="0060072E">
      <w:pPr>
        <w:rPr>
          <w:rFonts w:ascii="Arial" w:hAnsi="Arial" w:cs="Arial"/>
        </w:rPr>
      </w:pPr>
    </w:p>
    <w:p w14:paraId="579DA19B" w14:textId="77777777" w:rsidR="0060072E" w:rsidRPr="00225AB0" w:rsidRDefault="0060072E" w:rsidP="0060072E">
      <w:pPr>
        <w:spacing w:line="480" w:lineRule="auto"/>
        <w:rPr>
          <w:rFonts w:ascii="Arial" w:hAnsi="Arial" w:cs="Arial"/>
        </w:rPr>
      </w:pPr>
      <w:r w:rsidRPr="00225AB0">
        <w:rPr>
          <w:rFonts w:ascii="Arial" w:hAnsi="Arial" w:cs="Arial"/>
        </w:rPr>
        <w:t xml:space="preserve">Structural and functional data were collected using a 3T Siemens </w:t>
      </w:r>
      <w:proofErr w:type="spellStart"/>
      <w:r w:rsidRPr="00225AB0">
        <w:rPr>
          <w:rFonts w:ascii="Arial" w:hAnsi="Arial" w:cs="Arial"/>
        </w:rPr>
        <w:t>Magnetom</w:t>
      </w:r>
      <w:proofErr w:type="spellEnd"/>
      <w:r w:rsidRPr="00225AB0">
        <w:rPr>
          <w:rFonts w:ascii="Arial" w:hAnsi="Arial" w:cs="Arial"/>
        </w:rPr>
        <w:t xml:space="preserve"> Prisma MRI scanner with a 64-channel transmit head and neck coil with a frequency of 123.26 </w:t>
      </w:r>
      <w:proofErr w:type="spellStart"/>
      <w:r w:rsidRPr="00225AB0">
        <w:rPr>
          <w:rFonts w:ascii="Arial" w:hAnsi="Arial" w:cs="Arial"/>
        </w:rPr>
        <w:t>MHz.</w:t>
      </w:r>
      <w:proofErr w:type="spellEnd"/>
      <w:r w:rsidRPr="00225AB0">
        <w:rPr>
          <w:rFonts w:ascii="Arial" w:hAnsi="Arial" w:cs="Arial"/>
        </w:rPr>
        <w:t xml:space="preserve"> For participants lacking a previously collected high-resolution T1 anatomical scan, a high-resolution T1 MPRAGE scan was collected (TR = 2300ms, TE = 2.26ms, flip angle = 8°, field-of-view (FOV) = 256mm</w:t>
      </w:r>
      <w:r w:rsidRPr="00225AB0">
        <w:rPr>
          <w:rFonts w:ascii="Arial" w:hAnsi="Arial" w:cs="Arial"/>
          <w:vertAlign w:val="superscript"/>
        </w:rPr>
        <w:t>3</w:t>
      </w:r>
      <w:r w:rsidRPr="00225AB0">
        <w:rPr>
          <w:rFonts w:ascii="Arial" w:hAnsi="Arial" w:cs="Arial"/>
        </w:rPr>
        <w:t xml:space="preserve">, voxel size = 1.0 x 1.0 x 1.0 mm, 176 slices) in a 5:21 minute scan. </w:t>
      </w:r>
    </w:p>
    <w:p w14:paraId="554DA574" w14:textId="77777777" w:rsidR="0060072E" w:rsidRPr="00225AB0" w:rsidRDefault="0060072E" w:rsidP="0060072E">
      <w:pPr>
        <w:spacing w:line="480" w:lineRule="auto"/>
        <w:rPr>
          <w:rFonts w:ascii="Arial" w:hAnsi="Arial" w:cs="Arial"/>
        </w:rPr>
      </w:pPr>
    </w:p>
    <w:p w14:paraId="1ED12D6E" w14:textId="77777777" w:rsidR="0060072E" w:rsidRPr="00225AB0" w:rsidRDefault="0060072E" w:rsidP="0060072E">
      <w:pPr>
        <w:spacing w:line="480" w:lineRule="auto"/>
        <w:rPr>
          <w:rFonts w:ascii="Arial" w:hAnsi="Arial" w:cs="Arial"/>
        </w:rPr>
      </w:pPr>
      <w:r w:rsidRPr="00225AB0">
        <w:rPr>
          <w:rFonts w:ascii="Arial" w:hAnsi="Arial" w:cs="Arial"/>
        </w:rPr>
        <w:t xml:space="preserve">Functional data were collected via </w:t>
      </w:r>
      <w:r w:rsidR="00AE2826">
        <w:rPr>
          <w:rFonts w:ascii="Arial" w:hAnsi="Arial" w:cs="Arial"/>
        </w:rPr>
        <w:t xml:space="preserve">150 </w:t>
      </w:r>
      <w:r w:rsidRPr="00225AB0">
        <w:rPr>
          <w:rFonts w:ascii="Arial" w:hAnsi="Arial" w:cs="Arial"/>
        </w:rPr>
        <w:t>T2*- weighted volumes, collecting 30 axial slices in a bottom-up interleaved acquisition order (TR = 2000ms, TE = 30ms, flip-angle = 80°, FOV = 19.2cm</w:t>
      </w:r>
      <w:r w:rsidRPr="00225AB0">
        <w:rPr>
          <w:rFonts w:ascii="Arial" w:hAnsi="Arial" w:cs="Arial"/>
          <w:vertAlign w:val="superscript"/>
        </w:rPr>
        <w:t>3</w:t>
      </w:r>
      <w:r w:rsidRPr="00225AB0">
        <w:rPr>
          <w:rFonts w:ascii="Arial" w:hAnsi="Arial" w:cs="Arial"/>
        </w:rPr>
        <w:t>, voxel size = 2.0 x 2.0 x 2.5 mm)</w:t>
      </w:r>
      <w:r w:rsidR="00AE2826">
        <w:rPr>
          <w:rFonts w:ascii="Arial" w:hAnsi="Arial" w:cs="Arial"/>
        </w:rPr>
        <w:t xml:space="preserve"> in a 5:08 minute scan</w:t>
      </w:r>
      <w:r w:rsidRPr="00225AB0">
        <w:rPr>
          <w:rFonts w:ascii="Arial" w:hAnsi="Arial" w:cs="Arial"/>
        </w:rPr>
        <w:t>. To aid alignment between the functional data and high-resolution structural images, T1-weighted (FLAIR) anatomical images were acquired (TR = 3000ms, TE = 9.1ms, flip angle = 150°, FOV = 19.2cm</w:t>
      </w:r>
      <w:r w:rsidRPr="00225AB0">
        <w:rPr>
          <w:rFonts w:ascii="Arial" w:hAnsi="Arial" w:cs="Arial"/>
          <w:vertAlign w:val="superscript"/>
        </w:rPr>
        <w:t>3</w:t>
      </w:r>
      <w:r w:rsidRPr="00225AB0">
        <w:rPr>
          <w:rFonts w:ascii="Arial" w:hAnsi="Arial" w:cs="Arial"/>
        </w:rPr>
        <w:t xml:space="preserve">, voxel size = 0.8 x 0.8 x 2.5mm) in a 2:26 minute scan. </w:t>
      </w:r>
    </w:p>
    <w:p w14:paraId="59C8AA14" w14:textId="77777777" w:rsidR="0060072E" w:rsidRPr="00225AB0" w:rsidRDefault="0060072E" w:rsidP="0060072E">
      <w:pPr>
        <w:spacing w:line="480" w:lineRule="auto"/>
        <w:rPr>
          <w:rFonts w:ascii="Arial" w:hAnsi="Arial" w:cs="Arial"/>
        </w:rPr>
      </w:pPr>
    </w:p>
    <w:p w14:paraId="0231A84C" w14:textId="77777777" w:rsidR="0060072E" w:rsidRDefault="0060072E" w:rsidP="001811CC">
      <w:pPr>
        <w:pStyle w:val="Heading3"/>
        <w:numPr>
          <w:ilvl w:val="2"/>
          <w:numId w:val="7"/>
        </w:numPr>
        <w:rPr>
          <w:rFonts w:ascii="Arial" w:hAnsi="Arial" w:cs="Arial"/>
          <w:b/>
          <w:i/>
          <w:color w:val="000000" w:themeColor="text1"/>
          <w:sz w:val="28"/>
          <w:szCs w:val="28"/>
        </w:rPr>
      </w:pPr>
      <w:bookmarkStart w:id="772" w:name="_Toc11148043"/>
      <w:bookmarkStart w:id="773" w:name="_Toc11153993"/>
      <w:bookmarkStart w:id="774" w:name="_Toc11753678"/>
      <w:bookmarkStart w:id="775" w:name="_Toc11926864"/>
      <w:bookmarkStart w:id="776" w:name="_Toc11930127"/>
      <w:bookmarkStart w:id="777" w:name="_Toc16075443"/>
      <w:bookmarkStart w:id="778" w:name="_Toc16237036"/>
      <w:r w:rsidRPr="00352DE5">
        <w:rPr>
          <w:rFonts w:ascii="Arial" w:hAnsi="Arial" w:cs="Arial"/>
          <w:b/>
          <w:i/>
          <w:color w:val="000000" w:themeColor="text1"/>
          <w:sz w:val="28"/>
          <w:szCs w:val="28"/>
        </w:rPr>
        <w:t>Experimental Design</w:t>
      </w:r>
      <w:bookmarkEnd w:id="772"/>
      <w:bookmarkEnd w:id="773"/>
      <w:bookmarkEnd w:id="774"/>
      <w:bookmarkEnd w:id="775"/>
      <w:bookmarkEnd w:id="776"/>
      <w:bookmarkEnd w:id="777"/>
      <w:bookmarkEnd w:id="778"/>
    </w:p>
    <w:p w14:paraId="461215B8" w14:textId="77777777" w:rsidR="00352DE5" w:rsidRPr="00352DE5" w:rsidRDefault="00352DE5" w:rsidP="00352DE5"/>
    <w:p w14:paraId="3ED810D5" w14:textId="6D575B6E" w:rsidR="0060072E" w:rsidRPr="00225AB0" w:rsidRDefault="0060072E" w:rsidP="0060072E">
      <w:pPr>
        <w:spacing w:line="480" w:lineRule="auto"/>
        <w:rPr>
          <w:rFonts w:ascii="Arial" w:hAnsi="Arial" w:cs="Arial"/>
        </w:rPr>
      </w:pPr>
      <w:r w:rsidRPr="00225AB0">
        <w:rPr>
          <w:rFonts w:ascii="Arial" w:hAnsi="Arial" w:cs="Arial"/>
        </w:rPr>
        <w:t xml:space="preserve">Video clips (without audio) from the popular Disney animated film </w:t>
      </w:r>
      <w:r w:rsidRPr="00225AB0">
        <w:rPr>
          <w:rFonts w:ascii="Arial" w:hAnsi="Arial" w:cs="Arial"/>
          <w:i/>
        </w:rPr>
        <w:t>Frozen</w:t>
      </w:r>
      <w:r w:rsidRPr="00225AB0">
        <w:rPr>
          <w:rFonts w:ascii="Arial" w:hAnsi="Arial" w:cs="Arial"/>
        </w:rPr>
        <w:t xml:space="preserve"> </w:t>
      </w:r>
      <w:r w:rsidR="00321AB9">
        <w:rPr>
          <w:rFonts w:ascii="Arial" w:hAnsi="Arial" w:cs="Arial"/>
        </w:rPr>
        <w:fldChar w:fldCharType="begin"/>
      </w:r>
      <w:r w:rsidR="00321AB9">
        <w:rPr>
          <w:rFonts w:ascii="Arial" w:hAnsi="Arial" w:cs="Arial"/>
        </w:rPr>
        <w:instrText xml:space="preserve"> ADDIN ZOTERO_ITEM CSL_CITATION {"citationID":"BjxIvmBO","properties":{"formattedCitation":"(Buck &amp; Lee, 2013)","plainCitation":"(Buck &amp; Lee, 2013)","noteIndex":0},"citationItems":[{"id":554,"uris":["http://zotero.org/groups/318634/items/QWAZ6BBT"],"uri":["http://zotero.org/groups/318634/items/QWAZ6BBT"],"itemData":{"id":554,"type":"motion_picture","title":"Frozen","publisher":"United States: Walt Disney Animation Studios","author":[{"family":"Buck","given":"C"},{"family":"Lee","given":"J"}],"issued":{"date-parts":[["2013"]]}}}],"schema":"https://github.com/citation-style-language/schema/raw/master/csl-citation.json"} </w:instrText>
      </w:r>
      <w:r w:rsidR="00321AB9">
        <w:rPr>
          <w:rFonts w:ascii="Arial" w:hAnsi="Arial" w:cs="Arial"/>
        </w:rPr>
        <w:fldChar w:fldCharType="separate"/>
      </w:r>
      <w:r w:rsidR="00321AB9">
        <w:rPr>
          <w:rFonts w:ascii="Arial" w:hAnsi="Arial" w:cs="Arial"/>
          <w:noProof/>
        </w:rPr>
        <w:t>(Buck &amp; Lee, 2013)</w:t>
      </w:r>
      <w:r w:rsidR="00321AB9">
        <w:rPr>
          <w:rFonts w:ascii="Arial" w:hAnsi="Arial" w:cs="Arial"/>
        </w:rPr>
        <w:fldChar w:fldCharType="end"/>
      </w:r>
      <w:r w:rsidR="00321AB9">
        <w:rPr>
          <w:rFonts w:ascii="Arial" w:hAnsi="Arial" w:cs="Arial"/>
        </w:rPr>
        <w:t xml:space="preserve"> </w:t>
      </w:r>
      <w:r w:rsidRPr="00225AB0">
        <w:rPr>
          <w:rFonts w:ascii="Arial" w:hAnsi="Arial" w:cs="Arial"/>
        </w:rPr>
        <w:t>were used a</w:t>
      </w:r>
      <w:r w:rsidR="00AE2826">
        <w:rPr>
          <w:rFonts w:ascii="Arial" w:hAnsi="Arial" w:cs="Arial"/>
        </w:rPr>
        <w:t>s</w:t>
      </w:r>
      <w:r w:rsidRPr="00225AB0">
        <w:rPr>
          <w:rFonts w:ascii="Arial" w:hAnsi="Arial" w:cs="Arial"/>
        </w:rPr>
        <w:t xml:space="preserve"> the naturalistic stimuli, selected for its clearly distinguishable low-level visual feature categories, in comparison with non-animated films. </w:t>
      </w:r>
    </w:p>
    <w:p w14:paraId="020A95D2" w14:textId="77777777" w:rsidR="0060072E" w:rsidRPr="00225AB0" w:rsidRDefault="0060072E" w:rsidP="0060072E">
      <w:pPr>
        <w:spacing w:line="480" w:lineRule="auto"/>
        <w:rPr>
          <w:rFonts w:ascii="Arial" w:hAnsi="Arial" w:cs="Arial"/>
        </w:rPr>
      </w:pPr>
    </w:p>
    <w:p w14:paraId="6B2255FB" w14:textId="598F8167" w:rsidR="0060072E" w:rsidRPr="00225AB0" w:rsidRDefault="0060072E" w:rsidP="0060072E">
      <w:pPr>
        <w:spacing w:line="480" w:lineRule="auto"/>
        <w:rPr>
          <w:rFonts w:ascii="Arial" w:hAnsi="Arial" w:cs="Arial"/>
        </w:rPr>
      </w:pPr>
      <w:r w:rsidRPr="00225AB0">
        <w:rPr>
          <w:rFonts w:ascii="Arial" w:hAnsi="Arial" w:cs="Arial"/>
        </w:rPr>
        <w:lastRenderedPageBreak/>
        <w:t xml:space="preserve">We conducted a block design experiment </w:t>
      </w:r>
      <w:r w:rsidR="00D44AC6">
        <w:rPr>
          <w:rFonts w:ascii="Arial" w:hAnsi="Arial" w:cs="Arial"/>
        </w:rPr>
        <w:t>in</w:t>
      </w:r>
      <w:r w:rsidRPr="00225AB0">
        <w:rPr>
          <w:rFonts w:ascii="Arial" w:hAnsi="Arial" w:cs="Arial"/>
        </w:rPr>
        <w:t xml:space="preserve"> the fMRI scanner. Participants completed an average of 8 runs, each lasting 5:08 minutes, with a full scanning session lasting approximately 1 hour. Each run </w:t>
      </w:r>
      <w:r w:rsidR="00DD0A13">
        <w:rPr>
          <w:rFonts w:ascii="Arial" w:hAnsi="Arial" w:cs="Arial"/>
        </w:rPr>
        <w:t>began</w:t>
      </w:r>
      <w:r w:rsidR="00DD0A13" w:rsidRPr="00225AB0">
        <w:rPr>
          <w:rFonts w:ascii="Arial" w:hAnsi="Arial" w:cs="Arial"/>
        </w:rPr>
        <w:t xml:space="preserve"> </w:t>
      </w:r>
      <w:r w:rsidRPr="00225AB0">
        <w:rPr>
          <w:rFonts w:ascii="Arial" w:hAnsi="Arial" w:cs="Arial"/>
        </w:rPr>
        <w:t xml:space="preserve">with 8 dummy volumes to control for scanner magnetisation effects during which a mid-grey luminance background was presented to participants. At the beginning of each 30 second block, participants were provided with an audio cue directing their attention towards a specific visual feature (i.e. during an ‘attend to vertical’ block, participants should actively seek vertically-oriented stimuli). </w:t>
      </w:r>
      <w:r w:rsidR="00A34748">
        <w:rPr>
          <w:rFonts w:ascii="Arial" w:hAnsi="Arial" w:cs="Arial"/>
        </w:rPr>
        <w:t xml:space="preserve">For </w:t>
      </w:r>
      <w:r w:rsidRPr="00225AB0">
        <w:rPr>
          <w:rFonts w:ascii="Arial" w:hAnsi="Arial" w:cs="Arial"/>
        </w:rPr>
        <w:t xml:space="preserve">each low-level visual feature, there were three possible dimensions to attend to; orientation (horizontal, vertical or diagonal), chromatic colour (red, green or blue) and shape (square, circular or triangular). Faces and passive viewing periods were also included. Participants were instructed to press and hold a button whenever they identified the target feature </w:t>
      </w:r>
      <w:r w:rsidR="00D44AC6">
        <w:rPr>
          <w:rFonts w:ascii="Arial" w:hAnsi="Arial" w:cs="Arial"/>
        </w:rPr>
        <w:t>in</w:t>
      </w:r>
      <w:r w:rsidRPr="00225AB0">
        <w:rPr>
          <w:rFonts w:ascii="Arial" w:hAnsi="Arial" w:cs="Arial"/>
        </w:rPr>
        <w:t xml:space="preserve"> the naturalistic stimuli. They were also instructed to release their button press if the stimulus disappeared or if they shifted their attention to a different example of the target feature and to only press the button again when they </w:t>
      </w:r>
      <w:r w:rsidR="0016750D">
        <w:rPr>
          <w:rFonts w:ascii="Arial" w:hAnsi="Arial" w:cs="Arial"/>
        </w:rPr>
        <w:t>detected</w:t>
      </w:r>
      <w:r w:rsidRPr="00225AB0">
        <w:rPr>
          <w:rFonts w:ascii="Arial" w:hAnsi="Arial" w:cs="Arial"/>
        </w:rPr>
        <w:t xml:space="preserve"> an example of the particular attended stimulus. During passive viewing, participants were instructed to view the stimulus without explicitly directing attention to any </w:t>
      </w:r>
      <w:r w:rsidR="00DD0A13">
        <w:rPr>
          <w:rFonts w:ascii="Arial" w:hAnsi="Arial" w:cs="Arial"/>
        </w:rPr>
        <w:t>single</w:t>
      </w:r>
      <w:r w:rsidR="00DD0A13" w:rsidRPr="00225AB0">
        <w:rPr>
          <w:rFonts w:ascii="Arial" w:hAnsi="Arial" w:cs="Arial"/>
        </w:rPr>
        <w:t xml:space="preserve"> </w:t>
      </w:r>
      <w:r w:rsidRPr="00225AB0">
        <w:rPr>
          <w:rFonts w:ascii="Arial" w:hAnsi="Arial" w:cs="Arial"/>
        </w:rPr>
        <w:t xml:space="preserve">stimulus feature. </w:t>
      </w:r>
    </w:p>
    <w:p w14:paraId="1F495CF9" w14:textId="77777777" w:rsidR="0060072E" w:rsidRPr="00225AB0" w:rsidRDefault="0060072E" w:rsidP="0060072E">
      <w:pPr>
        <w:spacing w:line="480" w:lineRule="auto"/>
        <w:rPr>
          <w:rFonts w:ascii="Arial" w:hAnsi="Arial" w:cs="Arial"/>
        </w:rPr>
      </w:pPr>
    </w:p>
    <w:p w14:paraId="5C807E51" w14:textId="716441AE" w:rsidR="00FA5FDE" w:rsidRDefault="0060072E" w:rsidP="0060072E">
      <w:pPr>
        <w:spacing w:line="480" w:lineRule="auto"/>
        <w:rPr>
          <w:rFonts w:ascii="Arial" w:hAnsi="Arial" w:cs="Arial"/>
        </w:rPr>
      </w:pPr>
      <w:r w:rsidRPr="00225AB0">
        <w:rPr>
          <w:rFonts w:ascii="Arial" w:hAnsi="Arial" w:cs="Arial"/>
        </w:rPr>
        <w:t xml:space="preserve">The order of attention cues was semi-randomised </w:t>
      </w:r>
      <w:r w:rsidR="00D44AC6">
        <w:rPr>
          <w:rFonts w:ascii="Arial" w:hAnsi="Arial" w:cs="Arial"/>
        </w:rPr>
        <w:t>in</w:t>
      </w:r>
      <w:r w:rsidRPr="00225AB0">
        <w:rPr>
          <w:rFonts w:ascii="Arial" w:hAnsi="Arial" w:cs="Arial"/>
        </w:rPr>
        <w:t xml:space="preserve"> each run. Each run always contained an attend to faces and a passive viewing block, and at least one instance of each of the three low-level visual feature categories. There were 3 possible orders of randomisation for each run, which were </w:t>
      </w:r>
      <w:r w:rsidRPr="00225AB0">
        <w:rPr>
          <w:rFonts w:ascii="Arial" w:hAnsi="Arial" w:cs="Arial"/>
        </w:rPr>
        <w:lastRenderedPageBreak/>
        <w:t xml:space="preserve">counterbalanced across participants. Additionally, the order of video clips </w:t>
      </w:r>
      <w:r w:rsidR="00194172">
        <w:rPr>
          <w:rFonts w:ascii="Arial" w:hAnsi="Arial" w:cs="Arial"/>
          <w:noProof/>
          <w:lang w:eastAsia="en-GB"/>
        </w:rPr>
        <mc:AlternateContent>
          <mc:Choice Requires="wps">
            <w:drawing>
              <wp:anchor distT="0" distB="0" distL="114300" distR="114300" simplePos="0" relativeHeight="251834368" behindDoc="0" locked="0" layoutInCell="1" allowOverlap="1" wp14:anchorId="6BF73071" wp14:editId="3049A353">
                <wp:simplePos x="0" y="0"/>
                <wp:positionH relativeFrom="column">
                  <wp:posOffset>-82550</wp:posOffset>
                </wp:positionH>
                <wp:positionV relativeFrom="paragraph">
                  <wp:posOffset>761884</wp:posOffset>
                </wp:positionV>
                <wp:extent cx="5388610" cy="6137275"/>
                <wp:effectExtent l="0" t="0" r="8890" b="9525"/>
                <wp:wrapSquare wrapText="bothSides"/>
                <wp:docPr id="20" name="Text Box 20"/>
                <wp:cNvGraphicFramePr/>
                <a:graphic xmlns:a="http://schemas.openxmlformats.org/drawingml/2006/main">
                  <a:graphicData uri="http://schemas.microsoft.com/office/word/2010/wordprocessingShape">
                    <wps:wsp>
                      <wps:cNvSpPr txBox="1"/>
                      <wps:spPr>
                        <a:xfrm>
                          <a:off x="0" y="0"/>
                          <a:ext cx="5388610" cy="6137275"/>
                        </a:xfrm>
                        <a:prstGeom prst="rect">
                          <a:avLst/>
                        </a:prstGeom>
                        <a:solidFill>
                          <a:schemeClr val="lt1"/>
                        </a:solidFill>
                        <a:ln w="6350">
                          <a:solidFill>
                            <a:schemeClr val="bg1"/>
                          </a:solidFill>
                        </a:ln>
                      </wps:spPr>
                      <wps:txbx>
                        <w:txbxContent>
                          <w:p w14:paraId="1ED6655B" w14:textId="77777777" w:rsidR="00C93BE0" w:rsidRDefault="00C93BE0" w:rsidP="00925460">
                            <w:pPr>
                              <w:keepNext/>
                              <w:jc w:val="center"/>
                            </w:pPr>
                            <w:r>
                              <w:rPr>
                                <w:noProof/>
                                <w:lang w:eastAsia="en-GB"/>
                              </w:rPr>
                              <w:drawing>
                                <wp:inline distT="0" distB="0" distL="0" distR="0" wp14:anchorId="2C6F49CE" wp14:editId="446F294B">
                                  <wp:extent cx="5162714" cy="4419600"/>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6.1-stimuli.png"/>
                                          <pic:cNvPicPr/>
                                        </pic:nvPicPr>
                                        <pic:blipFill rotWithShape="1">
                                          <a:blip r:embed="rId68">
                                            <a:extLst>
                                              <a:ext uri="{28A0092B-C50C-407E-A947-70E740481C1C}">
                                                <a14:useLocalDpi xmlns:a14="http://schemas.microsoft.com/office/drawing/2010/main" val="0"/>
                                              </a:ext>
                                            </a:extLst>
                                          </a:blip>
                                          <a:srcRect l="3694" r="6402"/>
                                          <a:stretch/>
                                        </pic:blipFill>
                                        <pic:spPr bwMode="auto">
                                          <a:xfrm>
                                            <a:off x="0" y="0"/>
                                            <a:ext cx="5194320" cy="4446657"/>
                                          </a:xfrm>
                                          <a:prstGeom prst="rect">
                                            <a:avLst/>
                                          </a:prstGeom>
                                          <a:ln>
                                            <a:noFill/>
                                          </a:ln>
                                          <a:extLst>
                                            <a:ext uri="{53640926-AAD7-44D8-BBD7-CCE9431645EC}">
                                              <a14:shadowObscured xmlns:a14="http://schemas.microsoft.com/office/drawing/2010/main"/>
                                            </a:ext>
                                          </a:extLst>
                                        </pic:spPr>
                                      </pic:pic>
                                    </a:graphicData>
                                  </a:graphic>
                                </wp:inline>
                              </w:drawing>
                            </w:r>
                          </w:p>
                          <w:p w14:paraId="21FB0D75" w14:textId="6555F271" w:rsidR="00C93BE0" w:rsidRPr="00FA5FDE" w:rsidRDefault="00C93BE0" w:rsidP="00925460">
                            <w:pPr>
                              <w:pStyle w:val="Caption"/>
                              <w:spacing w:line="360" w:lineRule="auto"/>
                              <w:jc w:val="both"/>
                              <w:rPr>
                                <w:rFonts w:ascii="Arial" w:hAnsi="Arial" w:cs="Arial"/>
                                <w:i w:val="0"/>
                                <w:color w:val="000000" w:themeColor="text1"/>
                                <w:sz w:val="24"/>
                                <w:szCs w:val="24"/>
                              </w:rPr>
                            </w:pPr>
                            <w:bookmarkStart w:id="779" w:name="_Toc12363361"/>
                            <w:bookmarkStart w:id="780" w:name="_Toc16242718"/>
                            <w:r w:rsidRPr="00FA5FDE">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FA5FDE">
                              <w:rPr>
                                <w:rFonts w:ascii="Arial" w:hAnsi="Arial" w:cs="Arial"/>
                                <w:i w:val="0"/>
                                <w:color w:val="000000" w:themeColor="text1"/>
                                <w:sz w:val="24"/>
                                <w:szCs w:val="24"/>
                              </w:rPr>
                              <w:t xml:space="preserve"> Naturalistic fMRI Attentional Modulation Experimental Design. At the start of each 30 second block an audio cue directed participants attention towards a particular stimulus feature. Participants freely viewed the Pixar movie </w:t>
                            </w:r>
                            <w:r w:rsidRPr="00FA5FDE">
                              <w:rPr>
                                <w:rFonts w:ascii="Arial" w:hAnsi="Arial" w:cs="Arial"/>
                                <w:color w:val="000000" w:themeColor="text1"/>
                                <w:sz w:val="24"/>
                                <w:szCs w:val="24"/>
                              </w:rPr>
                              <w:t>Frozen</w:t>
                            </w:r>
                            <w:r w:rsidRPr="00FA5FDE">
                              <w:rPr>
                                <w:rFonts w:ascii="Arial" w:hAnsi="Arial" w:cs="Arial"/>
                                <w:i w:val="0"/>
                                <w:color w:val="000000" w:themeColor="text1"/>
                                <w:sz w:val="24"/>
                                <w:szCs w:val="24"/>
                              </w:rPr>
                              <w:t xml:space="preserve"> (individual frames shown here for demonstration) and responded whenever they identified the feature of cued attentional focus. The order of attention cues and movie clips were randomised across participants.</w:t>
                            </w:r>
                            <w:bookmarkEnd w:id="779"/>
                            <w:bookmarkEnd w:id="780"/>
                            <w:r w:rsidRPr="00FA5FDE">
                              <w:rPr>
                                <w:rFonts w:ascii="Arial" w:hAnsi="Arial" w:cs="Arial"/>
                                <w:i w:val="0"/>
                                <w:color w:val="000000" w:themeColor="text1"/>
                                <w:sz w:val="24"/>
                                <w:szCs w:val="24"/>
                              </w:rPr>
                              <w:t xml:space="preserve"> </w:t>
                            </w:r>
                            <w:bookmarkStart w:id="781" w:name="_Toc11925690"/>
                            <w:bookmarkStart w:id="782" w:name="_Toc11926467"/>
                            <w:bookmarkStart w:id="783" w:name="_Toc11926769"/>
                          </w:p>
                          <w:bookmarkEnd w:id="781"/>
                          <w:bookmarkEnd w:id="782"/>
                          <w:bookmarkEnd w:id="783"/>
                          <w:p w14:paraId="373FFA3A" w14:textId="77777777" w:rsidR="00C93BE0" w:rsidRDefault="00C93BE0" w:rsidP="0092546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73071" id="Text Box 20" o:spid="_x0000_s1061" type="#_x0000_t202" style="position:absolute;margin-left:-6.5pt;margin-top:60pt;width:424.3pt;height:483.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" fillcolor="white [3201]" strokecolor="white [3212]" strokeweight=".5pt">
                <v:textbox>
                  <w:txbxContent>
                    <w:p w14:paraId="1ED6655B" w14:textId="77777777" w:rsidR="00C93BE0" w:rsidRDefault="00C93BE0" w:rsidP="00925460">
                      <w:pPr>
                        <w:keepNext/>
                        <w:jc w:val="center"/>
                      </w:pPr>
                      <w:r>
                        <w:rPr>
                          <w:noProof/>
                          <w:lang w:eastAsia="en-GB"/>
                        </w:rPr>
                        <w:drawing>
                          <wp:inline distT="0" distB="0" distL="0" distR="0" wp14:anchorId="2C6F49CE" wp14:editId="446F294B">
                            <wp:extent cx="5162714" cy="4419600"/>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6.1-stimuli.png"/>
                                    <pic:cNvPicPr/>
                                  </pic:nvPicPr>
                                  <pic:blipFill rotWithShape="1">
                                    <a:blip r:embed="rId69">
                                      <a:extLst>
                                        <a:ext uri="{28A0092B-C50C-407E-A947-70E740481C1C}">
                                          <a14:useLocalDpi xmlns:a14="http://schemas.microsoft.com/office/drawing/2010/main" val="0"/>
                                        </a:ext>
                                      </a:extLst>
                                    </a:blip>
                                    <a:srcRect l="3694" r="6402"/>
                                    <a:stretch/>
                                  </pic:blipFill>
                                  <pic:spPr bwMode="auto">
                                    <a:xfrm>
                                      <a:off x="0" y="0"/>
                                      <a:ext cx="5194320" cy="4446657"/>
                                    </a:xfrm>
                                    <a:prstGeom prst="rect">
                                      <a:avLst/>
                                    </a:prstGeom>
                                    <a:ln>
                                      <a:noFill/>
                                    </a:ln>
                                    <a:extLst>
                                      <a:ext uri="{53640926-AAD7-44D8-BBD7-CCE9431645EC}">
                                        <a14:shadowObscured xmlns:a14="http://schemas.microsoft.com/office/drawing/2010/main"/>
                                      </a:ext>
                                    </a:extLst>
                                  </pic:spPr>
                                </pic:pic>
                              </a:graphicData>
                            </a:graphic>
                          </wp:inline>
                        </w:drawing>
                      </w:r>
                    </w:p>
                    <w:p w14:paraId="21FB0D75" w14:textId="6555F271" w:rsidR="00C93BE0" w:rsidRPr="00FA5FDE" w:rsidRDefault="00C93BE0" w:rsidP="00925460">
                      <w:pPr>
                        <w:pStyle w:val="Caption"/>
                        <w:spacing w:line="360" w:lineRule="auto"/>
                        <w:jc w:val="both"/>
                        <w:rPr>
                          <w:rFonts w:ascii="Arial" w:hAnsi="Arial" w:cs="Arial"/>
                          <w:i w:val="0"/>
                          <w:color w:val="000000" w:themeColor="text1"/>
                          <w:sz w:val="24"/>
                          <w:szCs w:val="24"/>
                        </w:rPr>
                      </w:pPr>
                      <w:bookmarkStart w:id="841" w:name="_Toc12363361"/>
                      <w:bookmarkStart w:id="842" w:name="_Toc16242718"/>
                      <w:r w:rsidRPr="00FA5FDE">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1</w:t>
                      </w:r>
                      <w:r>
                        <w:rPr>
                          <w:rFonts w:ascii="Arial" w:hAnsi="Arial" w:cs="Arial"/>
                          <w:b/>
                          <w:i w:val="0"/>
                          <w:color w:val="000000" w:themeColor="text1"/>
                          <w:sz w:val="24"/>
                          <w:szCs w:val="24"/>
                        </w:rPr>
                        <w:fldChar w:fldCharType="end"/>
                      </w:r>
                      <w:r w:rsidRPr="00FA5FDE">
                        <w:rPr>
                          <w:rFonts w:ascii="Arial" w:hAnsi="Arial" w:cs="Arial"/>
                          <w:i w:val="0"/>
                          <w:color w:val="000000" w:themeColor="text1"/>
                          <w:sz w:val="24"/>
                          <w:szCs w:val="24"/>
                        </w:rPr>
                        <w:t xml:space="preserve"> Naturalistic fMRI Attentional Modulation Experimental Design. At the start of each 30 second block an audio cue directed participants attention towards a particular stimulus feature. Participants freely viewed the Pixar movie </w:t>
                      </w:r>
                      <w:r w:rsidRPr="00FA5FDE">
                        <w:rPr>
                          <w:rFonts w:ascii="Arial" w:hAnsi="Arial" w:cs="Arial"/>
                          <w:color w:val="000000" w:themeColor="text1"/>
                          <w:sz w:val="24"/>
                          <w:szCs w:val="24"/>
                        </w:rPr>
                        <w:t>Frozen</w:t>
                      </w:r>
                      <w:r w:rsidRPr="00FA5FDE">
                        <w:rPr>
                          <w:rFonts w:ascii="Arial" w:hAnsi="Arial" w:cs="Arial"/>
                          <w:i w:val="0"/>
                          <w:color w:val="000000" w:themeColor="text1"/>
                          <w:sz w:val="24"/>
                          <w:szCs w:val="24"/>
                        </w:rPr>
                        <w:t xml:space="preserve"> (individual frames shown here for demonstration) and responded whenever they identified the feature of cued attentional focus. The order of attention cues and movie clips were randomised across participants.</w:t>
                      </w:r>
                      <w:bookmarkEnd w:id="841"/>
                      <w:bookmarkEnd w:id="842"/>
                      <w:r w:rsidRPr="00FA5FDE">
                        <w:rPr>
                          <w:rFonts w:ascii="Arial" w:hAnsi="Arial" w:cs="Arial"/>
                          <w:i w:val="0"/>
                          <w:color w:val="000000" w:themeColor="text1"/>
                          <w:sz w:val="24"/>
                          <w:szCs w:val="24"/>
                        </w:rPr>
                        <w:t xml:space="preserve"> </w:t>
                      </w:r>
                      <w:bookmarkStart w:id="843" w:name="_Toc11925690"/>
                      <w:bookmarkStart w:id="844" w:name="_Toc11926467"/>
                      <w:bookmarkStart w:id="845" w:name="_Toc11926769"/>
                    </w:p>
                    <w:bookmarkEnd w:id="843"/>
                    <w:bookmarkEnd w:id="844"/>
                    <w:bookmarkEnd w:id="845"/>
                    <w:p w14:paraId="373FFA3A" w14:textId="77777777" w:rsidR="00C93BE0" w:rsidRDefault="00C93BE0" w:rsidP="00925460">
                      <w:pPr>
                        <w:jc w:val="center"/>
                      </w:pPr>
                    </w:p>
                  </w:txbxContent>
                </v:textbox>
                <w10:wrap type="square"/>
              </v:shape>
            </w:pict>
          </mc:Fallback>
        </mc:AlternateContent>
      </w:r>
      <w:r w:rsidRPr="00225AB0">
        <w:rPr>
          <w:rFonts w:ascii="Arial" w:hAnsi="Arial" w:cs="Arial"/>
        </w:rPr>
        <w:t>was randomised across participants</w:t>
      </w:r>
      <w:r w:rsidR="00FA5FDE">
        <w:rPr>
          <w:rFonts w:ascii="Arial" w:hAnsi="Arial" w:cs="Arial"/>
        </w:rPr>
        <w:t xml:space="preserve"> (see Figure 6.1).</w:t>
      </w:r>
    </w:p>
    <w:p w14:paraId="2C704D89" w14:textId="77777777" w:rsidR="0060072E" w:rsidRPr="00225AB0" w:rsidRDefault="0060072E" w:rsidP="0060072E">
      <w:pPr>
        <w:spacing w:line="480" w:lineRule="auto"/>
        <w:rPr>
          <w:rFonts w:ascii="Arial" w:hAnsi="Arial" w:cs="Arial"/>
        </w:rPr>
      </w:pPr>
    </w:p>
    <w:p w14:paraId="6B5B4A32" w14:textId="77777777" w:rsidR="0060072E" w:rsidRDefault="0060072E" w:rsidP="001811CC">
      <w:pPr>
        <w:pStyle w:val="Heading3"/>
        <w:numPr>
          <w:ilvl w:val="2"/>
          <w:numId w:val="7"/>
        </w:numPr>
        <w:rPr>
          <w:rFonts w:ascii="Arial" w:hAnsi="Arial" w:cs="Arial"/>
          <w:b/>
          <w:i/>
          <w:color w:val="000000" w:themeColor="text1"/>
          <w:sz w:val="28"/>
          <w:szCs w:val="28"/>
        </w:rPr>
      </w:pPr>
      <w:bookmarkStart w:id="784" w:name="_Toc11148044"/>
      <w:bookmarkStart w:id="785" w:name="_Toc11153994"/>
      <w:bookmarkStart w:id="786" w:name="_Toc11753679"/>
      <w:bookmarkStart w:id="787" w:name="_Toc11926865"/>
      <w:bookmarkStart w:id="788" w:name="_Toc11930128"/>
      <w:bookmarkStart w:id="789" w:name="_Toc16075444"/>
      <w:bookmarkStart w:id="790" w:name="_Toc16237037"/>
      <w:r w:rsidRPr="00352DE5">
        <w:rPr>
          <w:rFonts w:ascii="Arial" w:hAnsi="Arial" w:cs="Arial"/>
          <w:b/>
          <w:i/>
          <w:color w:val="000000" w:themeColor="text1"/>
          <w:sz w:val="28"/>
          <w:szCs w:val="28"/>
        </w:rPr>
        <w:t>Defining regions of interest (ROIs)</w:t>
      </w:r>
      <w:bookmarkEnd w:id="784"/>
      <w:bookmarkEnd w:id="785"/>
      <w:bookmarkEnd w:id="786"/>
      <w:bookmarkEnd w:id="787"/>
      <w:bookmarkEnd w:id="788"/>
      <w:bookmarkEnd w:id="789"/>
      <w:bookmarkEnd w:id="790"/>
    </w:p>
    <w:p w14:paraId="283A60AB" w14:textId="77777777" w:rsidR="00352DE5" w:rsidRPr="00352DE5" w:rsidRDefault="00352DE5" w:rsidP="00352DE5">
      <w:pPr>
        <w:pStyle w:val="ListParagraph"/>
      </w:pPr>
    </w:p>
    <w:p w14:paraId="629B4760" w14:textId="2E389451" w:rsidR="0060072E" w:rsidRDefault="0060072E" w:rsidP="0060072E">
      <w:pPr>
        <w:spacing w:line="480" w:lineRule="auto"/>
        <w:rPr>
          <w:rFonts w:ascii="Arial" w:hAnsi="Arial" w:cs="Arial"/>
        </w:rPr>
      </w:pPr>
      <w:r w:rsidRPr="00225AB0">
        <w:rPr>
          <w:rFonts w:ascii="Arial" w:hAnsi="Arial" w:cs="Arial"/>
        </w:rPr>
        <w:t xml:space="preserve">As in previous experiments, visual regions V1, V2, V3A/B, hV4, LO-1, LO-2, MT+ and IPS0 were manually delineated on the basis of polar angle reversals and eccentricity for each participant </w:t>
      </w:r>
      <w:r w:rsidRPr="00170639">
        <w:rPr>
          <w:rFonts w:ascii="Arial" w:hAnsi="Arial" w:cs="Arial"/>
        </w:rPr>
        <w:fldChar w:fldCharType="begin"/>
      </w:r>
      <w:r w:rsidR="005B4361" w:rsidRPr="00170639">
        <w:rPr>
          <w:rFonts w:ascii="Arial" w:hAnsi="Arial" w:cs="Arial"/>
        </w:rPr>
        <w:instrText xml:space="preserve"> ADDIN ZOTERO_ITEM CSL_CITATION {"citationID":"UOiEINV1","properties":{"formattedCitation":"(Serge O. Dumoulin &amp; Wandell, 2008)","plainCitation":"(Serge O. Dumoulin &amp; Wandell, 2008)","dontUpdate":true,"noteIndex":0},"citationItems":[{"id":261,"uris":["http://zotero.org/groups/318634/items/KHNH62CY"],"uri":["http://zotero.org/groups/318634/items/KHNH62CY"],"itemData":{"id":261,"type":"article-journal","title":"Population receptive field estimates in human visual cortex","container-title":"Neuroimage","page":"647–660","volume":"39","issue":"2","source":"Google Scholar","author":[{"family":"Dumoulin","given":"Serge O."},{"family":"Wandell","given":"Brian A."}],"issued":{"date-parts":[["2008"]]}}}],"schema":"https://github.com/citation-style-language/schema/raw/master/csl-citation.json"} </w:instrText>
      </w:r>
      <w:r w:rsidRPr="00170639">
        <w:rPr>
          <w:rFonts w:ascii="Arial" w:hAnsi="Arial" w:cs="Arial"/>
        </w:rPr>
        <w:fldChar w:fldCharType="separate"/>
      </w:r>
      <w:r w:rsidR="00967B1F" w:rsidRPr="00170639">
        <w:rPr>
          <w:rFonts w:ascii="Arial" w:hAnsi="Arial" w:cs="Arial"/>
          <w:noProof/>
        </w:rPr>
        <w:t>(Dumoulin &amp; Wandell, 2008)</w:t>
      </w:r>
      <w:r w:rsidRPr="00170639">
        <w:rPr>
          <w:rFonts w:ascii="Arial" w:hAnsi="Arial" w:cs="Arial"/>
        </w:rPr>
        <w:fldChar w:fldCharType="end"/>
      </w:r>
      <w:r w:rsidRPr="00225AB0">
        <w:rPr>
          <w:rFonts w:ascii="Arial" w:hAnsi="Arial" w:cs="Arial"/>
        </w:rPr>
        <w:t xml:space="preserve"> (for full details see section 2.2 and Chapter 4). For each participant, we </w:t>
      </w:r>
      <w:r w:rsidRPr="00225AB0">
        <w:rPr>
          <w:rFonts w:ascii="Arial" w:hAnsi="Arial" w:cs="Arial"/>
        </w:rPr>
        <w:lastRenderedPageBreak/>
        <w:t xml:space="preserve">produced a control auditory cortex 5cm spherical ROI from standardised Talairach coordinates centred on LH: -49, -20, 9, RH: 48, -21, 10 </w:t>
      </w:r>
      <w:r w:rsidRPr="00225AB0">
        <w:rPr>
          <w:rFonts w:ascii="Arial" w:hAnsi="Arial" w:cs="Arial"/>
        </w:rPr>
        <w:fldChar w:fldCharType="begin"/>
      </w:r>
      <w:r w:rsidR="005B4361">
        <w:rPr>
          <w:rFonts w:ascii="Arial" w:hAnsi="Arial" w:cs="Arial"/>
        </w:rPr>
        <w:instrText xml:space="preserve"> ADDIN ZOTERO_ITEM CSL_CITATION {"citationID":"5kODpVVY","properties":{"formattedCitation":"(Lacadie et al., 2008)","plainCitation":"(Lacadie et al., 2008)","noteIndex":0},"citationItems":[{"id":251,"uris":["http://zotero.org/groups/318634/items/CTPCMJ67"],"uri":["http://zotero.org/groups/318634/items/CTPCMJ67"],"itemData":{"id":251,"type":"paper-conference","title":"Brodmann Areas defined in MNI space using a new Tracing Tool in BioImage Suite","container-title":"Proceedings of the 14th Annual Meeting of the Organization for Human Brain Mapping","volume":"771","source":"Google Scholar","author":[{"family":"Lacadie","given":"C."},{"family":"Fulbright","given":"R."},{"family":"Arora","given":"J."},{"family":"Constable","given":"R."},{"family":"Papademetris","given":"X."}],"issued":{"date-parts":[["2008"]]}}}],"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(Lacadie et al., 2008)</w:t>
      </w:r>
      <w:r w:rsidRPr="00225AB0">
        <w:rPr>
          <w:rFonts w:ascii="Arial" w:hAnsi="Arial" w:cs="Arial"/>
        </w:rPr>
        <w:fldChar w:fldCharType="end"/>
      </w:r>
      <w:r w:rsidRPr="00225AB0">
        <w:rPr>
          <w:rFonts w:ascii="Arial" w:hAnsi="Arial" w:cs="Arial"/>
        </w:rPr>
        <w:t xml:space="preserve">. In the same format, we specified three 5cm spherical ROIs in regions known for their involvement in face stimuli. The STS was defined from average Talairach coordinates stated in </w:t>
      </w:r>
      <w:r w:rsidRPr="00225AB0">
        <w:rPr>
          <w:rFonts w:ascii="Arial" w:hAnsi="Arial" w:cs="Arial"/>
        </w:rPr>
        <w:fldChar w:fldCharType="begin"/>
      </w:r>
      <w:r w:rsidR="005B4361">
        <w:rPr>
          <w:rFonts w:ascii="Arial" w:hAnsi="Arial" w:cs="Arial"/>
        </w:rPr>
        <w:instrText xml:space="preserve"> ADDIN ZOTERO_ITEM CSL_CITATION {"citationID":"6ahqaQ8f","properties":{"formattedCitation":"(Vander Wyk, Voos, &amp; Pelphrey, 2012)","plainCitation":"(Vander Wyk, Voos, &amp; Pelphrey, 2012)","dontUpdate":true,"noteIndex":0},"citationItems":[{"id":91,"uris":["http://zotero.org/groups/318634/items/IBX68ASP"],"uri":["http://zotero.org/groups/318634/items/IBX68ASP"],"itemData":{"id":91,"type":"article-journal","title":"Action representation in the superior temporal sulcus in children and adults: an fMRI study","container-title":"Developmental cognitive neuroscience","page":"409-416","volume":"2","issue":"4","author":[{"family":"Vander Wyk","given":"Brent C."},{"family":"Voos","given":"Avery"},{"family":"Pelphrey","given":"Kevin A."}],"issued":{"date-parts":[["2012"]]}}}],"schema":"https://github.com/citation-style-language/schema/raw/master/csl-citation.json"} </w:instrText>
      </w:r>
      <w:r w:rsidRPr="00225AB0">
        <w:rPr>
          <w:rFonts w:ascii="Arial" w:hAnsi="Arial" w:cs="Arial"/>
        </w:rPr>
        <w:fldChar w:fldCharType="separate"/>
      </w:r>
      <w:r w:rsidRPr="00225AB0">
        <w:rPr>
          <w:rFonts w:ascii="Arial" w:hAnsi="Arial" w:cs="Arial"/>
          <w:noProof/>
        </w:rPr>
        <w:t>Vander Wyk, Voos, &amp; Pelphrey, (2012)</w:t>
      </w:r>
      <w:r w:rsidRPr="00225AB0">
        <w:rPr>
          <w:rFonts w:ascii="Arial" w:hAnsi="Arial" w:cs="Arial"/>
        </w:rPr>
        <w:fldChar w:fldCharType="end"/>
      </w:r>
      <w:r w:rsidR="0016750D">
        <w:rPr>
          <w:rFonts w:ascii="Arial" w:hAnsi="Arial" w:cs="Arial"/>
        </w:rPr>
        <w:t xml:space="preserve">, </w:t>
      </w:r>
      <w:r w:rsidRPr="00225AB0">
        <w:rPr>
          <w:rFonts w:ascii="Arial" w:hAnsi="Arial" w:cs="Arial"/>
        </w:rPr>
        <w:t xml:space="preserve">LH; 56.9, -42.6, 7.6, RH: 54.8, -40.9, 13.4. OFA ROIs were centred on LH: -34, -81, -14, RH: 38, -80, -7 Talairach coordinates </w:t>
      </w:r>
      <w:r w:rsidRPr="00225AB0">
        <w:rPr>
          <w:rFonts w:ascii="Arial" w:hAnsi="Arial" w:cs="Arial"/>
        </w:rPr>
        <w:fldChar w:fldCharType="begin"/>
      </w:r>
      <w:r w:rsidR="005B4361">
        <w:rPr>
          <w:rFonts w:ascii="Arial" w:hAnsi="Arial" w:cs="Arial"/>
        </w:rPr>
        <w:instrText xml:space="preserve"> ADDIN ZOTERO_ITEM CSL_CITATION {"citationID":"vzY6LcPq","properties":{"formattedCitation":"(Rossion et al., 2003)","plainCitation":"(Rossion et al., 2003)","noteIndex":0},"citationItems":[{"id":92,"uris":["http://zotero.org/groups/318634/items/ZMX7BCP9"],"uri":["http://zotero.org/groups/318634/items/ZMX7BCP9"],"itemData":{"id":92,"type":"article-journal","title":"A network of occipito-temporal face-sensitive areas besides the right middle fusiform gyrus is necessary for normal face processing","container-title":"Brain: A Journal of Neurology","page":"2381-2395","volume":"126","issue":"Pt 11","source":"PubMed","abstract":"Neuroimaging studies have identified at least two bilateral areas of the visual extrastriate cortex that respond more to pictures of faces than objects in normal human subjects in the middle fusiform gyrus [the 'fusiform face area' (FFA)] and, more posteriorly, in the inferior occipital cortex ['occipital face area' (OFA)], with a right hemisphere dominance. However, it is not yet clear how these regions interact which each other and whether they are all necessary for normal face perception. It has been proposed that the right hemisphere FFA acts as an isolated ('modular') processing system for faces or that this region receives its face-sensitive inputs from the OFA in a feedforward hierarchical model of face processing. To test these proposals, we report a detailed neuropsychological investigation combined with a neuroimaging study of a patient presenting a deficit restricted to face perception, consecutive to bilateral occipito-temporal lesions. Due to the asymmetry of the lesions, the left middle fusiform gyrus and the right inferior occipital cortex were damaged but the right middle fusiform gyrus was structurally intact. Using functional MRI, we disclosed a normal activation of the right FFA in response to faces in the patient despite the absence of any feedforward inputs from the right OFA, located in a damaged area of cortex. Together, these findings show that the integrity of the right OFA is necessary for normal face perception and suggest that the face-sensitive responses observed at this level in normal subjects may arise from feedback connections from the right FFA. In agreement with the current literature on the anatomical basis of prosopagnosia, it is suggested that the FFA and OFA in the right hemisphere and their re-entrant integration are necessary for normal face processing.","DOI":"10.1093/brain/awg241","ISSN":"0006-8950","note":"PMID: 12876150","journalAbbreviation":"Brain","language":"eng","author":[{"family":"Rossion","given":"Bruno"},{"family":"Caldara","given":"Roberto"},{"family":"Seghier","given":"Mohamed"},{"family":"Schuller","given":"Anne-Marie"},{"family":"Lazeyras","given":"Francois"},{"family":"Mayer","given":"Eugene"}],"issued":{"date-parts":[["2003",11]]}}}],"schema":"https://github.com/citation-style-language/schema/raw/master/csl-citation.json"} </w:instrText>
      </w:r>
      <w:r w:rsidRPr="00225AB0">
        <w:rPr>
          <w:rFonts w:ascii="Arial" w:hAnsi="Arial" w:cs="Arial"/>
        </w:rPr>
        <w:fldChar w:fldCharType="separate"/>
      </w:r>
      <w:r w:rsidRPr="00225AB0">
        <w:rPr>
          <w:rFonts w:ascii="Arial" w:hAnsi="Arial" w:cs="Arial"/>
          <w:noProof/>
        </w:rPr>
        <w:t>(Rossion et al., 2003)</w:t>
      </w:r>
      <w:r w:rsidRPr="00225AB0">
        <w:rPr>
          <w:rFonts w:ascii="Arial" w:hAnsi="Arial" w:cs="Arial"/>
        </w:rPr>
        <w:fldChar w:fldCharType="end"/>
      </w:r>
      <w:r w:rsidRPr="00225AB0">
        <w:rPr>
          <w:rFonts w:ascii="Arial" w:hAnsi="Arial" w:cs="Arial"/>
        </w:rPr>
        <w:t xml:space="preserve">. Finally, FFA coordinates were extracted from </w:t>
      </w:r>
      <w:r w:rsidRPr="00225AB0">
        <w:rPr>
          <w:rFonts w:ascii="Arial" w:hAnsi="Arial" w:cs="Arial"/>
        </w:rPr>
        <w:fldChar w:fldCharType="begin"/>
      </w:r>
      <w:r w:rsidR="005B4361">
        <w:rPr>
          <w:rFonts w:ascii="Arial" w:hAnsi="Arial" w:cs="Arial"/>
        </w:rPr>
        <w:instrText xml:space="preserve"> ADDIN ZOTERO_ITEM CSL_CITATION {"citationID":"NPQTvFQY","properties":{"formattedCitation":"(Goffaux, Schiltz, Mur, &amp; Goebel, 2012)","plainCitation":"(Goffaux, Schiltz, Mur, &amp; Goebel, 2012)","dontUpdate":true,"noteIndex":0},"citationItems":[{"id":93,"uris":["http://zotero.org/groups/318634/items/2GW6HB8B"],"uri":["http://zotero.org/groups/318634/items/2GW6HB8B"],"itemData":{"id":93,"type":"article-journal","title":"Local discriminability determines the strength of holistic processing for faces in the fusiform face area","container-title":"Frontiers in Psychology","page":"604","volume":"3","source":"PubMed","abstract":"Recent evidence suggests that the Fusiform Face Area (FFA) is not exclusively dedicated to the interactive processing of face features, but also contains neurons sensitive to local features. This suggests the existence of both interactive and local processing modes, consistent with recent behavioral findings that the strength of interactive feature processing (IFP) engages most strongly when similar features need to be disambiguated. Here we address whether the engagement of the FFA into interactive versus featural representational modes is governed by local feature discriminability. We scanned human participants while they matched target features within face pairs, independently of the context of distracter features. IFP was operationalized as the failure to match the target without being distracted by distracter features. Picture-plane inversion was used to disrupt IFP while preserving input properties. We found that FFA activation was comparably strong, irrespective of whether similar target features were embedded in dissimilar contexts(i.e., inducing robust IFP) or dissimilar target features were embedded in the same context (i.e., engaging local processing). Second, inversion decreased FFA activation to faces most robustly when similar target features were embedded in dissimilar contexts, indicating that FFA engages into IFP mainly when features cannot be disambiguated at a local level. Third, by means of Spearman rank correlation tests, we show that the local processing of feature differences in the FFA is supported to a large extent by the Occipital Face Area, the Lateral Occipital Complex, and early visual cortex, suggesting that these regions encode the local aspects of face information. The present findings confirm the co-existence of holistic and featural representations in the FFA. Furthermore, they establish FFA as the main contributor to the featural/holistic representational mode switches determined by local discriminability.","DOI":"10.3389/fpsyg.2012.00604","ISSN":"1664-1078","note":"PMID: 23316180\nPMCID: PMC3539162","journalAbbreviation":"Front Psychol","language":"eng","author":[{"family":"Goffaux","given":"Valerie"},{"family":"Schiltz","given":"Christine"},{"family":"Mur","given":"Marieke"},{"family":"Goebel","given":"Rainer"}],"issued":{"date-parts":[["2012"]]}}}],"schema":"https://github.com/citation-style-language/schema/raw/master/csl-citation.json"} </w:instrText>
      </w:r>
      <w:r w:rsidRPr="00225AB0">
        <w:rPr>
          <w:rFonts w:ascii="Arial" w:hAnsi="Arial" w:cs="Arial"/>
        </w:rPr>
        <w:fldChar w:fldCharType="separate"/>
      </w:r>
      <w:r w:rsidRPr="00225AB0">
        <w:rPr>
          <w:rFonts w:ascii="Arial" w:hAnsi="Arial" w:cs="Arial"/>
          <w:noProof/>
        </w:rPr>
        <w:t>Goffaux, Schiltz, Mur, &amp; Goebel</w:t>
      </w:r>
      <w:r w:rsidR="0016750D">
        <w:rPr>
          <w:rFonts w:ascii="Arial" w:hAnsi="Arial" w:cs="Arial"/>
          <w:noProof/>
        </w:rPr>
        <w:t>,</w:t>
      </w:r>
      <w:r w:rsidRPr="00225AB0">
        <w:rPr>
          <w:rFonts w:ascii="Arial" w:hAnsi="Arial" w:cs="Arial"/>
          <w:noProof/>
        </w:rPr>
        <w:t xml:space="preserve"> (2012)</w:t>
      </w:r>
      <w:r w:rsidRPr="00225AB0">
        <w:rPr>
          <w:rFonts w:ascii="Arial" w:hAnsi="Arial" w:cs="Arial"/>
        </w:rPr>
        <w:fldChar w:fldCharType="end"/>
      </w:r>
      <w:r w:rsidRPr="00225AB0">
        <w:rPr>
          <w:rFonts w:ascii="Arial" w:hAnsi="Arial" w:cs="Arial"/>
        </w:rPr>
        <w:t xml:space="preserve">, LH: -38, -45, -18, RH: 37, -42, -19. </w:t>
      </w:r>
    </w:p>
    <w:p w14:paraId="7A0E241C" w14:textId="77777777" w:rsidR="00352DE5" w:rsidRPr="00225AB0" w:rsidRDefault="00352DE5" w:rsidP="0060072E">
      <w:pPr>
        <w:spacing w:line="480" w:lineRule="auto"/>
        <w:rPr>
          <w:rFonts w:ascii="Arial" w:hAnsi="Arial" w:cs="Arial"/>
        </w:rPr>
      </w:pPr>
    </w:p>
    <w:p w14:paraId="0B8C3824" w14:textId="77777777" w:rsidR="0060072E" w:rsidRDefault="0060072E" w:rsidP="001811CC">
      <w:pPr>
        <w:pStyle w:val="Heading3"/>
        <w:numPr>
          <w:ilvl w:val="2"/>
          <w:numId w:val="7"/>
        </w:numPr>
        <w:rPr>
          <w:rFonts w:ascii="Arial" w:hAnsi="Arial" w:cs="Arial"/>
          <w:b/>
          <w:i/>
          <w:color w:val="000000" w:themeColor="text1"/>
          <w:sz w:val="28"/>
          <w:szCs w:val="28"/>
        </w:rPr>
      </w:pPr>
      <w:bookmarkStart w:id="791" w:name="_Toc11148045"/>
      <w:bookmarkStart w:id="792" w:name="_Toc11153995"/>
      <w:bookmarkStart w:id="793" w:name="_Toc11753680"/>
      <w:bookmarkStart w:id="794" w:name="_Toc11926866"/>
      <w:bookmarkStart w:id="795" w:name="_Toc11930129"/>
      <w:bookmarkStart w:id="796" w:name="_Toc16075445"/>
      <w:bookmarkStart w:id="797" w:name="_Toc16237038"/>
      <w:r w:rsidRPr="00352DE5">
        <w:rPr>
          <w:rFonts w:ascii="Arial" w:hAnsi="Arial" w:cs="Arial"/>
          <w:b/>
          <w:i/>
          <w:color w:val="000000" w:themeColor="text1"/>
          <w:sz w:val="28"/>
          <w:szCs w:val="28"/>
        </w:rPr>
        <w:t>fMRI pre-processing</w:t>
      </w:r>
      <w:bookmarkEnd w:id="791"/>
      <w:bookmarkEnd w:id="792"/>
      <w:bookmarkEnd w:id="793"/>
      <w:bookmarkEnd w:id="794"/>
      <w:bookmarkEnd w:id="795"/>
      <w:bookmarkEnd w:id="796"/>
      <w:bookmarkEnd w:id="797"/>
    </w:p>
    <w:p w14:paraId="1D527B32" w14:textId="77777777" w:rsidR="00352DE5" w:rsidRPr="00352DE5" w:rsidRDefault="00352DE5" w:rsidP="00352DE5">
      <w:pPr>
        <w:pStyle w:val="ListParagraph"/>
      </w:pPr>
    </w:p>
    <w:p w14:paraId="004CF6E6" w14:textId="75C20B1B" w:rsidR="0060072E" w:rsidRPr="00225AB0" w:rsidRDefault="0060072E" w:rsidP="0060072E">
      <w:pPr>
        <w:spacing w:line="480" w:lineRule="auto"/>
        <w:rPr>
          <w:rFonts w:ascii="Arial" w:hAnsi="Arial" w:cs="Arial"/>
          <w:color w:val="000000" w:themeColor="text1"/>
        </w:rPr>
      </w:pPr>
      <w:r w:rsidRPr="00225AB0">
        <w:rPr>
          <w:rFonts w:ascii="Arial" w:hAnsi="Arial" w:cs="Arial"/>
        </w:rPr>
        <w:t xml:space="preserve">Functional data were analysed using MATLAB 2016a (MathWorks, MA) and VISTA software </w:t>
      </w:r>
      <w:r w:rsidRPr="00225AB0">
        <w:rPr>
          <w:rFonts w:ascii="Arial" w:hAnsi="Arial" w:cs="Arial"/>
          <w:color w:val="000000" w:themeColor="text1"/>
        </w:rPr>
        <w:t>(</w:t>
      </w:r>
      <w:hyperlink r:id="rId70" w:tgtFrame="_blank" w:history="1">
        <w:r w:rsidRPr="00225AB0">
          <w:rPr>
            <w:rStyle w:val="Hyperlink"/>
            <w:rFonts w:ascii="Arial" w:hAnsi="Arial" w:cs="Arial"/>
          </w:rPr>
          <w:t>https://vistalab.stanford.edu/software/</w:t>
        </w:r>
      </w:hyperlink>
      <w:r w:rsidRPr="00225AB0">
        <w:rPr>
          <w:rFonts w:ascii="Arial" w:hAnsi="Arial" w:cs="Arial"/>
          <w:color w:val="000000" w:themeColor="text1"/>
        </w:rPr>
        <w:t xml:space="preserve">) (Vista Lab, Stanford University). The first 8 seconds of each run were manually discarded prior to analysis to mitigate T1 saturation effects. Between- and within-scan motion correction was performed to compensate for motion artefacts occurring during the scan session. Any scans with &gt; 3mm movement were removed from further analysis (no attentional modulation runs were removed on the basis of excessive movement). The VISTA </w:t>
      </w:r>
      <w:proofErr w:type="spellStart"/>
      <w:r w:rsidRPr="00225AB0">
        <w:rPr>
          <w:rFonts w:ascii="Arial" w:hAnsi="Arial" w:cs="Arial"/>
          <w:color w:val="000000" w:themeColor="text1"/>
        </w:rPr>
        <w:t>rxAlign</w:t>
      </w:r>
      <w:proofErr w:type="spellEnd"/>
      <w:r w:rsidRPr="00225AB0">
        <w:rPr>
          <w:rFonts w:ascii="Arial" w:hAnsi="Arial" w:cs="Arial"/>
          <w:color w:val="000000" w:themeColor="text1"/>
        </w:rPr>
        <w:t xml:space="preserve"> tool was then used to co-register the T1-weighted FLAIR scan to the high-resolution T1-weighted full-brain anatomical scan. We applied a manual alignment using landmark points to bring the two volumes into approximate register, followed by a robust EM-based registration algorithm to fine-rune the alignment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{"citationID":"1huN4XEU","properties":{"formattedCitation":"(Nestares &amp; Heeger, 2000)","plainCitation":"(Nestares &amp; Heeger, 2000)","noteIndex":0},"citationItems":[{"id":223,"uris":["http://zotero.org/groups/318634/items/A2LX4I6M"],"uri":["http://zotero.org/groups/318634/items/A2LX4I6M"],"itemData":{"id":223,"type":"article-journal","title":"Robust multiresolution alignment of MRI brain volumes","container-title":"Magnetic Resonance in Medicine: An Official Journal of the International Society for Magnetic Resonance in Medicine","page":"705–715","volume":"43","issue":"5","source":"Google Scholar","author":[{"family":"Nestares","given":"Oscar"},{"family":"Heeger","given":"David J."}],"issued":{"date-parts":[["2000"]]}}}],"schema":"https://github.com/citation-style-language/schema/raw/master/csl-citation.json"}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(Nestares &amp; Heeger, 2000)</w:t>
      </w:r>
      <w:r w:rsidRPr="00225AB0">
        <w:rPr>
          <w:rFonts w:ascii="Arial" w:hAnsi="Arial" w:cs="Arial"/>
          <w:color w:val="000000" w:themeColor="text1"/>
        </w:rPr>
        <w:fldChar w:fldCharType="end"/>
      </w:r>
      <w:r w:rsidRPr="00225AB0">
        <w:rPr>
          <w:rFonts w:ascii="Arial" w:hAnsi="Arial" w:cs="Arial"/>
          <w:color w:val="000000" w:themeColor="text1"/>
        </w:rPr>
        <w:t>. The final alignment was visually inspected to ensure the automatic registration procedure optimised the fit. These functional data were then interpolated to the anatomical segmentation.</w:t>
      </w:r>
    </w:p>
    <w:p w14:paraId="23A87ED8" w14:textId="77777777" w:rsidR="0060072E" w:rsidRPr="00225AB0" w:rsidRDefault="0060072E" w:rsidP="0060072E">
      <w:pPr>
        <w:spacing w:line="480" w:lineRule="auto"/>
        <w:rPr>
          <w:rFonts w:ascii="Arial" w:hAnsi="Arial" w:cs="Arial"/>
          <w:color w:val="000000" w:themeColor="text1"/>
        </w:rPr>
      </w:pPr>
    </w:p>
    <w:p w14:paraId="1216DB2C" w14:textId="4B9EB4AD" w:rsidR="0060072E" w:rsidRPr="00225AB0" w:rsidRDefault="0060072E" w:rsidP="0060072E">
      <w:pPr>
        <w:spacing w:line="480" w:lineRule="auto"/>
        <w:rPr>
          <w:rFonts w:ascii="Arial" w:hAnsi="Arial" w:cs="Arial"/>
          <w:color w:val="000000" w:themeColor="text1"/>
        </w:rPr>
      </w:pPr>
      <w:r w:rsidRPr="00225AB0">
        <w:rPr>
          <w:rFonts w:ascii="Arial" w:hAnsi="Arial" w:cs="Arial"/>
          <w:color w:val="000000" w:themeColor="text1"/>
        </w:rPr>
        <w:t xml:space="preserve">General linear models (GLM) were then implemented to test the contribution of each stimulus contribution to the BOLD time course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{"citationID":"HtvfJ9dn","properties":{"formattedCitation":"(Friston et al., 1998)","plainCitation":"(Friston et al., 1998)","noteIndex":0},"citationItems":[{"id":205,"uris":["http://zotero.org/groups/318634/items/CGQBQ9IP"],"uri":["http://zotero.org/groups/318634/items/CGQBQ9IP"],"itemData":{"id":205,"type":"article-journal","title":"Event-related fMRI: characterizing differential responses","container-title":"NeuroImage","page":"30-40","volume":"7","issue":"1","source":"PubMed","abstract":"We present an approach to characterizing the differences among event-related hemodynamic responses in functional magnetic resonance imaging that are evoked by different sorts of stimuli. This approach is predicated on a linear convolution model and standard inferential statistics as employed by statistical parametric mapping. In particular we model evoked responses, and their differences, in terms of basis functions of the peri-stimulus time. This facilitates a characterization of the temporal response profiles that has a high effective temporal resolution relative to the repetition time. To demonstrate the technique we examined differential responses to visually presented words that had been seen prior to scanning or that were novel. The form of these differences involved both the magnitude and the latency of the response components. In this paper we focus on bilateral ventrolateral prefrontal responses that show deactivations for previously seen words and activations for novel words.","DOI":"10.1006/nimg.1997.0306","ISSN":"1053-8119","note":"PMID: 9500830","title-short":"Event-related fMRI","journalAbbreviation":"Neuroimage","language":"eng","author":[{"family":"Friston","given":"K. J."},{"family":"Fletcher","given":"P."},{"family":"Josephs","given":"O."},{"family":"Holmes","given":"A."},{"family":"Rugg","given":"M. D."},{"family":"Turner","given":"R."}],"issued":{"date-parts":[["1998",1]]}}}],"schema":"https://github.com/citation-style-language/schema/raw/master/csl-citation.json"}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(Friston et al., 1998)</w:t>
      </w:r>
      <w:r w:rsidRPr="00225AB0">
        <w:rPr>
          <w:rFonts w:ascii="Arial" w:hAnsi="Arial" w:cs="Arial"/>
          <w:color w:val="000000" w:themeColor="text1"/>
        </w:rPr>
        <w:fldChar w:fldCharType="end"/>
      </w:r>
      <w:r w:rsidRPr="00225AB0">
        <w:rPr>
          <w:rFonts w:ascii="Arial" w:hAnsi="Arial" w:cs="Arial"/>
          <w:color w:val="000000" w:themeColor="text1"/>
        </w:rPr>
        <w:t xml:space="preserve">. We used the </w:t>
      </w:r>
      <w:r w:rsidR="00182859">
        <w:rPr>
          <w:rFonts w:ascii="Arial" w:hAnsi="Arial" w:cs="Arial"/>
          <w:color w:val="000000" w:themeColor="text1"/>
        </w:rPr>
        <w:t>double</w:t>
      </w:r>
      <w:r w:rsidRPr="00225AB0">
        <w:rPr>
          <w:rFonts w:ascii="Arial" w:hAnsi="Arial" w:cs="Arial"/>
          <w:color w:val="000000" w:themeColor="text1"/>
        </w:rPr>
        <w:t xml:space="preserve">-gamma Boynton HRF from the SPM8 toolbox, and fit the model to an averaged time course of BOLD signal of each stimulus by minimising the sum of squared errors (RSS) between the predicted timeseries and measured BOLD response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{"citationID":"NNZGI57O","properties":{"formattedCitation":"(Penny et al., 2006)","plainCitation":"(Penny et al., 2006)","noteIndex":0},"citationItems":[{"id":222,"uris":["http://zotero.org/groups/318634/items/FZIVNR7E"],"uri":["http://zotero.org/groups/318634/items/FZIVNR7E"],"itemData":{"id":222,"type":"webpage","title":"Statistical Parametric Mapping: The Analysis of Functional Brain Images - 1st Edition","URL":"https://www.elsevier.com/books/statistical-parametric-mapping-the-analysis-of-functional-brain-images/penny/978-0-12-372560-8","author":[{"family":"Penny","given":"W"},{"family":"Friston","given":"K. J."},{"family":"Ashburner","given":"J"},{"family":"Kiebel","given":"S"},{"family":"Nichols","given":"T"}],"issued":{"date-parts":[["2006"]]},"accessed":{"date-parts":[["2019",2,28]]}}}],"schema":"https://github.com/citation-style-language/schema/raw/master/csl-citation.json"} </w:instrText>
      </w:r>
      <w:r w:rsidRPr="00225AB0">
        <w:rPr>
          <w:rFonts w:ascii="Arial" w:hAnsi="Arial" w:cs="Arial"/>
          <w:color w:val="000000" w:themeColor="text1"/>
        </w:rPr>
        <w:fldChar w:fldCharType="separate"/>
      </w:r>
      <w:r w:rsidR="00967B1F" w:rsidRPr="00225AB0">
        <w:rPr>
          <w:rFonts w:ascii="Arial" w:hAnsi="Arial" w:cs="Arial"/>
          <w:noProof/>
          <w:color w:val="000000" w:themeColor="text1"/>
        </w:rPr>
        <w:t>(Penny et al., 2006)</w:t>
      </w:r>
      <w:r w:rsidRPr="00225AB0">
        <w:rPr>
          <w:rFonts w:ascii="Arial" w:hAnsi="Arial" w:cs="Arial"/>
          <w:color w:val="000000" w:themeColor="text1"/>
        </w:rPr>
        <w:fldChar w:fldCharType="end"/>
      </w:r>
      <w:r w:rsidRPr="00225AB0">
        <w:rPr>
          <w:rFonts w:ascii="Arial" w:hAnsi="Arial" w:cs="Arial"/>
          <w:color w:val="000000" w:themeColor="text1"/>
        </w:rPr>
        <w:t xml:space="preserve">. </w:t>
      </w:r>
      <w:r w:rsidR="009416F0">
        <w:rPr>
          <w:rFonts w:ascii="Arial" w:hAnsi="Arial" w:cs="Arial"/>
          <w:color w:val="000000" w:themeColor="text1"/>
        </w:rPr>
        <w:t xml:space="preserve">In this GLM, beta weights for each condition were obtained by multiple linear regression. </w:t>
      </w:r>
    </w:p>
    <w:p w14:paraId="11E2D96A" w14:textId="77777777" w:rsidR="0060072E" w:rsidRPr="00225AB0" w:rsidRDefault="0060072E" w:rsidP="0060072E">
      <w:pPr>
        <w:rPr>
          <w:rFonts w:ascii="Arial" w:hAnsi="Arial" w:cs="Arial"/>
        </w:rPr>
      </w:pPr>
    </w:p>
    <w:p w14:paraId="46BB7459" w14:textId="77777777" w:rsidR="0060072E" w:rsidRPr="00225AB0" w:rsidRDefault="0060072E" w:rsidP="0060072E">
      <w:pPr>
        <w:spacing w:line="480" w:lineRule="auto"/>
        <w:rPr>
          <w:rFonts w:ascii="Arial" w:hAnsi="Arial" w:cs="Arial"/>
        </w:rPr>
      </w:pPr>
      <w:r w:rsidRPr="00225AB0">
        <w:rPr>
          <w:rFonts w:ascii="Arial" w:hAnsi="Arial" w:cs="Arial"/>
        </w:rPr>
        <w:t xml:space="preserve">The first GLM analysed attentional modulation across general low-level visual feature categories (3-feature). Data were summarised as 30 second blocks of attention to orientation, colour or shape (collapsed across the subcategories of each condition respectively, e.g. orientation was averaged across vertical, horizontal and diagonal blocks). 30 second blocks of attention to faces and passive viewing were also entered into the GLM. This resulted in between 8 and 24 beta weight estimates for across conditions at the multivariate level. </w:t>
      </w:r>
    </w:p>
    <w:p w14:paraId="206B670E" w14:textId="77777777" w:rsidR="0060072E" w:rsidRPr="00225AB0" w:rsidRDefault="0060072E" w:rsidP="0060072E">
      <w:pPr>
        <w:spacing w:line="480" w:lineRule="auto"/>
        <w:rPr>
          <w:rFonts w:ascii="Arial" w:hAnsi="Arial" w:cs="Arial"/>
        </w:rPr>
      </w:pPr>
    </w:p>
    <w:p w14:paraId="535D4D11" w14:textId="77777777" w:rsidR="0060072E" w:rsidRDefault="0060072E" w:rsidP="009927A8">
      <w:pPr>
        <w:spacing w:line="480" w:lineRule="auto"/>
        <w:rPr>
          <w:rFonts w:ascii="Arial" w:hAnsi="Arial" w:cs="Arial"/>
        </w:rPr>
      </w:pPr>
      <w:r w:rsidRPr="00225AB0">
        <w:rPr>
          <w:rFonts w:ascii="Arial" w:hAnsi="Arial" w:cs="Arial"/>
        </w:rPr>
        <w:t xml:space="preserve">The second GLM split analysis into the individual subcategories of each low-level visual feature (3x3-feature). 30 second blocks were classified as attention to vertical, horizontal, diagonal, red, green, blue, circular, square, triangular, face or passive viewing conditions. This resulted in between 4 and 8 beta weights across conditions at the multivariate level. </w:t>
      </w:r>
    </w:p>
    <w:p w14:paraId="3D625BDE" w14:textId="2936A926" w:rsidR="0016750D" w:rsidRDefault="0016750D" w:rsidP="009927A8">
      <w:pPr>
        <w:spacing w:line="480" w:lineRule="auto"/>
        <w:rPr>
          <w:rFonts w:ascii="Arial" w:hAnsi="Arial" w:cs="Arial"/>
        </w:rPr>
      </w:pPr>
    </w:p>
    <w:p w14:paraId="3103E7BA" w14:textId="6AC78ED7" w:rsidR="00AE6937" w:rsidRDefault="00AE6937" w:rsidP="009927A8">
      <w:pPr>
        <w:spacing w:line="480" w:lineRule="auto"/>
        <w:rPr>
          <w:rFonts w:ascii="Arial" w:hAnsi="Arial" w:cs="Arial"/>
        </w:rPr>
      </w:pPr>
    </w:p>
    <w:p w14:paraId="04BFCB3D" w14:textId="77777777" w:rsidR="00AE6937" w:rsidRDefault="00AE6937" w:rsidP="009927A8">
      <w:pPr>
        <w:spacing w:line="480" w:lineRule="auto"/>
        <w:rPr>
          <w:rFonts w:ascii="Arial" w:hAnsi="Arial" w:cs="Arial"/>
        </w:rPr>
      </w:pPr>
    </w:p>
    <w:p w14:paraId="016B3390" w14:textId="77777777" w:rsidR="00352DE5" w:rsidRDefault="00352DE5" w:rsidP="001811CC">
      <w:pPr>
        <w:pStyle w:val="Heading3"/>
        <w:numPr>
          <w:ilvl w:val="2"/>
          <w:numId w:val="7"/>
        </w:numPr>
        <w:rPr>
          <w:rFonts w:ascii="Arial" w:hAnsi="Arial" w:cs="Arial"/>
          <w:b/>
          <w:i/>
          <w:color w:val="000000" w:themeColor="text1"/>
          <w:sz w:val="28"/>
          <w:szCs w:val="28"/>
        </w:rPr>
      </w:pPr>
      <w:bookmarkStart w:id="798" w:name="_Toc11753681"/>
      <w:bookmarkStart w:id="799" w:name="_Toc11926867"/>
      <w:bookmarkStart w:id="800" w:name="_Toc11930130"/>
      <w:bookmarkStart w:id="801" w:name="_Toc16075446"/>
      <w:bookmarkStart w:id="802" w:name="_Toc16237039"/>
      <w:r>
        <w:rPr>
          <w:rFonts w:ascii="Arial" w:hAnsi="Arial" w:cs="Arial"/>
          <w:b/>
          <w:i/>
          <w:color w:val="000000" w:themeColor="text1"/>
          <w:sz w:val="28"/>
          <w:szCs w:val="28"/>
        </w:rPr>
        <w:lastRenderedPageBreak/>
        <w:t>Statistical Analysis</w:t>
      </w:r>
      <w:bookmarkEnd w:id="798"/>
      <w:bookmarkEnd w:id="799"/>
      <w:bookmarkEnd w:id="800"/>
      <w:bookmarkEnd w:id="801"/>
      <w:bookmarkEnd w:id="802"/>
    </w:p>
    <w:p w14:paraId="08A5BB9C" w14:textId="77777777" w:rsidR="00352DE5" w:rsidRPr="00225AB0" w:rsidRDefault="00352DE5" w:rsidP="0060072E">
      <w:pPr>
        <w:rPr>
          <w:rFonts w:ascii="Arial" w:hAnsi="Arial" w:cs="Arial"/>
        </w:rPr>
      </w:pPr>
    </w:p>
    <w:p w14:paraId="591B0E29" w14:textId="77777777" w:rsidR="0060072E" w:rsidRDefault="0060072E" w:rsidP="001811CC">
      <w:pPr>
        <w:pStyle w:val="Heading4"/>
        <w:numPr>
          <w:ilvl w:val="3"/>
          <w:numId w:val="7"/>
        </w:numPr>
        <w:rPr>
          <w:rFonts w:ascii="Arial" w:hAnsi="Arial" w:cs="Arial"/>
          <w:color w:val="000000" w:themeColor="text1"/>
          <w:sz w:val="28"/>
          <w:szCs w:val="28"/>
        </w:rPr>
      </w:pPr>
      <w:bookmarkStart w:id="803" w:name="_Toc11148047"/>
      <w:bookmarkStart w:id="804" w:name="_Toc11153997"/>
      <w:bookmarkStart w:id="805" w:name="_Toc11930131"/>
      <w:bookmarkStart w:id="806" w:name="_Toc16075447"/>
      <w:r w:rsidRPr="00352DE5">
        <w:rPr>
          <w:rFonts w:ascii="Arial" w:hAnsi="Arial" w:cs="Arial"/>
          <w:color w:val="000000" w:themeColor="text1"/>
          <w:sz w:val="28"/>
          <w:szCs w:val="28"/>
        </w:rPr>
        <w:t>Univariate</w:t>
      </w:r>
      <w:bookmarkEnd w:id="803"/>
      <w:bookmarkEnd w:id="804"/>
      <w:bookmarkEnd w:id="805"/>
      <w:bookmarkEnd w:id="806"/>
    </w:p>
    <w:p w14:paraId="7DFB32F7" w14:textId="553AA5D8" w:rsidR="0060072E" w:rsidRPr="00225AB0" w:rsidRDefault="0060072E" w:rsidP="0060072E">
      <w:pPr>
        <w:spacing w:line="480" w:lineRule="auto"/>
        <w:rPr>
          <w:rFonts w:ascii="Arial" w:hAnsi="Arial" w:cs="Arial"/>
        </w:rPr>
      </w:pPr>
      <w:r w:rsidRPr="00225AB0">
        <w:rPr>
          <w:rFonts w:ascii="Arial" w:hAnsi="Arial" w:cs="Arial"/>
        </w:rPr>
        <w:t>We performed very similar univariate, multivariate and connectivity analysis pipeline</w:t>
      </w:r>
      <w:r w:rsidR="0016750D">
        <w:rPr>
          <w:rFonts w:ascii="Arial" w:hAnsi="Arial" w:cs="Arial"/>
        </w:rPr>
        <w:t xml:space="preserve">s </w:t>
      </w:r>
      <w:r w:rsidRPr="00225AB0">
        <w:rPr>
          <w:rFonts w:ascii="Arial" w:hAnsi="Arial" w:cs="Arial"/>
        </w:rPr>
        <w:t xml:space="preserve">as employed in Chapters 4 and 5. Firstly, we extracted the percentage variance explained in our GLMs from each ROI. Participants with less than 5% variance explained (averaged across all visual ROIs; V1, V2, V3A/B, hV4, LO-1, LO-2 and MT+) were removed from further analysis. This resulted in the removal of two participants from the 3-feature analysis pipeline. </w:t>
      </w:r>
      <w:r w:rsidR="00D4752B" w:rsidRPr="00170639">
        <w:rPr>
          <w:rFonts w:ascii="Arial" w:hAnsi="Arial" w:cs="Arial"/>
        </w:rPr>
        <w:t>Hence, data from 12 participants was included in the 3-feature analysis, and data from all 14 participants was included in the 3x3-feature analysis.</w:t>
      </w:r>
      <w:r w:rsidR="00D4752B">
        <w:rPr>
          <w:rFonts w:ascii="Arial" w:hAnsi="Arial" w:cs="Arial"/>
        </w:rPr>
        <w:t xml:space="preserve"> </w:t>
      </w:r>
      <w:r w:rsidRPr="00225AB0">
        <w:rPr>
          <w:rFonts w:ascii="Arial" w:hAnsi="Arial" w:cs="Arial"/>
        </w:rPr>
        <w:t xml:space="preserve">Attentional modulation data were then analysed through multiple one-way repeated ANOVAs, Benjamini-Hochberg corrected across the number of ROIs to assess attentional modulation differences in both signal modulation across conditions, for both the 3-feature and 3x3-feature analyses respectively. </w:t>
      </w:r>
    </w:p>
    <w:p w14:paraId="28DF1DD3" w14:textId="77777777" w:rsidR="0060072E" w:rsidRPr="00225AB0" w:rsidRDefault="0060072E" w:rsidP="0060072E">
      <w:pPr>
        <w:spacing w:line="480" w:lineRule="auto"/>
        <w:rPr>
          <w:rFonts w:ascii="Arial" w:hAnsi="Arial" w:cs="Arial"/>
        </w:rPr>
      </w:pPr>
    </w:p>
    <w:p w14:paraId="1287F74E" w14:textId="77777777" w:rsidR="00F72546" w:rsidRPr="009927A8" w:rsidRDefault="00F72546" w:rsidP="00F72546">
      <w:pPr>
        <w:pStyle w:val="Heading4"/>
        <w:numPr>
          <w:ilvl w:val="3"/>
          <w:numId w:val="7"/>
        </w:numPr>
        <w:rPr>
          <w:rFonts w:ascii="Arial" w:hAnsi="Arial" w:cs="Arial"/>
          <w:color w:val="000000" w:themeColor="text1"/>
          <w:sz w:val="28"/>
          <w:szCs w:val="28"/>
        </w:rPr>
      </w:pPr>
      <w:bookmarkStart w:id="807" w:name="_Toc11930132"/>
      <w:bookmarkStart w:id="808" w:name="_Toc16075448"/>
      <w:r>
        <w:rPr>
          <w:rFonts w:ascii="Arial" w:hAnsi="Arial" w:cs="Arial"/>
          <w:color w:val="000000" w:themeColor="text1"/>
          <w:sz w:val="28"/>
          <w:szCs w:val="28"/>
        </w:rPr>
        <w:t>Mu</w:t>
      </w:r>
      <w:r w:rsidR="009927A8">
        <w:rPr>
          <w:rFonts w:ascii="Arial" w:hAnsi="Arial" w:cs="Arial"/>
          <w:color w:val="000000" w:themeColor="text1"/>
          <w:sz w:val="28"/>
          <w:szCs w:val="28"/>
        </w:rPr>
        <w:t>l</w:t>
      </w:r>
      <w:r>
        <w:rPr>
          <w:rFonts w:ascii="Arial" w:hAnsi="Arial" w:cs="Arial"/>
          <w:color w:val="000000" w:themeColor="text1"/>
          <w:sz w:val="28"/>
          <w:szCs w:val="28"/>
        </w:rPr>
        <w:t>tivariate</w:t>
      </w:r>
      <w:bookmarkEnd w:id="807"/>
      <w:bookmarkEnd w:id="808"/>
    </w:p>
    <w:p w14:paraId="0527220A" w14:textId="2286351B" w:rsidR="0060072E" w:rsidRPr="00225AB0" w:rsidRDefault="0060072E" w:rsidP="0060072E">
      <w:pPr>
        <w:spacing w:line="480" w:lineRule="auto"/>
        <w:rPr>
          <w:rFonts w:ascii="Arial" w:hAnsi="Arial" w:cs="Arial"/>
        </w:rPr>
      </w:pPr>
      <w:r w:rsidRPr="00225AB0">
        <w:rPr>
          <w:rFonts w:ascii="Arial" w:hAnsi="Arial" w:cs="Arial"/>
        </w:rPr>
        <w:t xml:space="preserve">To investigate voxel-level patterns of activation </w:t>
      </w:r>
      <w:r w:rsidR="00D44AC6">
        <w:rPr>
          <w:rFonts w:ascii="Arial" w:hAnsi="Arial" w:cs="Arial"/>
        </w:rPr>
        <w:t>in</w:t>
      </w:r>
      <w:r w:rsidRPr="00225AB0">
        <w:rPr>
          <w:rFonts w:ascii="Arial" w:hAnsi="Arial" w:cs="Arial"/>
        </w:rPr>
        <w:t xml:space="preserve"> each visual ROI, beta weights were calculated for each attentional focus predictor timeseries (for both the 3-feature and 3x3-feature analyses) for each voxel, using deconvolution to examine the fit of the HRF to the timeseries data. In each ROI, we selected the 100 voxels that explained the largest amount of variance in the GLM across conditions. These multivariate beta weights were z-scored across voxels and input into a weighted support vector machine (SVM) classification, employing a radial basis function kernel and leave-one-</w:t>
      </w:r>
      <w:r w:rsidRPr="00225AB0">
        <w:rPr>
          <w:rFonts w:ascii="Arial" w:hAnsi="Arial" w:cs="Arial"/>
        </w:rPr>
        <w:lastRenderedPageBreak/>
        <w:t xml:space="preserve">out cross validation to decode attentional focus </w:t>
      </w:r>
      <w:r w:rsidRPr="00225AB0">
        <w:rPr>
          <w:rFonts w:ascii="Arial" w:hAnsi="Arial" w:cs="Arial"/>
        </w:rPr>
        <w:fldChar w:fldCharType="begin"/>
      </w:r>
      <w:r w:rsidR="005B4361">
        <w:rPr>
          <w:rFonts w:ascii="Arial" w:hAnsi="Arial" w:cs="Arial"/>
        </w:rPr>
        <w:instrText xml:space="preserve"> ADDIN ZOTERO_ITEM CSL_CITATION {"citationID":"Zd5FzS2X","properties":{"formattedCitation":"(Chang &amp; Lin, 2011)","plainCitation":"(Chang &amp; Lin, 2011)","noteIndex":0},"citationItems":[{"id":263,"uris":["http://zotero.org/groups/318634/items/ECA2ZDVD"],"uri":["http://zotero.org/groups/318634/items/ECA2ZDVD"],"itemData":{"id":263,"type":"article-journal","title":"\" LIBSVM: a library for support vector machines,\" ACM Transactions on Intelligent Systems and Technology, 2: 27: 1–27: 27, 2011","container-title":"http://www. csie. ntu. edu. tw/</w:instrText>
      </w:r>
      <w:r w:rsidR="005B4361">
        <w:rPr>
          <w:rFonts w:ascii="Cambria Math" w:hAnsi="Cambria Math" w:cs="Cambria Math"/>
        </w:rPr>
        <w:instrText>∼</w:instrText>
      </w:r>
      <w:r w:rsidR="005B4361">
        <w:rPr>
          <w:rFonts w:ascii="Arial" w:hAnsi="Arial" w:cs="Arial"/>
        </w:rPr>
        <w:instrText xml:space="preserve"> cjlin/libsvm","volume":"2","source":"Google Scholar","title-short":"\" LIBSVM","author":[{"family":"Chang","given":"Chih-Chung"},{"family":"Lin","given":"Chih-Jen"}],"issued":{"date-parts":[["2011"]]}}}],"schema":"https://github.com/citation-style-language/schema/raw/master/csl-citation.json"} </w:instrText>
      </w:r>
      <w:r w:rsidRPr="00225AB0">
        <w:rPr>
          <w:rFonts w:ascii="Arial" w:hAnsi="Arial" w:cs="Arial"/>
        </w:rPr>
        <w:fldChar w:fldCharType="separate"/>
      </w:r>
      <w:r w:rsidRPr="00225AB0">
        <w:rPr>
          <w:rFonts w:ascii="Arial" w:hAnsi="Arial" w:cs="Arial"/>
          <w:noProof/>
        </w:rPr>
        <w:t>(Chang &amp; Lin, 2011)</w:t>
      </w:r>
      <w:r w:rsidRPr="00225AB0">
        <w:rPr>
          <w:rFonts w:ascii="Arial" w:hAnsi="Arial" w:cs="Arial"/>
        </w:rPr>
        <w:fldChar w:fldCharType="end"/>
      </w:r>
      <w:r w:rsidRPr="00225AB0">
        <w:rPr>
          <w:rFonts w:ascii="Arial" w:hAnsi="Arial" w:cs="Arial"/>
        </w:rPr>
        <w:t>. We initially assess</w:t>
      </w:r>
      <w:r w:rsidR="000C5013">
        <w:rPr>
          <w:rFonts w:ascii="Arial" w:hAnsi="Arial" w:cs="Arial"/>
        </w:rPr>
        <w:t>ed</w:t>
      </w:r>
      <w:r w:rsidRPr="00225AB0">
        <w:rPr>
          <w:rFonts w:ascii="Arial" w:hAnsi="Arial" w:cs="Arial"/>
        </w:rPr>
        <w:t xml:space="preserve"> multi-class decoding accuracy</w:t>
      </w:r>
      <w:r w:rsidR="000C5013">
        <w:rPr>
          <w:rFonts w:ascii="Arial" w:hAnsi="Arial" w:cs="Arial"/>
        </w:rPr>
        <w:t xml:space="preserve"> across the attention conditions</w:t>
      </w:r>
      <w:r w:rsidRPr="00225AB0">
        <w:rPr>
          <w:rFonts w:ascii="Arial" w:hAnsi="Arial" w:cs="Arial"/>
        </w:rPr>
        <w:t xml:space="preserve">, supplying data from multiple conditions simultaneously using the ‘one-against-one’ approach </w:t>
      </w:r>
      <w:r w:rsidRPr="00225AB0">
        <w:rPr>
          <w:rFonts w:ascii="Arial" w:hAnsi="Arial" w:cs="Arial"/>
        </w:rPr>
        <w:fldChar w:fldCharType="begin"/>
      </w:r>
      <w:r w:rsidR="005B4361">
        <w:rPr>
          <w:rFonts w:ascii="Arial" w:hAnsi="Arial" w:cs="Arial"/>
        </w:rPr>
        <w:instrText xml:space="preserve"> ADDIN ZOTERO_ITEM CSL_CITATION {"citationID":"wir5aIn6","properties":{"formattedCitation":"(Knerr et al., 1990)","plainCitation":"(Knerr et al., 1990)","noteIndex":0},"citationItems":[{"id":241,"uris":["http://zotero.org/groups/318634/items/A3B3R35H"],"uri":["http://zotero.org/groups/318634/items/A3B3R35H"],"itemData":{"id":241,"type":"chapter","title":"Single-layer learning revisited: a stepwise procedure for building and training a neural network","container-title":"Neurocomputing","publisher":"Springer","page":"41–50","source":"Google Scholar","title-short":"Single-layer learning revisited","author":[{"family":"Knerr","given":"Stefan"},{"family":"Personnaz","given":"Léon"},{"family":"Dreyfus","given":"Gérard"}],"issued":{"date-parts":[["1990"]]}}}],"schema":"https://github.com/citation-style-language/schema/raw/master/csl-citation.json"} </w:instrText>
      </w:r>
      <w:r w:rsidRPr="00225AB0">
        <w:rPr>
          <w:rFonts w:ascii="Arial" w:hAnsi="Arial" w:cs="Arial"/>
        </w:rPr>
        <w:fldChar w:fldCharType="separate"/>
      </w:r>
      <w:r w:rsidR="00967B1F" w:rsidRPr="00225AB0">
        <w:rPr>
          <w:rFonts w:ascii="Arial" w:hAnsi="Arial" w:cs="Arial"/>
          <w:noProof/>
        </w:rPr>
        <w:t>(Knerr et al., 1990)</w:t>
      </w:r>
      <w:r w:rsidRPr="00225AB0">
        <w:rPr>
          <w:rFonts w:ascii="Arial" w:hAnsi="Arial" w:cs="Arial"/>
        </w:rPr>
        <w:fldChar w:fldCharType="end"/>
      </w:r>
      <w:r w:rsidRPr="00225AB0">
        <w:rPr>
          <w:rFonts w:ascii="Arial" w:hAnsi="Arial" w:cs="Arial"/>
        </w:rPr>
        <w:t>. This analysis yielded a single classification score for each participant for the 3-feature analysis. For the 3x3-feature analysis we performed a separate multi-class classification for each low-level visual feature, e.g. classifying horizontal, vertical and diagonal orientations simultaneously. One-sample Wilcoxon signed rank tests were then performed to assess if classification accuracies differed significantly from chance level performance</w:t>
      </w:r>
      <w:r w:rsidR="000C5013">
        <w:rPr>
          <w:rFonts w:ascii="Arial" w:hAnsi="Arial" w:cs="Arial"/>
        </w:rPr>
        <w:t xml:space="preserve">, which were Benjamini-Hochberg corrected across ROIs to control for false discovery rate. </w:t>
      </w:r>
    </w:p>
    <w:p w14:paraId="49517DAC" w14:textId="77777777" w:rsidR="0060072E" w:rsidRPr="00225AB0" w:rsidRDefault="0060072E" w:rsidP="0060072E">
      <w:pPr>
        <w:rPr>
          <w:rFonts w:ascii="Arial" w:hAnsi="Arial" w:cs="Arial"/>
        </w:rPr>
      </w:pPr>
    </w:p>
    <w:p w14:paraId="564F177C" w14:textId="11B001A3" w:rsidR="0060072E" w:rsidRDefault="0060072E" w:rsidP="0060072E">
      <w:pPr>
        <w:spacing w:line="480" w:lineRule="auto"/>
        <w:rPr>
          <w:rFonts w:ascii="Arial" w:hAnsi="Arial" w:cs="Arial"/>
        </w:rPr>
      </w:pPr>
      <w:r w:rsidRPr="00225AB0">
        <w:rPr>
          <w:rFonts w:ascii="Arial" w:hAnsi="Arial" w:cs="Arial"/>
        </w:rPr>
        <w:t xml:space="preserve">Following this, in order to identify the driving forces behind any differential patterns of BOLD signal modulation as a functional of attentional state, we performed pairwise classification between </w:t>
      </w:r>
      <w:r w:rsidR="000C5013">
        <w:rPr>
          <w:rFonts w:ascii="Arial" w:hAnsi="Arial" w:cs="Arial"/>
        </w:rPr>
        <w:t>comparisons of two attentional conditions in turn</w:t>
      </w:r>
      <w:r w:rsidRPr="00225AB0">
        <w:rPr>
          <w:rFonts w:ascii="Arial" w:hAnsi="Arial" w:cs="Arial"/>
        </w:rPr>
        <w:t xml:space="preserve">. For the 3-feature condition, weighted classification was performed between pairwise combinations of orientation versus colour, orientation versus shape, orientation versus faces, colour versus shape, colour versus faces and shape versus faces. For the 3x3-analysis, a weighted classification was performed for each of the three low-level stimulus conditions individually. For example, </w:t>
      </w:r>
      <w:r w:rsidR="00D44AC6">
        <w:rPr>
          <w:rFonts w:ascii="Arial" w:hAnsi="Arial" w:cs="Arial"/>
        </w:rPr>
        <w:t>in</w:t>
      </w:r>
      <w:r w:rsidRPr="00225AB0">
        <w:rPr>
          <w:rFonts w:ascii="Arial" w:hAnsi="Arial" w:cs="Arial"/>
        </w:rPr>
        <w:t xml:space="preserve"> the orientation analysis, we assessed classification accuracies between vertical versus horizontal, vertical versus diagonal and horizontal versus diagonal orientations independently.  </w:t>
      </w:r>
    </w:p>
    <w:p w14:paraId="3344CE62" w14:textId="77777777" w:rsidR="00F771D6" w:rsidRPr="00225AB0" w:rsidRDefault="00F771D6" w:rsidP="0060072E">
      <w:pPr>
        <w:spacing w:line="480" w:lineRule="auto"/>
        <w:rPr>
          <w:rFonts w:ascii="Arial" w:hAnsi="Arial" w:cs="Arial"/>
        </w:rPr>
      </w:pPr>
    </w:p>
    <w:p w14:paraId="71AE5360" w14:textId="77777777" w:rsidR="00F72546" w:rsidRDefault="00F72546" w:rsidP="001811CC">
      <w:pPr>
        <w:pStyle w:val="Heading4"/>
        <w:numPr>
          <w:ilvl w:val="3"/>
          <w:numId w:val="7"/>
        </w:numPr>
        <w:rPr>
          <w:rFonts w:ascii="Arial" w:hAnsi="Arial" w:cs="Arial"/>
          <w:color w:val="000000" w:themeColor="text1"/>
          <w:sz w:val="28"/>
          <w:szCs w:val="28"/>
        </w:rPr>
      </w:pPr>
      <w:bookmarkStart w:id="809" w:name="_Toc11930133"/>
      <w:bookmarkStart w:id="810" w:name="_Toc16075449"/>
      <w:r>
        <w:rPr>
          <w:rFonts w:ascii="Arial" w:hAnsi="Arial" w:cs="Arial"/>
          <w:color w:val="000000" w:themeColor="text1"/>
          <w:sz w:val="28"/>
          <w:szCs w:val="28"/>
        </w:rPr>
        <w:lastRenderedPageBreak/>
        <w:t>Timeseries connectivity analysis</w:t>
      </w:r>
      <w:bookmarkEnd w:id="809"/>
      <w:bookmarkEnd w:id="810"/>
    </w:p>
    <w:p w14:paraId="47C1788B" w14:textId="0DA51D3A" w:rsidR="0060072E" w:rsidRPr="00225AB0" w:rsidRDefault="0060072E" w:rsidP="0060072E">
      <w:pPr>
        <w:spacing w:line="480" w:lineRule="auto"/>
        <w:rPr>
          <w:rFonts w:ascii="Arial" w:hAnsi="Arial" w:cs="Arial"/>
        </w:rPr>
      </w:pPr>
      <w:r w:rsidRPr="00225AB0">
        <w:rPr>
          <w:rFonts w:ascii="Arial" w:hAnsi="Arial" w:cs="Arial"/>
        </w:rPr>
        <w:t xml:space="preserve">To examine featural attention-specific connectivity between ROIs, we performed the same connectivity analyses as used </w:t>
      </w:r>
      <w:r w:rsidR="00D44AC6">
        <w:rPr>
          <w:rFonts w:ascii="Arial" w:hAnsi="Arial" w:cs="Arial"/>
        </w:rPr>
        <w:t>in</w:t>
      </w:r>
      <w:r w:rsidRPr="00225AB0">
        <w:rPr>
          <w:rFonts w:ascii="Arial" w:hAnsi="Arial" w:cs="Arial"/>
        </w:rPr>
        <w:t xml:space="preserve"> Chapters 4 and 5. However,</w:t>
      </w:r>
      <w:r w:rsidR="000C5013">
        <w:rPr>
          <w:rFonts w:ascii="Arial" w:hAnsi="Arial" w:cs="Arial"/>
        </w:rPr>
        <w:t xml:space="preserve"> as </w:t>
      </w:r>
      <w:r w:rsidR="00D44AC6">
        <w:rPr>
          <w:rFonts w:ascii="Arial" w:hAnsi="Arial" w:cs="Arial"/>
        </w:rPr>
        <w:t>in</w:t>
      </w:r>
      <w:r w:rsidR="000C5013">
        <w:rPr>
          <w:rFonts w:ascii="Arial" w:hAnsi="Arial" w:cs="Arial"/>
        </w:rPr>
        <w:t xml:space="preserve"> Chapter 5,</w:t>
      </w:r>
      <w:r w:rsidRPr="00225AB0">
        <w:rPr>
          <w:rFonts w:ascii="Arial" w:hAnsi="Arial" w:cs="Arial"/>
        </w:rPr>
        <w:t xml:space="preserve"> in both the 3-feature and 3x3-feature analyses, there were not an equal number of repetitions across all attentional conditions. Therefore, we performed bootstrapping analyses to simulate data for particular conditions. We calculated the minimum and maximum number of condition repetitions (in TRs) across all attention categories. For each category, we then calculated the number of bootstrapped runs required to reach the maximum number of repetitions. For each of these required bootstrapped runs, we sampled (with replacement) half of the data across TRs for that condition and calculated the mean across those TRs to provide a simulated timeseries across all voxels for that TR. We repeated the same process across all condition repetitions for each participant to ensure every attentional condition had the same number of repetitions. The same process was performed for both the 3-feature and 3x3-feature analyses. </w:t>
      </w:r>
    </w:p>
    <w:p w14:paraId="643A5146" w14:textId="77777777" w:rsidR="0060072E" w:rsidRPr="00225AB0" w:rsidRDefault="0060072E" w:rsidP="0060072E">
      <w:pPr>
        <w:spacing w:line="480" w:lineRule="auto"/>
        <w:rPr>
          <w:rFonts w:ascii="Arial" w:hAnsi="Arial" w:cs="Arial"/>
        </w:rPr>
      </w:pPr>
    </w:p>
    <w:p w14:paraId="2C4CD009" w14:textId="125EE8AE" w:rsidR="0060072E" w:rsidRDefault="0060072E" w:rsidP="0060072E">
      <w:pPr>
        <w:spacing w:line="480" w:lineRule="auto"/>
        <w:rPr>
          <w:rFonts w:ascii="Arial" w:hAnsi="Arial" w:cs="Arial"/>
        </w:rPr>
      </w:pPr>
      <w:r w:rsidRPr="00225AB0">
        <w:rPr>
          <w:rFonts w:ascii="Arial" w:hAnsi="Arial" w:cs="Arial"/>
        </w:rPr>
        <w:t xml:space="preserve">We then employed the same connectivity analysis as used in our previous experiments. This involved extracting each participant’s multivariate timeseries data, removing noise from and averaging across all voxels </w:t>
      </w:r>
      <w:r w:rsidR="00D44AC6">
        <w:rPr>
          <w:rFonts w:ascii="Arial" w:hAnsi="Arial" w:cs="Arial"/>
        </w:rPr>
        <w:t>in</w:t>
      </w:r>
      <w:r w:rsidRPr="00225AB0">
        <w:rPr>
          <w:rFonts w:ascii="Arial" w:hAnsi="Arial" w:cs="Arial"/>
        </w:rPr>
        <w:t xml:space="preserve"> an ROI to yield a single univariate timeseries (see Chapter 4 for a detailed explanation). </w:t>
      </w:r>
    </w:p>
    <w:p w14:paraId="19D5A870" w14:textId="77777777" w:rsidR="009927A8" w:rsidRPr="00225AB0" w:rsidRDefault="009927A8" w:rsidP="0060072E">
      <w:pPr>
        <w:spacing w:line="480" w:lineRule="auto"/>
        <w:rPr>
          <w:rFonts w:ascii="Arial" w:hAnsi="Arial" w:cs="Arial"/>
        </w:rPr>
      </w:pPr>
    </w:p>
    <w:p w14:paraId="34AB88E2" w14:textId="77777777" w:rsidR="0060072E" w:rsidRPr="00225AB0" w:rsidRDefault="0060072E" w:rsidP="0060072E">
      <w:pPr>
        <w:spacing w:line="480" w:lineRule="auto"/>
        <w:rPr>
          <w:rFonts w:ascii="Arial" w:hAnsi="Arial" w:cs="Arial"/>
        </w:rPr>
      </w:pPr>
      <w:r w:rsidRPr="00225AB0">
        <w:rPr>
          <w:rFonts w:ascii="Arial" w:hAnsi="Arial" w:cs="Arial"/>
        </w:rPr>
        <w:t xml:space="preserve">Kendall’s tau correlations were then performed for all pairwise combinations of ROI (V1, V3A/B, hV4, LO-1, LO-2 and IPS0), producing a correlation matrix for each attentional condition. We then assessed the similarity of </w:t>
      </w:r>
      <w:r w:rsidRPr="00225AB0">
        <w:rPr>
          <w:rFonts w:ascii="Arial" w:hAnsi="Arial" w:cs="Arial"/>
        </w:rPr>
        <w:lastRenderedPageBreak/>
        <w:t xml:space="preserve">these patterns of connectivity across ROIs in each condition, though a one-way repeated measure ANOVA with Bonferroni-corrected post-hoc tests for the 3-feature and the </w:t>
      </w:r>
      <w:r w:rsidR="000C5013">
        <w:rPr>
          <w:rFonts w:ascii="Arial" w:hAnsi="Arial" w:cs="Arial"/>
        </w:rPr>
        <w:t>three</w:t>
      </w:r>
      <w:r w:rsidRPr="00225AB0">
        <w:rPr>
          <w:rFonts w:ascii="Arial" w:hAnsi="Arial" w:cs="Arial"/>
        </w:rPr>
        <w:t xml:space="preserve">, 3x3-feature analyses respectively. </w:t>
      </w:r>
    </w:p>
    <w:p w14:paraId="33AF28C8" w14:textId="77777777" w:rsidR="0060072E" w:rsidRPr="00225AB0" w:rsidRDefault="0060072E" w:rsidP="0060072E">
      <w:pPr>
        <w:rPr>
          <w:rFonts w:ascii="Arial" w:hAnsi="Arial" w:cs="Arial"/>
        </w:rPr>
      </w:pPr>
    </w:p>
    <w:p w14:paraId="61BC62F6" w14:textId="77777777" w:rsidR="0060072E" w:rsidRPr="00225AB0" w:rsidRDefault="0060072E" w:rsidP="0060072E">
      <w:pPr>
        <w:spacing w:line="480" w:lineRule="auto"/>
        <w:rPr>
          <w:rFonts w:ascii="Arial" w:hAnsi="Arial" w:cs="Arial"/>
        </w:rPr>
      </w:pPr>
      <w:r w:rsidRPr="00225AB0">
        <w:rPr>
          <w:rFonts w:ascii="Arial" w:hAnsi="Arial" w:cs="Arial"/>
        </w:rPr>
        <w:t xml:space="preserve">Next, we wished to investigate if particular ROIs were driving potential differences in connectivity across visual regions as a function of attentional task. For each ROI, we extracted data reflecting the correlation of that ROI with all other ROIs for each participant. From all participants, we then sampled data with replacement, with a sample reflecting a full complement of ROI-specific correlation data for each attentional condition, and we calculated the mean across these samples. To simulate noise, from those same samples, for each pairwise comparison of conditions, we switched the condition labels approximately 50% of the time, keeping ROI-ROI relationships constant. We then calculated the average across these scrambled condition-specific datasets. </w:t>
      </w:r>
    </w:p>
    <w:p w14:paraId="132D5D33" w14:textId="77777777" w:rsidR="0060072E" w:rsidRPr="00225AB0" w:rsidRDefault="0060072E" w:rsidP="0060072E">
      <w:pPr>
        <w:spacing w:line="480" w:lineRule="auto"/>
        <w:rPr>
          <w:rFonts w:ascii="Arial" w:hAnsi="Arial" w:cs="Arial"/>
        </w:rPr>
      </w:pPr>
    </w:p>
    <w:p w14:paraId="4E5D1B3C" w14:textId="77777777" w:rsidR="0060072E" w:rsidRDefault="0060072E" w:rsidP="0060072E">
      <w:pPr>
        <w:spacing w:line="480" w:lineRule="auto"/>
        <w:rPr>
          <w:rFonts w:ascii="Arial" w:hAnsi="Arial" w:cs="Arial"/>
        </w:rPr>
      </w:pPr>
      <w:r w:rsidRPr="00225AB0">
        <w:rPr>
          <w:rFonts w:ascii="Arial" w:hAnsi="Arial" w:cs="Arial"/>
        </w:rPr>
        <w:t>Following this, we calculated the root mean squared error (RMSE) distance between each pairwise combination of condition vectors for both the observed and noise data. This provided a measure of differences in connectivity associated with a particular ROI across featural attention conditions. We repeated this process across 10,000 iterations for each ROI comparison.  Across all iterations, we calculated the percentage of observed RMSEs for a pairwise comparison falling below the RMSE of a comparable simulated noise distribution. Any percentile below 5% indicated a difference in ROI-specific patterns of connectivity between two attentional modulation conditions which was significantly larger than predicted by chance (</w:t>
      </w:r>
      <w:r w:rsidRPr="00225AB0">
        <w:rPr>
          <w:rFonts w:ascii="Arial" w:hAnsi="Arial" w:cs="Arial"/>
          <w:i/>
        </w:rPr>
        <w:t>p</w:t>
      </w:r>
      <w:r w:rsidRPr="00225AB0">
        <w:rPr>
          <w:rFonts w:ascii="Arial" w:hAnsi="Arial" w:cs="Arial"/>
        </w:rPr>
        <w:t xml:space="preserve"> &lt;.05). </w:t>
      </w:r>
    </w:p>
    <w:p w14:paraId="64EA9EFE" w14:textId="77777777" w:rsidR="009927A8" w:rsidRPr="00225AB0" w:rsidRDefault="009927A8" w:rsidP="0060072E">
      <w:pPr>
        <w:spacing w:line="480" w:lineRule="auto"/>
        <w:rPr>
          <w:rFonts w:ascii="Arial" w:hAnsi="Arial" w:cs="Arial"/>
        </w:rPr>
      </w:pPr>
    </w:p>
    <w:p w14:paraId="17E25A15" w14:textId="77777777" w:rsidR="0060072E" w:rsidRDefault="0060072E" w:rsidP="001811CC">
      <w:pPr>
        <w:pStyle w:val="Heading2"/>
        <w:numPr>
          <w:ilvl w:val="1"/>
          <w:numId w:val="7"/>
        </w:numPr>
        <w:rPr>
          <w:rFonts w:ascii="Arial" w:hAnsi="Arial" w:cs="Arial"/>
          <w:b/>
          <w:color w:val="000000" w:themeColor="text1"/>
          <w:sz w:val="28"/>
          <w:szCs w:val="28"/>
        </w:rPr>
      </w:pPr>
      <w:bookmarkStart w:id="811" w:name="_Toc11148050"/>
      <w:bookmarkStart w:id="812" w:name="_Toc11154000"/>
      <w:bookmarkStart w:id="813" w:name="_Toc11753682"/>
      <w:bookmarkStart w:id="814" w:name="_Toc11926868"/>
      <w:bookmarkStart w:id="815" w:name="_Toc11930134"/>
      <w:bookmarkStart w:id="816" w:name="_Toc16075450"/>
      <w:bookmarkStart w:id="817" w:name="_Toc16237040"/>
      <w:r w:rsidRPr="00F771D6">
        <w:rPr>
          <w:rFonts w:ascii="Arial" w:hAnsi="Arial" w:cs="Arial"/>
          <w:b/>
          <w:color w:val="000000" w:themeColor="text1"/>
          <w:sz w:val="28"/>
          <w:szCs w:val="28"/>
        </w:rPr>
        <w:t>Results</w:t>
      </w:r>
      <w:bookmarkEnd w:id="811"/>
      <w:bookmarkEnd w:id="812"/>
      <w:bookmarkEnd w:id="813"/>
      <w:bookmarkEnd w:id="814"/>
      <w:bookmarkEnd w:id="815"/>
      <w:bookmarkEnd w:id="816"/>
      <w:bookmarkEnd w:id="817"/>
    </w:p>
    <w:p w14:paraId="61A68901" w14:textId="77777777" w:rsidR="00F771D6" w:rsidRPr="00F771D6" w:rsidRDefault="00F771D6" w:rsidP="00F771D6">
      <w:pPr>
        <w:pStyle w:val="ListParagraph"/>
      </w:pPr>
    </w:p>
    <w:p w14:paraId="4CE2E01A" w14:textId="77777777" w:rsidR="0060072E" w:rsidRDefault="0060072E" w:rsidP="001811CC">
      <w:pPr>
        <w:pStyle w:val="Heading3"/>
        <w:numPr>
          <w:ilvl w:val="2"/>
          <w:numId w:val="7"/>
        </w:numPr>
        <w:rPr>
          <w:rFonts w:ascii="Arial" w:hAnsi="Arial" w:cs="Arial"/>
          <w:b/>
          <w:i/>
          <w:color w:val="000000" w:themeColor="text1"/>
          <w:sz w:val="28"/>
          <w:szCs w:val="28"/>
        </w:rPr>
      </w:pPr>
      <w:bookmarkStart w:id="818" w:name="_Toc11148051"/>
      <w:bookmarkStart w:id="819" w:name="_Toc11154001"/>
      <w:bookmarkStart w:id="820" w:name="_Toc11753683"/>
      <w:bookmarkStart w:id="821" w:name="_Toc11926869"/>
      <w:bookmarkStart w:id="822" w:name="_Toc11930135"/>
      <w:bookmarkStart w:id="823" w:name="_Toc16075451"/>
      <w:bookmarkStart w:id="824" w:name="_Toc16237041"/>
      <w:r w:rsidRPr="00F771D6">
        <w:rPr>
          <w:rFonts w:ascii="Arial" w:hAnsi="Arial" w:cs="Arial"/>
          <w:b/>
          <w:i/>
          <w:color w:val="000000" w:themeColor="text1"/>
          <w:sz w:val="28"/>
          <w:szCs w:val="28"/>
        </w:rPr>
        <w:t>Univariate- 3 feature attentional modulation</w:t>
      </w:r>
      <w:bookmarkEnd w:id="818"/>
      <w:bookmarkEnd w:id="819"/>
      <w:bookmarkEnd w:id="820"/>
      <w:bookmarkEnd w:id="821"/>
      <w:bookmarkEnd w:id="822"/>
      <w:bookmarkEnd w:id="823"/>
      <w:bookmarkEnd w:id="824"/>
    </w:p>
    <w:p w14:paraId="36BC1F23" w14:textId="77777777" w:rsidR="00F771D6" w:rsidRPr="00F771D6" w:rsidRDefault="00F771D6" w:rsidP="00F771D6">
      <w:pPr>
        <w:pStyle w:val="ListParagraph"/>
      </w:pPr>
    </w:p>
    <w:p w14:paraId="6A034573" w14:textId="3A10E303" w:rsidR="0060072E" w:rsidRPr="00225AB0" w:rsidRDefault="009F1EEB" w:rsidP="0060072E">
      <w:pPr>
        <w:spacing w:line="480" w:lineRule="auto"/>
        <w:rPr>
          <w:rFonts w:ascii="Arial" w:hAnsi="Arial" w:cs="Arial"/>
        </w:rPr>
      </w:pPr>
      <w:r>
        <w:rPr>
          <w:rFonts w:ascii="Arial" w:hAnsi="Arial" w:cs="Arial"/>
        </w:rPr>
        <w:t>W</w:t>
      </w:r>
      <w:r w:rsidR="0060072E" w:rsidRPr="00225AB0">
        <w:rPr>
          <w:rFonts w:ascii="Arial" w:hAnsi="Arial" w:cs="Arial"/>
        </w:rPr>
        <w:t xml:space="preserve">e wished to examine changes in BOLD signal modulation as a function of attentional focus directed toward orientation, colour, shape or face attributes </w:t>
      </w:r>
      <w:r w:rsidR="00D44AC6">
        <w:rPr>
          <w:rFonts w:ascii="Arial" w:hAnsi="Arial" w:cs="Arial"/>
        </w:rPr>
        <w:t>in</w:t>
      </w:r>
      <w:r w:rsidR="0060072E" w:rsidRPr="00225AB0">
        <w:rPr>
          <w:rFonts w:ascii="Arial" w:hAnsi="Arial" w:cs="Arial"/>
        </w:rPr>
        <w:t xml:space="preserve"> a complex, dynamic visual stimulus. Previous research suggests some visual regions</w:t>
      </w:r>
      <w:r w:rsidR="000C5013">
        <w:rPr>
          <w:rFonts w:ascii="Arial" w:hAnsi="Arial" w:cs="Arial"/>
        </w:rPr>
        <w:t xml:space="preserve"> (particularly the FFA, OFA and STS)</w:t>
      </w:r>
      <w:r w:rsidR="0060072E" w:rsidRPr="00225AB0">
        <w:rPr>
          <w:rFonts w:ascii="Arial" w:hAnsi="Arial" w:cs="Arial"/>
        </w:rPr>
        <w:t xml:space="preserve"> </w:t>
      </w:r>
      <w:r w:rsidR="000C5013">
        <w:rPr>
          <w:rFonts w:ascii="Arial" w:hAnsi="Arial" w:cs="Arial"/>
        </w:rPr>
        <w:t>possess</w:t>
      </w:r>
      <w:r w:rsidR="0060072E" w:rsidRPr="00225AB0">
        <w:rPr>
          <w:rFonts w:ascii="Arial" w:hAnsi="Arial" w:cs="Arial"/>
        </w:rPr>
        <w:t xml:space="preserve"> particular preferences for a </w:t>
      </w:r>
      <w:r w:rsidR="005E4376">
        <w:rPr>
          <w:rFonts w:ascii="Arial" w:hAnsi="Arial" w:cs="Arial"/>
        </w:rPr>
        <w:t>single</w:t>
      </w:r>
      <w:r w:rsidR="0060072E" w:rsidRPr="00225AB0">
        <w:rPr>
          <w:rFonts w:ascii="Arial" w:hAnsi="Arial" w:cs="Arial"/>
        </w:rPr>
        <w:t xml:space="preserve"> visual feature, and as such we predicted we may see significant differences in fMRI activity for these particular features </w:t>
      </w:r>
      <w:r w:rsidR="00D44AC6">
        <w:rPr>
          <w:rFonts w:ascii="Arial" w:hAnsi="Arial" w:cs="Arial"/>
        </w:rPr>
        <w:t>in</w:t>
      </w:r>
      <w:r w:rsidR="0060072E" w:rsidRPr="00225AB0">
        <w:rPr>
          <w:rFonts w:ascii="Arial" w:hAnsi="Arial" w:cs="Arial"/>
        </w:rPr>
        <w:t xml:space="preserve"> those ROIs </w:t>
      </w:r>
      <w:r w:rsidR="0060072E" w:rsidRPr="00225AB0">
        <w:rPr>
          <w:rFonts w:ascii="Arial" w:hAnsi="Arial" w:cs="Arial"/>
        </w:rPr>
        <w:fldChar w:fldCharType="begin"/>
      </w:r>
      <w:r w:rsidR="005B4361">
        <w:rPr>
          <w:rFonts w:ascii="Arial" w:hAnsi="Arial" w:cs="Arial"/>
        </w:rPr>
        <w:instrText xml:space="preserve"> ADDIN ZOTERO_ITEM CSL_CITATION {"citationID":"uWQZg6kT","properties":{"formattedCitation":"(Allison et al., 2000; Gauthier et al., 2000; N. Kanwisher et al., 1997; Silson et al., 2013)","plainCitation":"(Allison et al., 2000; Gauthier et al., 2000; N. Kanwisher et al., 1997; Silson et al., 2013)","dontUpdate":true,"noteIndex":0},"citationItems":[{"id":27,"uris":["http://zotero.org/groups/318634/items/EEN7GFLU"],"uri":["http://zotero.org/groups/318634/items/EEN7GFLU"],"itemData":{"id":27,"type":"article-journal","title":"Social perception from visual cues: role of the STS region","container-title":"Trends in Cognitive Sciences","page":"267-278","volume":"4","issue":"7","source":"PubMed","abstract":"Social perception refers to initial stages in the processing of information that culminates in the accurate analysis of the dispositions and intentions of other individuals. Single-cell recordings in monkeys, and neurophysiological and neuroimaging studies in humans, reveal that cerebral cortex in and near the superior temporal sulcus (STS) region is an important component of this perceptual system. In monkeys and humans, the STS region is activated by movements of the eyes, mouth, hands and body, suggesting that it is involved in analysis of biological motion. However, it is also activated by static images of the face and body, suggesting that it is sensitive to implied motion and more generally to stimuli that signal the actions of another individual. Subsequent analysis of socially relevant stimuli is carried out in the amygdala and orbitofrontal cortex, which supports a three-structure model proposed by Brothers. The homology of human and monkey areas involved in social perception, and the functional interrelationships between the STS region and the ventral face area, are unresolved issues.","ISSN":"1879-307X","note":"PMID: 10859571","title-short":"Social perception from visual cues","journalAbbreviation":"Trends Cogn. Sci. (Regul. Ed.)","language":"eng","author":[{"family":"Allison","given":"null"},{"family":"Puce","given":"null"},{"family":"McCarthy","given":"null"}],"issued":{"date-parts":[["2000",7]]}}},{"id":32,"uris":["http://zotero.org/groups/318634/items/7IQ5I4DZ"],"uri":["http://zotero.org/groups/318634/items/7IQ5I4DZ"],"itemData":{"id":32,"type":"article-journal","title":"The fusiform \"face area\" is part of a network that processes faces at the individual level","container-title":"Journal of Cognitive Neuroscience","page":"495-504","volume":"12","issue":"3","source":"PubMed","abstract":"According to modular models of cortical organization, many areas of the extrastriate cortex are dedicated to object categories. These models often assume an early processing stage for the detection of category membership. Can functional imaging isolate areas responsible for detection of members of a category, such as faces or letters? We consider whether responses in three different areas (two selective for faces and one selective for letters) support category detection. Activity in these areas habituates to the repeated presentation of one exemplar more than to the presentation of different exemplars of the same category, but only for the category for which the area is selective. Thus, these areas appear to play computational roles more complex than detection, processing stimuli at the individual level. Drawing from prior work, we suggest that face-selective areas may be involved in the perception of faces at the individual level, whereas letter-selective regions may be tuning themselves to font information in order to recognize letters more efficiently.","ISSN":"0898-929X","note":"PMID: 10931774","journalAbbreviation":"J Cogn Neurosci","language":"eng","author":[{"family":"Gauthier","given":"I."},{"family":"Tarr","given":"M. J."},{"family":"Moylan","given":"J."},{"family":"Skudlarski","given":"P."},{"family":"Gore","given":"J. C."},{"family":"Anderson","given":"A. W."}],"issued":{"date-parts":[["2000",5]]}}},{"id":37,"uris":["http://zotero.org/groups/318634/items/M27FKGX4"],"uri":["http://zotero.org/groups/318634/items/M27FKGX4"],"itemData":{"id":37,"type":"article-journal","title":"The fusiform face area: a module in human extrastriate cortex specialized for face perception","container-title":"The Journal of Neuroscience: The Official Journal of the Society for Neuroscience","page":"4302-4311","volume":"17","issue":"11","source":"PubMed","abstract":"Using functional magnetic resonance imaging (fMRI), we found an area in the fusiform gyrus in 12 of the 15 subjects tested that was significantly more active when the subjects viewed faces than when they viewed assorted common objects. This face activation was used to define a specific region of interest individually for each subject, within which several new tests of face specificity were run. In each of five subjects tested, the predefined candidate \"face area\" also responded significantly more strongly to passive viewing of (1) intact than scrambled two-tone faces, (2) full front-view face photos than front-view photos of houses, and (in a different set of five subjects) (3) three-quarter-view face photos (with hair concealed) than photos of human hands; it also responded more strongly during (4) a consecutive matching task performed on three-quarter-view faces versus hands. Our technique of running multiple tests applied to the same region defined functionally within individual subjects provides a solution to two common problems in functional imaging: (1) the requirement to correct for multiple statistical comparisons and (2) the inevitable ambiguity in the interpretation of any study in which only two or three conditions are compared. Our data allow us to reject alternative accounts of the function of the fusiform face area (area \"FF\") that appeal to visual attention, subordinate-level classification, or general processing of any animate or human forms, demonstrating that this region is selectively involved in the perception of faces.","ISSN":"0270-6474","note":"PMID: 9151747","title-short":"The fusiform face area","journalAbbreviation":"J. Neurosci.","language":"eng","author":[{"family":"Kanwisher","given":"N."},{"family":"McDermott","given":"J."},{"family":"Chun","given":"M. M."}],"issued":{"date-parts":[["1997",6,1]]}}},{"id":229,"uris":["http://zotero.org/groups/318634/items/W2MJSXD2"],"uri":["http://zotero.org/groups/318634/items/W2MJSXD2"],"itemData":{"id":229,"type":"article-journal","title":"Specialized and independent processing of orientation and shape in visual field maps LO1 and LO2","container-title":"Nature Neuroscience","page":"267","volume":"16","issue":"3","source":"Google Scholar","author":[{"family":"Silson","given":"Edward H."},{"family":"McKeefry","given":"Declan J."},{"family":"Rodgers","given":"Jessica"},{"family":"Gouws","given":"Andre D."},{"family":"Hymers","given":"Mark"},{"family":"Morland","given":"Antony B."}],"issued":{"date-parts":[["2013"]]}}}],"schema":"https://github.com/citation-style-language/schema/raw/master/csl-citation.json"} </w:instrText>
      </w:r>
      <w:r w:rsidR="0060072E" w:rsidRPr="00225AB0">
        <w:rPr>
          <w:rFonts w:ascii="Arial" w:hAnsi="Arial" w:cs="Arial"/>
        </w:rPr>
        <w:fldChar w:fldCharType="separate"/>
      </w:r>
      <w:r w:rsidR="0060072E" w:rsidRPr="00225AB0">
        <w:rPr>
          <w:rFonts w:ascii="Arial" w:hAnsi="Arial" w:cs="Arial"/>
          <w:noProof/>
        </w:rPr>
        <w:t>(e.g. Allison et al., 2000; Gauthier et al., 2000; Kanwisher et al., 1997; Silson et al., 2013)</w:t>
      </w:r>
      <w:r w:rsidR="0060072E" w:rsidRPr="00225AB0">
        <w:rPr>
          <w:rFonts w:ascii="Arial" w:hAnsi="Arial" w:cs="Arial"/>
        </w:rPr>
        <w:fldChar w:fldCharType="end"/>
      </w:r>
      <w:r w:rsidR="0060072E" w:rsidRPr="00225AB0">
        <w:rPr>
          <w:rFonts w:ascii="Arial" w:hAnsi="Arial" w:cs="Arial"/>
        </w:rPr>
        <w:t xml:space="preserve">. </w:t>
      </w:r>
    </w:p>
    <w:p w14:paraId="1A8C2E69" w14:textId="77777777" w:rsidR="0060072E" w:rsidRPr="00225AB0" w:rsidRDefault="0060072E" w:rsidP="0060072E">
      <w:pPr>
        <w:spacing w:line="480" w:lineRule="auto"/>
        <w:rPr>
          <w:rFonts w:ascii="Arial" w:hAnsi="Arial" w:cs="Arial"/>
        </w:rPr>
      </w:pPr>
    </w:p>
    <w:p w14:paraId="0EDD3FA0" w14:textId="77777777" w:rsidR="0060072E" w:rsidRPr="00225AB0" w:rsidRDefault="0060072E" w:rsidP="0060072E">
      <w:pPr>
        <w:spacing w:line="480" w:lineRule="auto"/>
        <w:rPr>
          <w:rFonts w:ascii="Arial" w:hAnsi="Arial" w:cs="Arial"/>
        </w:rPr>
      </w:pPr>
      <w:r w:rsidRPr="00225AB0">
        <w:rPr>
          <w:rFonts w:ascii="Arial" w:hAnsi="Arial" w:cs="Arial"/>
        </w:rPr>
        <w:t xml:space="preserve">We first sought to identify evidence of attentional modulation with this uncontrolled, naturalistic stimulus. We calculated an average beta value for each participant across the four attentional conditions (orientation, colour, shape and faces) and performed multiple Wilcoxon signed-rank tests to assess if the average level of attentional modulation was significantly different from zero, for all ROIs examined. The resulting significance values were Benjamini-Hochberg corrected across ROIs to control for the increased risk of a false positive error.  In almost all visual ROIs examined, average attentional modulation of the BOLD signal was significantly greater than zero (V1: W(11) = 3.06, </w:t>
      </w:r>
      <w:r w:rsidRPr="00225AB0">
        <w:rPr>
          <w:rFonts w:ascii="Arial" w:hAnsi="Arial" w:cs="Arial"/>
          <w:i/>
        </w:rPr>
        <w:t>p</w:t>
      </w:r>
      <w:r w:rsidRPr="00225AB0">
        <w:rPr>
          <w:rFonts w:ascii="Arial" w:hAnsi="Arial" w:cs="Arial"/>
        </w:rPr>
        <w:t xml:space="preserve"> = .004, V3A/B: W(11) = 3.06, </w:t>
      </w:r>
      <w:r w:rsidRPr="00225AB0">
        <w:rPr>
          <w:rFonts w:ascii="Arial" w:hAnsi="Arial" w:cs="Arial"/>
          <w:i/>
        </w:rPr>
        <w:t>p</w:t>
      </w:r>
      <w:r w:rsidRPr="00225AB0">
        <w:rPr>
          <w:rFonts w:ascii="Arial" w:hAnsi="Arial" w:cs="Arial"/>
        </w:rPr>
        <w:t xml:space="preserve"> = .004, hV4: W(11) = 3.06, </w:t>
      </w:r>
      <w:r w:rsidRPr="00225AB0">
        <w:rPr>
          <w:rFonts w:ascii="Arial" w:hAnsi="Arial" w:cs="Arial"/>
          <w:i/>
        </w:rPr>
        <w:t>p</w:t>
      </w:r>
      <w:r w:rsidRPr="00225AB0">
        <w:rPr>
          <w:rFonts w:ascii="Arial" w:hAnsi="Arial" w:cs="Arial"/>
        </w:rPr>
        <w:t xml:space="preserve"> = .004, LO-1: W(11) = 2.98, </w:t>
      </w:r>
      <w:r w:rsidRPr="00225AB0">
        <w:rPr>
          <w:rFonts w:ascii="Arial" w:hAnsi="Arial" w:cs="Arial"/>
          <w:i/>
        </w:rPr>
        <w:t>p</w:t>
      </w:r>
      <w:r w:rsidRPr="00225AB0">
        <w:rPr>
          <w:rFonts w:ascii="Arial" w:hAnsi="Arial" w:cs="Arial"/>
        </w:rPr>
        <w:t xml:space="preserve"> = .004, LO-2: W(11) = 3.06, </w:t>
      </w:r>
      <w:r w:rsidRPr="00225AB0">
        <w:rPr>
          <w:rFonts w:ascii="Arial" w:hAnsi="Arial" w:cs="Arial"/>
          <w:i/>
        </w:rPr>
        <w:t>p</w:t>
      </w:r>
      <w:r w:rsidRPr="00225AB0">
        <w:rPr>
          <w:rFonts w:ascii="Arial" w:hAnsi="Arial" w:cs="Arial"/>
        </w:rPr>
        <w:t xml:space="preserve"> = .004, OFA: W(11) = 2.90, </w:t>
      </w:r>
      <w:r w:rsidRPr="00225AB0">
        <w:rPr>
          <w:rFonts w:ascii="Arial" w:hAnsi="Arial" w:cs="Arial"/>
          <w:i/>
        </w:rPr>
        <w:t>p</w:t>
      </w:r>
      <w:r w:rsidRPr="00225AB0">
        <w:rPr>
          <w:rFonts w:ascii="Arial" w:hAnsi="Arial" w:cs="Arial"/>
        </w:rPr>
        <w:t xml:space="preserve"> = .005). In our control auditory cortex ROI (A1), average attentional modulation was significantly below zero (</w:t>
      </w:r>
      <w:proofErr w:type="gramStart"/>
      <w:r w:rsidRPr="00225AB0">
        <w:rPr>
          <w:rFonts w:ascii="Arial" w:hAnsi="Arial" w:cs="Arial"/>
        </w:rPr>
        <w:t>W(</w:t>
      </w:r>
      <w:proofErr w:type="gramEnd"/>
      <w:r w:rsidRPr="00225AB0">
        <w:rPr>
          <w:rFonts w:ascii="Arial" w:hAnsi="Arial" w:cs="Arial"/>
        </w:rPr>
        <w:t xml:space="preserve">11) = -2.98, </w:t>
      </w:r>
      <w:r w:rsidRPr="00225AB0">
        <w:rPr>
          <w:rFonts w:ascii="Arial" w:hAnsi="Arial" w:cs="Arial"/>
          <w:i/>
        </w:rPr>
        <w:lastRenderedPageBreak/>
        <w:t>p</w:t>
      </w:r>
      <w:r w:rsidRPr="00225AB0">
        <w:rPr>
          <w:rFonts w:ascii="Arial" w:hAnsi="Arial" w:cs="Arial"/>
        </w:rPr>
        <w:t xml:space="preserve"> = .043). In both the FFA and STS, averaged attentional modulation of the BOLD signal was not significantly different from zero (</w:t>
      </w:r>
      <w:r w:rsidRPr="00225AB0">
        <w:rPr>
          <w:rFonts w:ascii="Arial" w:hAnsi="Arial" w:cs="Arial"/>
          <w:i/>
        </w:rPr>
        <w:t>p</w:t>
      </w:r>
      <w:r w:rsidRPr="00225AB0">
        <w:rPr>
          <w:rFonts w:ascii="Arial" w:hAnsi="Arial" w:cs="Arial"/>
        </w:rPr>
        <w:t xml:space="preserve"> &gt; .05). </w:t>
      </w:r>
    </w:p>
    <w:p w14:paraId="58DE898E" w14:textId="77777777" w:rsidR="0060072E" w:rsidRPr="00225AB0" w:rsidRDefault="0060072E" w:rsidP="0060072E">
      <w:pPr>
        <w:spacing w:line="480" w:lineRule="auto"/>
        <w:rPr>
          <w:rFonts w:ascii="Arial" w:hAnsi="Arial" w:cs="Arial"/>
        </w:rPr>
      </w:pPr>
    </w:p>
    <w:p w14:paraId="6C5001C5" w14:textId="4A0CF5E3" w:rsidR="0060072E" w:rsidRPr="00225AB0" w:rsidRDefault="00F05C62" w:rsidP="0060072E">
      <w:pPr>
        <w:spacing w:line="480" w:lineRule="auto"/>
        <w:rPr>
          <w:rFonts w:ascii="Arial" w:hAnsi="Arial" w:cs="Arial"/>
        </w:rPr>
      </w:pPr>
      <w:r>
        <w:rPr>
          <w:rFonts w:ascii="Arial" w:hAnsi="Arial" w:cs="Arial"/>
        </w:rPr>
        <w:t>We then performed m</w:t>
      </w:r>
      <w:r w:rsidR="0060072E" w:rsidRPr="00225AB0">
        <w:rPr>
          <w:rFonts w:ascii="Arial" w:hAnsi="Arial" w:cs="Arial"/>
        </w:rPr>
        <w:t>ultiple one-way repeated measures ANOVAs, Benjamini-Hochberg corrected for the number of ROIs, with Bonferroni-corrected post-hoc tests</w:t>
      </w:r>
      <w:r>
        <w:rPr>
          <w:rFonts w:ascii="Arial" w:hAnsi="Arial" w:cs="Arial"/>
        </w:rPr>
        <w:t xml:space="preserve"> to assess differences in BOLD signal modulation during attention to orientation, colour, shape or faces </w:t>
      </w:r>
      <w:r w:rsidR="00D44AC6">
        <w:rPr>
          <w:rFonts w:ascii="Arial" w:hAnsi="Arial" w:cs="Arial"/>
        </w:rPr>
        <w:t>in</w:t>
      </w:r>
      <w:r>
        <w:rPr>
          <w:rFonts w:ascii="Arial" w:hAnsi="Arial" w:cs="Arial"/>
        </w:rPr>
        <w:t xml:space="preserve"> our naturalistic stimulus</w:t>
      </w:r>
      <w:r w:rsidR="0060072E" w:rsidRPr="00225AB0">
        <w:rPr>
          <w:rFonts w:ascii="Arial" w:hAnsi="Arial" w:cs="Arial"/>
        </w:rPr>
        <w:t>. Across almost all visual ROIs examined we see no significant difference in BOLD signal modulation between attention to orientation, colour and shape (</w:t>
      </w:r>
      <w:r w:rsidR="0060072E" w:rsidRPr="00225AB0">
        <w:rPr>
          <w:rFonts w:ascii="Arial" w:hAnsi="Arial" w:cs="Arial"/>
          <w:i/>
        </w:rPr>
        <w:t>p</w:t>
      </w:r>
      <w:r w:rsidR="0060072E" w:rsidRPr="00225AB0">
        <w:rPr>
          <w:rFonts w:ascii="Arial" w:hAnsi="Arial" w:cs="Arial"/>
        </w:rPr>
        <w:t xml:space="preserve"> &gt; .05) (see Figure.2A). In V3A/B, we identify significantly greater signal modulation during attention to orientation than to colour or shape respectively (</w:t>
      </w:r>
      <w:proofErr w:type="gramStart"/>
      <w:r w:rsidR="0060072E" w:rsidRPr="00225AB0">
        <w:rPr>
          <w:rFonts w:ascii="Arial" w:hAnsi="Arial" w:cs="Arial"/>
        </w:rPr>
        <w:t>F(</w:t>
      </w:r>
      <w:proofErr w:type="gramEnd"/>
      <w:r w:rsidR="0060072E" w:rsidRPr="00225AB0">
        <w:rPr>
          <w:rFonts w:ascii="Arial" w:hAnsi="Arial" w:cs="Arial"/>
        </w:rPr>
        <w:t xml:space="preserve">3,33) = 52.24, </w:t>
      </w:r>
      <w:r w:rsidR="0060072E" w:rsidRPr="00225AB0">
        <w:rPr>
          <w:rFonts w:ascii="Arial" w:hAnsi="Arial" w:cs="Arial"/>
          <w:i/>
        </w:rPr>
        <w:t xml:space="preserve">p </w:t>
      </w:r>
      <w:r w:rsidR="0060072E" w:rsidRPr="00225AB0">
        <w:rPr>
          <w:rFonts w:ascii="Arial" w:hAnsi="Arial" w:cs="Arial"/>
        </w:rPr>
        <w:t xml:space="preserve">&lt;.001, post-hoc </w:t>
      </w:r>
      <w:r w:rsidR="0060072E" w:rsidRPr="00225AB0">
        <w:rPr>
          <w:rFonts w:ascii="Arial" w:hAnsi="Arial" w:cs="Arial"/>
          <w:i/>
        </w:rPr>
        <w:t>p</w:t>
      </w:r>
      <w:r w:rsidR="0060072E" w:rsidRPr="00225AB0">
        <w:rPr>
          <w:rFonts w:ascii="Arial" w:hAnsi="Arial" w:cs="Arial"/>
        </w:rPr>
        <w:t xml:space="preserve"> = .005, </w:t>
      </w:r>
      <w:r w:rsidR="0060072E" w:rsidRPr="00225AB0">
        <w:rPr>
          <w:rFonts w:ascii="Arial" w:hAnsi="Arial" w:cs="Arial"/>
          <w:i/>
        </w:rPr>
        <w:t>p</w:t>
      </w:r>
      <w:r w:rsidR="0060072E" w:rsidRPr="00225AB0">
        <w:rPr>
          <w:rFonts w:ascii="Arial" w:hAnsi="Arial" w:cs="Arial"/>
        </w:rPr>
        <w:t xml:space="preserve"> = .047 respectively). </w:t>
      </w:r>
      <w:r w:rsidR="00D44AC6">
        <w:rPr>
          <w:rFonts w:ascii="Arial" w:hAnsi="Arial" w:cs="Arial"/>
        </w:rPr>
        <w:t>In</w:t>
      </w:r>
      <w:r w:rsidR="0060072E" w:rsidRPr="00225AB0">
        <w:rPr>
          <w:rFonts w:ascii="Arial" w:hAnsi="Arial" w:cs="Arial"/>
        </w:rPr>
        <w:t xml:space="preserve"> LO-2, we identify significantly increased BOLD signal modulation during attention to shape than colour (</w:t>
      </w:r>
      <w:proofErr w:type="gramStart"/>
      <w:r w:rsidR="0060072E" w:rsidRPr="00225AB0">
        <w:rPr>
          <w:rFonts w:ascii="Arial" w:hAnsi="Arial" w:cs="Arial"/>
        </w:rPr>
        <w:t>F(</w:t>
      </w:r>
      <w:proofErr w:type="gramEnd"/>
      <w:r w:rsidR="0060072E" w:rsidRPr="00225AB0">
        <w:rPr>
          <w:rFonts w:ascii="Arial" w:hAnsi="Arial" w:cs="Arial"/>
        </w:rPr>
        <w:t xml:space="preserve">3,33) = 19.07, </w:t>
      </w:r>
      <w:r w:rsidR="0060072E" w:rsidRPr="00225AB0">
        <w:rPr>
          <w:rFonts w:ascii="Arial" w:hAnsi="Arial" w:cs="Arial"/>
          <w:i/>
        </w:rPr>
        <w:t>p</w:t>
      </w:r>
      <w:r w:rsidR="0060072E" w:rsidRPr="00225AB0">
        <w:rPr>
          <w:rFonts w:ascii="Arial" w:hAnsi="Arial" w:cs="Arial"/>
        </w:rPr>
        <w:t xml:space="preserve"> &lt;.001, post-hoc </w:t>
      </w:r>
      <w:r w:rsidR="0060072E" w:rsidRPr="00225AB0">
        <w:rPr>
          <w:rFonts w:ascii="Arial" w:hAnsi="Arial" w:cs="Arial"/>
          <w:i/>
        </w:rPr>
        <w:t>p</w:t>
      </w:r>
      <w:r w:rsidR="0060072E" w:rsidRPr="00225AB0">
        <w:rPr>
          <w:rFonts w:ascii="Arial" w:hAnsi="Arial" w:cs="Arial"/>
        </w:rPr>
        <w:t xml:space="preserve"> = .003). In regions V1, LO-1, FFA, OFA, STS and A1, we identify no significant differences in patterns of BOLD modulation across attentional states (</w:t>
      </w:r>
      <w:r w:rsidR="0060072E" w:rsidRPr="00225AB0">
        <w:rPr>
          <w:rFonts w:ascii="Arial" w:hAnsi="Arial" w:cs="Arial"/>
          <w:i/>
        </w:rPr>
        <w:t>p</w:t>
      </w:r>
      <w:r w:rsidR="0060072E" w:rsidRPr="00225AB0">
        <w:rPr>
          <w:rFonts w:ascii="Arial" w:hAnsi="Arial" w:cs="Arial"/>
        </w:rPr>
        <w:t xml:space="preserve"> &gt; .05). </w:t>
      </w:r>
    </w:p>
    <w:p w14:paraId="5460E611" w14:textId="77777777" w:rsidR="0060072E" w:rsidRPr="00225AB0" w:rsidRDefault="0060072E" w:rsidP="0060072E">
      <w:pPr>
        <w:spacing w:line="480" w:lineRule="auto"/>
        <w:rPr>
          <w:rFonts w:ascii="Arial" w:hAnsi="Arial" w:cs="Arial"/>
        </w:rPr>
      </w:pPr>
    </w:p>
    <w:p w14:paraId="2466EBA0" w14:textId="6E41F09C" w:rsidR="009927A8" w:rsidRPr="009927A8" w:rsidRDefault="0060072E" w:rsidP="009927A8">
      <w:pPr>
        <w:spacing w:line="480" w:lineRule="auto"/>
        <w:rPr>
          <w:rFonts w:ascii="Arial" w:hAnsi="Arial" w:cs="Arial"/>
        </w:rPr>
      </w:pPr>
      <w:r w:rsidRPr="00225AB0">
        <w:rPr>
          <w:rFonts w:ascii="Arial" w:hAnsi="Arial" w:cs="Arial"/>
        </w:rPr>
        <w:t>Despite, detecting relatively little evidence of univariate BOLD signal</w:t>
      </w:r>
      <w:r w:rsidR="00F05C62">
        <w:rPr>
          <w:rFonts w:ascii="Arial" w:hAnsi="Arial" w:cs="Arial"/>
        </w:rPr>
        <w:t xml:space="preserve"> c</w:t>
      </w:r>
      <w:r w:rsidRPr="00225AB0">
        <w:rPr>
          <w:rFonts w:ascii="Arial" w:hAnsi="Arial" w:cs="Arial"/>
        </w:rPr>
        <w:t xml:space="preserve">hanges across our three low-level visual feature attention conditions, in V3A/B, hV4, and LO-2, we identify significantly reduced BOLD signal modulation during attention to faces than to any other visual feature (V3A/B; versus orientation, </w:t>
      </w:r>
      <w:r w:rsidRPr="00225AB0">
        <w:rPr>
          <w:rFonts w:ascii="Arial" w:hAnsi="Arial" w:cs="Arial"/>
          <w:i/>
        </w:rPr>
        <w:t>p</w:t>
      </w:r>
      <w:r w:rsidRPr="00225AB0">
        <w:rPr>
          <w:rFonts w:ascii="Arial" w:hAnsi="Arial" w:cs="Arial"/>
        </w:rPr>
        <w:t xml:space="preserve"> &lt;.001, versus colour, </w:t>
      </w:r>
      <w:r w:rsidRPr="00225AB0">
        <w:rPr>
          <w:rFonts w:ascii="Arial" w:hAnsi="Arial" w:cs="Arial"/>
          <w:i/>
        </w:rPr>
        <w:t>p</w:t>
      </w:r>
      <w:r w:rsidRPr="00225AB0">
        <w:rPr>
          <w:rFonts w:ascii="Arial" w:hAnsi="Arial" w:cs="Arial"/>
        </w:rPr>
        <w:t xml:space="preserve"> = .001 and versus shape, </w:t>
      </w:r>
      <w:r w:rsidRPr="00225AB0">
        <w:rPr>
          <w:rFonts w:ascii="Arial" w:hAnsi="Arial" w:cs="Arial"/>
          <w:i/>
        </w:rPr>
        <w:t>p</w:t>
      </w:r>
      <w:r w:rsidRPr="00225AB0">
        <w:rPr>
          <w:rFonts w:ascii="Arial" w:hAnsi="Arial" w:cs="Arial"/>
        </w:rPr>
        <w:t xml:space="preserve"> &lt;.001, hV4; (F(3,33) = 16.39, </w:t>
      </w:r>
      <w:r w:rsidRPr="00225AB0">
        <w:rPr>
          <w:rFonts w:ascii="Arial" w:hAnsi="Arial" w:cs="Arial"/>
          <w:i/>
        </w:rPr>
        <w:t>p</w:t>
      </w:r>
      <w:r w:rsidRPr="00225AB0">
        <w:rPr>
          <w:rFonts w:ascii="Arial" w:hAnsi="Arial" w:cs="Arial"/>
        </w:rPr>
        <w:t xml:space="preserve"> &lt;.001, versus orientation, </w:t>
      </w:r>
      <w:r w:rsidRPr="00225AB0">
        <w:rPr>
          <w:rFonts w:ascii="Arial" w:hAnsi="Arial" w:cs="Arial"/>
          <w:i/>
        </w:rPr>
        <w:t>p</w:t>
      </w:r>
      <w:r w:rsidRPr="00225AB0">
        <w:rPr>
          <w:rFonts w:ascii="Arial" w:hAnsi="Arial" w:cs="Arial"/>
        </w:rPr>
        <w:t xml:space="preserve"> = .002, versus colour, </w:t>
      </w:r>
      <w:r w:rsidRPr="00225AB0">
        <w:rPr>
          <w:rFonts w:ascii="Arial" w:hAnsi="Arial" w:cs="Arial"/>
          <w:i/>
        </w:rPr>
        <w:t>p</w:t>
      </w:r>
      <w:r w:rsidRPr="00225AB0">
        <w:rPr>
          <w:rFonts w:ascii="Arial" w:hAnsi="Arial" w:cs="Arial"/>
        </w:rPr>
        <w:t xml:space="preserve"> = .043 and versus shape </w:t>
      </w:r>
      <w:r w:rsidRPr="00225AB0">
        <w:rPr>
          <w:rFonts w:ascii="Arial" w:hAnsi="Arial" w:cs="Arial"/>
          <w:i/>
        </w:rPr>
        <w:t>p</w:t>
      </w:r>
      <w:r w:rsidRPr="00225AB0">
        <w:rPr>
          <w:rFonts w:ascii="Arial" w:hAnsi="Arial" w:cs="Arial"/>
        </w:rPr>
        <w:t xml:space="preserve"> &lt;.001, LO-2; versus orientation, </w:t>
      </w:r>
      <w:r w:rsidRPr="00225AB0">
        <w:rPr>
          <w:rFonts w:ascii="Arial" w:hAnsi="Arial" w:cs="Arial"/>
          <w:i/>
        </w:rPr>
        <w:t>p</w:t>
      </w:r>
      <w:r w:rsidRPr="00225AB0">
        <w:rPr>
          <w:rFonts w:ascii="Arial" w:hAnsi="Arial" w:cs="Arial"/>
        </w:rPr>
        <w:t xml:space="preserve"> = .012, versus colour, </w:t>
      </w:r>
      <w:r w:rsidRPr="00225AB0">
        <w:rPr>
          <w:rFonts w:ascii="Arial" w:hAnsi="Arial" w:cs="Arial"/>
          <w:i/>
        </w:rPr>
        <w:t>p</w:t>
      </w:r>
      <w:r w:rsidRPr="00225AB0">
        <w:rPr>
          <w:rFonts w:ascii="Arial" w:hAnsi="Arial" w:cs="Arial"/>
        </w:rPr>
        <w:t xml:space="preserve"> = .041 and versus shape </w:t>
      </w:r>
      <w:r w:rsidRPr="00225AB0">
        <w:rPr>
          <w:rFonts w:ascii="Arial" w:hAnsi="Arial" w:cs="Arial"/>
          <w:i/>
        </w:rPr>
        <w:t>p</w:t>
      </w:r>
      <w:r w:rsidRPr="00225AB0">
        <w:rPr>
          <w:rFonts w:ascii="Arial" w:hAnsi="Arial" w:cs="Arial"/>
        </w:rPr>
        <w:t xml:space="preserve"> &lt;.001). </w:t>
      </w:r>
      <w:r w:rsidR="00D44AC6">
        <w:rPr>
          <w:rFonts w:ascii="Arial" w:hAnsi="Arial" w:cs="Arial"/>
        </w:rPr>
        <w:t>In</w:t>
      </w:r>
      <w:r w:rsidRPr="00225AB0">
        <w:rPr>
          <w:rFonts w:ascii="Arial" w:hAnsi="Arial" w:cs="Arial"/>
        </w:rPr>
        <w:t xml:space="preserve"> our control </w:t>
      </w:r>
      <w:r w:rsidRPr="00225AB0">
        <w:rPr>
          <w:rFonts w:ascii="Arial" w:hAnsi="Arial" w:cs="Arial"/>
        </w:rPr>
        <w:lastRenderedPageBreak/>
        <w:t>auditory cortex ROI (A1), we identify no significant difference in BOLD signal modulation across all attentional conditions (</w:t>
      </w:r>
      <w:proofErr w:type="gramStart"/>
      <w:r w:rsidRPr="00225AB0">
        <w:rPr>
          <w:rFonts w:ascii="Arial" w:hAnsi="Arial" w:cs="Arial"/>
        </w:rPr>
        <w:t>F(</w:t>
      </w:r>
      <w:proofErr w:type="gramEnd"/>
      <w:r w:rsidRPr="00225AB0">
        <w:rPr>
          <w:rFonts w:ascii="Arial" w:hAnsi="Arial" w:cs="Arial"/>
        </w:rPr>
        <w:t xml:space="preserve">3,33) = 1.60, </w:t>
      </w:r>
      <w:r w:rsidRPr="00225AB0">
        <w:rPr>
          <w:rFonts w:ascii="Arial" w:hAnsi="Arial" w:cs="Arial"/>
          <w:i/>
        </w:rPr>
        <w:t>p</w:t>
      </w:r>
      <w:r w:rsidRPr="00225AB0">
        <w:rPr>
          <w:rFonts w:ascii="Arial" w:hAnsi="Arial" w:cs="Arial"/>
        </w:rPr>
        <w:t xml:space="preserve"> = .256)</w:t>
      </w:r>
      <w:r w:rsidR="00591FA4">
        <w:rPr>
          <w:rFonts w:ascii="Arial" w:hAnsi="Arial" w:cs="Arial"/>
        </w:rPr>
        <w:t xml:space="preserve"> (See Figure 6.2)</w:t>
      </w:r>
      <w:r w:rsidR="009927A8">
        <w:rPr>
          <w:rFonts w:ascii="Arial" w:hAnsi="Arial" w:cs="Arial"/>
        </w:rPr>
        <w:t>.</w:t>
      </w:r>
    </w:p>
    <w:p w14:paraId="1B6A1D9D" w14:textId="05568A8F" w:rsidR="0060072E" w:rsidRPr="00225AB0" w:rsidRDefault="00925460" w:rsidP="003874FF">
      <w:pPr>
        <w:spacing w:line="480" w:lineRule="auto"/>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836416" behindDoc="0" locked="0" layoutInCell="1" allowOverlap="1" wp14:anchorId="640E4CB7" wp14:editId="6640733B">
                <wp:simplePos x="0" y="0"/>
                <wp:positionH relativeFrom="column">
                  <wp:posOffset>-1711325</wp:posOffset>
                </wp:positionH>
                <wp:positionV relativeFrom="paragraph">
                  <wp:posOffset>2628900</wp:posOffset>
                </wp:positionV>
                <wp:extent cx="9170035" cy="3921125"/>
                <wp:effectExtent l="0" t="4445" r="7620" b="7620"/>
                <wp:wrapSquare wrapText="bothSides"/>
                <wp:docPr id="28" name="Text Box 28"/>
                <wp:cNvGraphicFramePr/>
                <a:graphic xmlns:a="http://schemas.openxmlformats.org/drawingml/2006/main">
                  <a:graphicData uri="http://schemas.microsoft.com/office/word/2010/wordprocessingShape">
                    <wps:wsp>
                      <wps:cNvSpPr txBox="1"/>
                      <wps:spPr>
                        <a:xfrm rot="16200000">
                          <a:off x="0" y="0"/>
                          <a:ext cx="9170035" cy="3921125"/>
                        </a:xfrm>
                        <a:prstGeom prst="rect">
                          <a:avLst/>
                        </a:prstGeom>
                        <a:solidFill>
                          <a:schemeClr val="bg1"/>
                        </a:solidFill>
                        <a:ln w="6350">
                          <a:solidFill>
                            <a:schemeClr val="bg1"/>
                          </a:solidFill>
                        </a:ln>
                      </wps:spPr>
                      <wps:txbx>
                        <w:txbxContent>
                          <w:p w14:paraId="4F29C22E" w14:textId="77777777" w:rsidR="00C93BE0" w:rsidRDefault="00C93BE0" w:rsidP="00925460">
                            <w:pPr>
                              <w:keepNext/>
                              <w:jc w:val="both"/>
                            </w:pPr>
                            <w:r>
                              <w:rPr>
                                <w:noProof/>
                                <w:lang w:eastAsia="en-GB"/>
                              </w:rPr>
                              <w:drawing>
                                <wp:inline distT="0" distB="0" distL="0" distR="0" wp14:anchorId="64787B19" wp14:editId="7D1763A4">
                                  <wp:extent cx="9043090" cy="1512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9043090" cy="1512000"/>
                                          </a:xfrm>
                                          <a:prstGeom prst="rect">
                                            <a:avLst/>
                                          </a:prstGeom>
                                        </pic:spPr>
                                      </pic:pic>
                                    </a:graphicData>
                                  </a:graphic>
                                </wp:inline>
                              </w:drawing>
                            </w:r>
                          </w:p>
                          <w:p w14:paraId="100B406C" w14:textId="464E4ECB" w:rsidR="00C93BE0" w:rsidRPr="00591FA4" w:rsidRDefault="00C93BE0" w:rsidP="00925460">
                            <w:pPr>
                              <w:pStyle w:val="Caption"/>
                              <w:spacing w:line="360" w:lineRule="auto"/>
                              <w:jc w:val="both"/>
                              <w:rPr>
                                <w:rFonts w:ascii="Arial" w:hAnsi="Arial" w:cs="Arial"/>
                                <w:i w:val="0"/>
                                <w:color w:val="000000" w:themeColor="text1"/>
                                <w:sz w:val="24"/>
                                <w:szCs w:val="24"/>
                              </w:rPr>
                            </w:pPr>
                            <w:bookmarkStart w:id="825" w:name="_Toc12363362"/>
                            <w:bookmarkStart w:id="826" w:name="_Toc16242719"/>
                            <w:r w:rsidRPr="00591FA4">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591FA4">
                              <w:rPr>
                                <w:rFonts w:ascii="Arial" w:hAnsi="Arial" w:cs="Arial"/>
                                <w:i w:val="0"/>
                                <w:color w:val="000000" w:themeColor="text1"/>
                                <w:sz w:val="24"/>
                                <w:szCs w:val="24"/>
                              </w:rPr>
                              <w:t xml:space="preserve"> Univariate differences in attentional modulation are predominantly driven by faces. Data demonstrates feature-specific attentional modulations in BOLD signal. Data are shown for 8 visual ROIs as well as a control area (auditory cortex- A1). Regions V3A/B, hV4 and LO-2 exhibit significantly reduced BOLD signal amplitude during attention to faces in comparison to low-level visual features. Visual areas V3A/B and LO-2 show significantly increased modulation during attention to orientation and shape respectively. All error bars reflect +/- 1 SEM and significance asterisks indicate Benjamini-Hochberg corrected values.</w:t>
                            </w:r>
                            <w:bookmarkEnd w:id="825"/>
                            <w:bookmarkEnd w:id="826"/>
                            <w:r w:rsidRPr="00591FA4">
                              <w:rPr>
                                <w:rFonts w:ascii="Arial" w:hAnsi="Arial" w:cs="Arial"/>
                                <w:i w:val="0"/>
                                <w:color w:val="000000" w:themeColor="text1"/>
                                <w:sz w:val="24"/>
                                <w:szCs w:val="24"/>
                              </w:rPr>
                              <w:t xml:space="preserve">  </w:t>
                            </w:r>
                          </w:p>
                          <w:p w14:paraId="1AB31D51" w14:textId="77777777" w:rsidR="00C93BE0" w:rsidRDefault="00C93BE0" w:rsidP="00925460">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E4CB7" id="Text Box 28" o:spid="_x0000_s1062" type="#_x0000_t202" style="position:absolute;margin-left:-134.75pt;margin-top:207pt;width:722.05pt;height:308.75pt;rotation:-9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" fillcolor="white [3212]" strokecolor="white [3212]" strokeweight=".5pt">
                <v:textbox>
                  <w:txbxContent>
                    <w:p w14:paraId="4F29C22E" w14:textId="77777777" w:rsidR="00C93BE0" w:rsidRDefault="00C93BE0" w:rsidP="00925460">
                      <w:pPr>
                        <w:keepNext/>
                        <w:jc w:val="both"/>
                      </w:pPr>
                      <w:r>
                        <w:rPr>
                          <w:noProof/>
                          <w:lang w:eastAsia="en-GB"/>
                        </w:rPr>
                        <w:drawing>
                          <wp:inline distT="0" distB="0" distL="0" distR="0" wp14:anchorId="64787B19" wp14:editId="7D1763A4">
                            <wp:extent cx="9043090" cy="1512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9043090" cy="1512000"/>
                                    </a:xfrm>
                                    <a:prstGeom prst="rect">
                                      <a:avLst/>
                                    </a:prstGeom>
                                  </pic:spPr>
                                </pic:pic>
                              </a:graphicData>
                            </a:graphic>
                          </wp:inline>
                        </w:drawing>
                      </w:r>
                    </w:p>
                    <w:p w14:paraId="100B406C" w14:textId="464E4ECB" w:rsidR="00C93BE0" w:rsidRPr="00591FA4" w:rsidRDefault="00C93BE0" w:rsidP="00925460">
                      <w:pPr>
                        <w:pStyle w:val="Caption"/>
                        <w:spacing w:line="360" w:lineRule="auto"/>
                        <w:jc w:val="both"/>
                        <w:rPr>
                          <w:rFonts w:ascii="Arial" w:hAnsi="Arial" w:cs="Arial"/>
                          <w:i w:val="0"/>
                          <w:color w:val="000000" w:themeColor="text1"/>
                          <w:sz w:val="24"/>
                          <w:szCs w:val="24"/>
                        </w:rPr>
                      </w:pPr>
                      <w:bookmarkStart w:id="889" w:name="_Toc12363362"/>
                      <w:bookmarkStart w:id="890" w:name="_Toc16242719"/>
                      <w:r w:rsidRPr="00591FA4">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2</w:t>
                      </w:r>
                      <w:r>
                        <w:rPr>
                          <w:rFonts w:ascii="Arial" w:hAnsi="Arial" w:cs="Arial"/>
                          <w:b/>
                          <w:i w:val="0"/>
                          <w:color w:val="000000" w:themeColor="text1"/>
                          <w:sz w:val="24"/>
                          <w:szCs w:val="24"/>
                        </w:rPr>
                        <w:fldChar w:fldCharType="end"/>
                      </w:r>
                      <w:r w:rsidRPr="00591FA4">
                        <w:rPr>
                          <w:rFonts w:ascii="Arial" w:hAnsi="Arial" w:cs="Arial"/>
                          <w:i w:val="0"/>
                          <w:color w:val="000000" w:themeColor="text1"/>
                          <w:sz w:val="24"/>
                          <w:szCs w:val="24"/>
                        </w:rPr>
                        <w:t xml:space="preserve"> Univariate differences in attentional modulation are predominantly driven by faces. Data demonstrates feature-specific attentional modulations in BOLD signal. Data are shown for 8 visual ROIs as well as a control area (auditory cortex- A1). Regions V3A/B, hV4 and LO-2 exhibit significantly reduced BOLD signal amplitude during attention to faces in comparison to low-level visual features. Visual areas V3A/B and LO-2 show significantly increased modulation during attention to orientation and shape respectively. All error bars reflect +/- 1 SEM and significance asterisks indicate Benjamini-Hochberg corrected values.</w:t>
                      </w:r>
                      <w:bookmarkEnd w:id="889"/>
                      <w:bookmarkEnd w:id="890"/>
                      <w:r w:rsidRPr="00591FA4">
                        <w:rPr>
                          <w:rFonts w:ascii="Arial" w:hAnsi="Arial" w:cs="Arial"/>
                          <w:i w:val="0"/>
                          <w:color w:val="000000" w:themeColor="text1"/>
                          <w:sz w:val="24"/>
                          <w:szCs w:val="24"/>
                        </w:rPr>
                        <w:t xml:space="preserve">  </w:t>
                      </w:r>
                    </w:p>
                    <w:p w14:paraId="1AB31D51" w14:textId="77777777" w:rsidR="00C93BE0" w:rsidRDefault="00C93BE0" w:rsidP="00925460">
                      <w:pPr>
                        <w:jc w:val="both"/>
                      </w:pPr>
                    </w:p>
                  </w:txbxContent>
                </v:textbox>
                <w10:wrap type="square"/>
              </v:shape>
            </w:pict>
          </mc:Fallback>
        </mc:AlternateContent>
      </w:r>
    </w:p>
    <w:p w14:paraId="50FEC442" w14:textId="77777777" w:rsidR="00F771D6" w:rsidRDefault="00F771D6" w:rsidP="001811CC">
      <w:pPr>
        <w:pStyle w:val="Heading3"/>
        <w:numPr>
          <w:ilvl w:val="2"/>
          <w:numId w:val="7"/>
        </w:numPr>
        <w:rPr>
          <w:rFonts w:ascii="Arial" w:hAnsi="Arial" w:cs="Arial"/>
          <w:b/>
          <w:i/>
          <w:color w:val="000000" w:themeColor="text1"/>
          <w:sz w:val="28"/>
          <w:szCs w:val="28"/>
        </w:rPr>
      </w:pPr>
      <w:bookmarkStart w:id="827" w:name="_Toc11753684"/>
      <w:bookmarkStart w:id="828" w:name="_Toc11926870"/>
      <w:bookmarkStart w:id="829" w:name="_Toc11930136"/>
      <w:bookmarkStart w:id="830" w:name="_Toc16075452"/>
      <w:bookmarkStart w:id="831" w:name="_Toc16237042"/>
      <w:bookmarkStart w:id="832" w:name="_Toc11148052"/>
      <w:bookmarkStart w:id="833" w:name="_Toc11154002"/>
      <w:r w:rsidRPr="00F771D6">
        <w:rPr>
          <w:rFonts w:ascii="Arial" w:hAnsi="Arial" w:cs="Arial"/>
          <w:b/>
          <w:i/>
          <w:color w:val="000000" w:themeColor="text1"/>
          <w:sz w:val="28"/>
          <w:szCs w:val="28"/>
        </w:rPr>
        <w:lastRenderedPageBreak/>
        <w:t>Univariate- 3</w:t>
      </w:r>
      <w:r>
        <w:rPr>
          <w:rFonts w:ascii="Arial" w:hAnsi="Arial" w:cs="Arial"/>
          <w:b/>
          <w:i/>
          <w:color w:val="000000" w:themeColor="text1"/>
          <w:sz w:val="28"/>
          <w:szCs w:val="28"/>
        </w:rPr>
        <w:t xml:space="preserve">x3 </w:t>
      </w:r>
      <w:r w:rsidRPr="00F771D6">
        <w:rPr>
          <w:rFonts w:ascii="Arial" w:hAnsi="Arial" w:cs="Arial"/>
          <w:b/>
          <w:i/>
          <w:color w:val="000000" w:themeColor="text1"/>
          <w:sz w:val="28"/>
          <w:szCs w:val="28"/>
        </w:rPr>
        <w:t>feature attentional modulation</w:t>
      </w:r>
      <w:bookmarkEnd w:id="827"/>
      <w:bookmarkEnd w:id="828"/>
      <w:bookmarkEnd w:id="829"/>
      <w:bookmarkEnd w:id="830"/>
      <w:bookmarkEnd w:id="831"/>
    </w:p>
    <w:bookmarkEnd w:id="832"/>
    <w:bookmarkEnd w:id="833"/>
    <w:p w14:paraId="58BC08F8" w14:textId="77777777" w:rsidR="00F771D6" w:rsidRDefault="00F771D6" w:rsidP="0060072E">
      <w:pPr>
        <w:spacing w:line="480" w:lineRule="auto"/>
        <w:rPr>
          <w:rFonts w:ascii="Arial" w:hAnsi="Arial" w:cs="Arial"/>
        </w:rPr>
      </w:pPr>
    </w:p>
    <w:p w14:paraId="40B0E8A3" w14:textId="686F942F" w:rsidR="0060072E" w:rsidRPr="00225AB0" w:rsidRDefault="007B68C2" w:rsidP="0060072E">
      <w:pPr>
        <w:spacing w:line="480" w:lineRule="auto"/>
        <w:rPr>
          <w:rFonts w:ascii="Arial" w:hAnsi="Arial" w:cs="Arial"/>
        </w:rPr>
      </w:pPr>
      <w:r>
        <w:rPr>
          <w:rFonts w:ascii="Arial" w:hAnsi="Arial" w:cs="Arial"/>
          <w:i/>
          <w:noProof/>
          <w:color w:val="0D0D0D" w:themeColor="text1" w:themeTint="F2"/>
        </w:rPr>
        <mc:AlternateContent>
          <mc:Choice Requires="wps">
            <w:drawing>
              <wp:anchor distT="0" distB="0" distL="114300" distR="114300" simplePos="0" relativeHeight="251860992" behindDoc="0" locked="0" layoutInCell="1" allowOverlap="1" wp14:anchorId="4F30FE7E" wp14:editId="4F32B679">
                <wp:simplePos x="0" y="0"/>
                <wp:positionH relativeFrom="column">
                  <wp:posOffset>-138023</wp:posOffset>
                </wp:positionH>
                <wp:positionV relativeFrom="paragraph">
                  <wp:posOffset>3320247</wp:posOffset>
                </wp:positionV>
                <wp:extent cx="5813425" cy="288988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5813425" cy="2889885"/>
                        </a:xfrm>
                        <a:prstGeom prst="rect">
                          <a:avLst/>
                        </a:prstGeom>
                        <a:noFill/>
                        <a:ln w="6350">
                          <a:noFill/>
                        </a:ln>
                      </wps:spPr>
                      <wps:txbx>
                        <w:txbxContent>
                          <w:p w14:paraId="4AFC9799" w14:textId="77777777" w:rsidR="00C93BE0" w:rsidRPr="00A92335" w:rsidRDefault="00C93BE0" w:rsidP="00D4752B">
                            <w:pPr>
                              <w:pStyle w:val="Caption"/>
                              <w:keepNext/>
                              <w:rPr>
                                <w:rFonts w:ascii="Arial" w:hAnsi="Arial" w:cs="Arial"/>
                                <w:i w:val="0"/>
                                <w:iCs w:val="0"/>
                                <w:color w:val="000000" w:themeColor="text1"/>
                                <w:sz w:val="24"/>
                                <w:szCs w:val="24"/>
                              </w:rPr>
                            </w:pPr>
                            <w:r w:rsidRPr="00A92335">
                              <w:rPr>
                                <w:rFonts w:ascii="Arial" w:hAnsi="Arial" w:cs="Arial"/>
                                <w:b/>
                                <w:bCs/>
                                <w:i w:val="0"/>
                                <w:iCs w:val="0"/>
                                <w:color w:val="000000" w:themeColor="text1"/>
                                <w:sz w:val="24"/>
                                <w:szCs w:val="24"/>
                              </w:rPr>
                              <w:t xml:space="preserve">Table </w:t>
                            </w:r>
                            <w:r>
                              <w:rPr>
                                <w:rFonts w:ascii="Arial" w:hAnsi="Arial" w:cs="Arial"/>
                                <w:b/>
                                <w:bCs/>
                                <w:i w:val="0"/>
                                <w:iCs w:val="0"/>
                                <w:color w:val="000000" w:themeColor="text1"/>
                                <w:sz w:val="24"/>
                                <w:szCs w:val="24"/>
                              </w:rPr>
                              <w:t>6</w:t>
                            </w:r>
                            <w:r w:rsidRPr="00A92335">
                              <w:rPr>
                                <w:rFonts w:ascii="Arial" w:hAnsi="Arial" w:cs="Arial"/>
                                <w:b/>
                                <w:bCs/>
                                <w:i w:val="0"/>
                                <w:iCs w:val="0"/>
                                <w:color w:val="000000" w:themeColor="text1"/>
                                <w:sz w:val="24"/>
                                <w:szCs w:val="24"/>
                              </w:rPr>
                              <w:t>.</w:t>
                            </w:r>
                            <w:r>
                              <w:rPr>
                                <w:rFonts w:ascii="Arial" w:hAnsi="Arial" w:cs="Arial"/>
                                <w:b/>
                                <w:bCs/>
                                <w:i w:val="0"/>
                                <w:iCs w:val="0"/>
                                <w:color w:val="000000" w:themeColor="text1"/>
                                <w:sz w:val="24"/>
                                <w:szCs w:val="24"/>
                              </w:rPr>
                              <w:t xml:space="preserve">1 </w:t>
                            </w:r>
                            <w:r>
                              <w:rPr>
                                <w:rFonts w:ascii="Arial" w:hAnsi="Arial" w:cs="Arial"/>
                                <w:i w:val="0"/>
                                <w:iCs w:val="0"/>
                                <w:color w:val="000000" w:themeColor="text1"/>
                                <w:sz w:val="24"/>
                                <w:szCs w:val="24"/>
                              </w:rPr>
                              <w:t xml:space="preserve">Almost all visual ROIs exhibit significantly greater BOLD signal modulation during attention versus an absence of signal.   </w:t>
                            </w:r>
                          </w:p>
                          <w:tbl>
                            <w:tblPr>
                              <w:tblStyle w:val="TableGrid"/>
                              <w:tblW w:w="0" w:type="auto"/>
                              <w:tblLook w:val="04A0" w:firstRow="1" w:lastRow="0" w:firstColumn="1" w:lastColumn="0" w:noHBand="0" w:noVBand="1"/>
                            </w:tblPr>
                            <w:tblGrid>
                              <w:gridCol w:w="974"/>
                              <w:gridCol w:w="1285"/>
                              <w:gridCol w:w="1569"/>
                              <w:gridCol w:w="1076"/>
                              <w:gridCol w:w="1475"/>
                              <w:gridCol w:w="1079"/>
                              <w:gridCol w:w="1204"/>
                            </w:tblGrid>
                            <w:tr w:rsidR="00C93BE0" w14:paraId="33C6B99B" w14:textId="77777777" w:rsidTr="004E41A6">
                              <w:tc>
                                <w:tcPr>
                                  <w:tcW w:w="974" w:type="dxa"/>
                                  <w:tcBorders>
                                    <w:top w:val="single" w:sz="18" w:space="0" w:color="000000"/>
                                    <w:left w:val="nil"/>
                                    <w:bottom w:val="single" w:sz="8" w:space="0" w:color="000000"/>
                                    <w:right w:val="nil"/>
                                  </w:tcBorders>
                                </w:tcPr>
                                <w:p w14:paraId="5750948F" w14:textId="77777777" w:rsidR="00C93BE0" w:rsidRPr="006F0EDD" w:rsidRDefault="00C93BE0" w:rsidP="004E41A6">
                                  <w:pPr>
                                    <w:rPr>
                                      <w:rFonts w:ascii="Arial" w:hAnsi="Arial" w:cs="Arial"/>
                                    </w:rPr>
                                  </w:pPr>
                                </w:p>
                              </w:tc>
                              <w:tc>
                                <w:tcPr>
                                  <w:tcW w:w="2854" w:type="dxa"/>
                                  <w:gridSpan w:val="2"/>
                                  <w:tcBorders>
                                    <w:top w:val="single" w:sz="18" w:space="0" w:color="000000"/>
                                    <w:left w:val="nil"/>
                                    <w:bottom w:val="single" w:sz="8" w:space="0" w:color="000000"/>
                                    <w:right w:val="nil"/>
                                  </w:tcBorders>
                                </w:tcPr>
                                <w:p w14:paraId="496012D5" w14:textId="77777777" w:rsidR="00C93BE0" w:rsidRPr="006F0EDD" w:rsidRDefault="00C93BE0" w:rsidP="004E41A6">
                                  <w:pPr>
                                    <w:jc w:val="center"/>
                                    <w:rPr>
                                      <w:rFonts w:ascii="Arial" w:hAnsi="Arial" w:cs="Arial"/>
                                    </w:rPr>
                                  </w:pPr>
                                  <w:r>
                                    <w:rPr>
                                      <w:rFonts w:ascii="Arial" w:hAnsi="Arial" w:cs="Arial"/>
                                    </w:rPr>
                                    <w:t>Orientation</w:t>
                                  </w:r>
                                </w:p>
                              </w:tc>
                              <w:tc>
                                <w:tcPr>
                                  <w:tcW w:w="2551" w:type="dxa"/>
                                  <w:gridSpan w:val="2"/>
                                  <w:tcBorders>
                                    <w:top w:val="single" w:sz="18" w:space="0" w:color="000000"/>
                                    <w:left w:val="nil"/>
                                    <w:bottom w:val="single" w:sz="8" w:space="0" w:color="000000"/>
                                    <w:right w:val="nil"/>
                                  </w:tcBorders>
                                </w:tcPr>
                                <w:p w14:paraId="05BF49E7" w14:textId="77777777" w:rsidR="00C93BE0" w:rsidRPr="006F0EDD" w:rsidRDefault="00C93BE0" w:rsidP="004E41A6">
                                  <w:pPr>
                                    <w:jc w:val="center"/>
                                    <w:rPr>
                                      <w:rFonts w:ascii="Arial" w:hAnsi="Arial" w:cs="Arial"/>
                                    </w:rPr>
                                  </w:pPr>
                                  <w:r>
                                    <w:rPr>
                                      <w:rFonts w:ascii="Arial" w:hAnsi="Arial" w:cs="Arial"/>
                                    </w:rPr>
                                    <w:t>Colour</w:t>
                                  </w:r>
                                </w:p>
                              </w:tc>
                              <w:tc>
                                <w:tcPr>
                                  <w:tcW w:w="2283" w:type="dxa"/>
                                  <w:gridSpan w:val="2"/>
                                  <w:tcBorders>
                                    <w:top w:val="single" w:sz="18" w:space="0" w:color="000000"/>
                                    <w:left w:val="nil"/>
                                    <w:bottom w:val="single" w:sz="8" w:space="0" w:color="000000"/>
                                    <w:right w:val="nil"/>
                                  </w:tcBorders>
                                </w:tcPr>
                                <w:p w14:paraId="1682D233" w14:textId="77777777" w:rsidR="00C93BE0" w:rsidRPr="006F0EDD" w:rsidRDefault="00C93BE0" w:rsidP="004E41A6">
                                  <w:pPr>
                                    <w:jc w:val="center"/>
                                    <w:rPr>
                                      <w:rFonts w:ascii="Arial" w:hAnsi="Arial" w:cs="Arial"/>
                                    </w:rPr>
                                  </w:pPr>
                                  <w:r>
                                    <w:rPr>
                                      <w:rFonts w:ascii="Arial" w:hAnsi="Arial" w:cs="Arial"/>
                                    </w:rPr>
                                    <w:t>Shape</w:t>
                                  </w:r>
                                </w:p>
                              </w:tc>
                            </w:tr>
                            <w:tr w:rsidR="00C93BE0" w14:paraId="024F4160"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bottom w:val="single" w:sz="8" w:space="0" w:color="000000"/>
                                  </w:tcBorders>
                                </w:tcPr>
                                <w:p w14:paraId="69CB494C" w14:textId="77777777" w:rsidR="00C93BE0" w:rsidRPr="006F0EDD" w:rsidRDefault="00C93BE0" w:rsidP="004E41A6">
                                  <w:pPr>
                                    <w:jc w:val="center"/>
                                    <w:rPr>
                                      <w:rFonts w:ascii="Arial" w:hAnsi="Arial" w:cs="Arial"/>
                                    </w:rPr>
                                  </w:pPr>
                                  <w:r>
                                    <w:rPr>
                                      <w:rFonts w:ascii="Arial" w:hAnsi="Arial" w:cs="Arial"/>
                                    </w:rPr>
                                    <w:t>ROI</w:t>
                                  </w:r>
                                </w:p>
                              </w:tc>
                              <w:tc>
                                <w:tcPr>
                                  <w:tcW w:w="1285" w:type="dxa"/>
                                  <w:tcBorders>
                                    <w:top w:val="single" w:sz="8" w:space="0" w:color="000000"/>
                                    <w:bottom w:val="single" w:sz="8" w:space="0" w:color="auto"/>
                                  </w:tcBorders>
                                </w:tcPr>
                                <w:p w14:paraId="36C7C838" w14:textId="77777777" w:rsidR="00C93BE0" w:rsidRPr="006F0EDD" w:rsidRDefault="00C93BE0" w:rsidP="004E41A6">
                                  <w:pPr>
                                    <w:jc w:val="center"/>
                                    <w:rPr>
                                      <w:rFonts w:ascii="Arial" w:hAnsi="Arial" w:cs="Arial"/>
                                    </w:rPr>
                                  </w:pPr>
                                  <w:r>
                                    <w:rPr>
                                      <w:rFonts w:ascii="Arial" w:hAnsi="Arial" w:cs="Arial"/>
                                    </w:rPr>
                                    <w:t>W</w:t>
                                  </w:r>
                                </w:p>
                              </w:tc>
                              <w:tc>
                                <w:tcPr>
                                  <w:tcW w:w="1569" w:type="dxa"/>
                                  <w:tcBorders>
                                    <w:top w:val="single" w:sz="8" w:space="0" w:color="000000"/>
                                    <w:bottom w:val="single" w:sz="8" w:space="0" w:color="auto"/>
                                  </w:tcBorders>
                                </w:tcPr>
                                <w:p w14:paraId="2958DD7E" w14:textId="77777777" w:rsidR="00C93BE0" w:rsidRPr="006F0EDD" w:rsidRDefault="00C93BE0" w:rsidP="004E41A6">
                                  <w:pPr>
                                    <w:jc w:val="center"/>
                                    <w:rPr>
                                      <w:rFonts w:ascii="Arial" w:hAnsi="Arial" w:cs="Arial"/>
                                      <w:i/>
                                      <w:iCs/>
                                    </w:rPr>
                                  </w:pPr>
                                  <w:r>
                                    <w:rPr>
                                      <w:rFonts w:ascii="Arial" w:hAnsi="Arial" w:cs="Arial"/>
                                      <w:i/>
                                      <w:iCs/>
                                    </w:rPr>
                                    <w:t>p</w:t>
                                  </w:r>
                                </w:p>
                              </w:tc>
                              <w:tc>
                                <w:tcPr>
                                  <w:tcW w:w="1076" w:type="dxa"/>
                                  <w:tcBorders>
                                    <w:top w:val="single" w:sz="8" w:space="0" w:color="000000"/>
                                    <w:bottom w:val="single" w:sz="8" w:space="0" w:color="auto"/>
                                  </w:tcBorders>
                                </w:tcPr>
                                <w:p w14:paraId="5135F9BF" w14:textId="77777777" w:rsidR="00C93BE0" w:rsidRPr="006F0EDD" w:rsidRDefault="00C93BE0" w:rsidP="004E41A6">
                                  <w:pPr>
                                    <w:jc w:val="center"/>
                                    <w:rPr>
                                      <w:rFonts w:ascii="Arial" w:hAnsi="Arial" w:cs="Arial"/>
                                    </w:rPr>
                                  </w:pPr>
                                  <w:r>
                                    <w:rPr>
                                      <w:rFonts w:ascii="Arial" w:hAnsi="Arial" w:cs="Arial"/>
                                    </w:rPr>
                                    <w:t>W</w:t>
                                  </w:r>
                                </w:p>
                              </w:tc>
                              <w:tc>
                                <w:tcPr>
                                  <w:tcW w:w="1475" w:type="dxa"/>
                                  <w:tcBorders>
                                    <w:top w:val="single" w:sz="8" w:space="0" w:color="000000"/>
                                    <w:bottom w:val="single" w:sz="8" w:space="0" w:color="auto"/>
                                  </w:tcBorders>
                                </w:tcPr>
                                <w:p w14:paraId="1EBAFF76" w14:textId="77777777" w:rsidR="00C93BE0" w:rsidRPr="006F0EDD" w:rsidRDefault="00C93BE0" w:rsidP="004E41A6">
                                  <w:pPr>
                                    <w:jc w:val="center"/>
                                    <w:rPr>
                                      <w:rFonts w:ascii="Arial" w:hAnsi="Arial" w:cs="Arial"/>
                                      <w:i/>
                                      <w:iCs/>
                                    </w:rPr>
                                  </w:pPr>
                                  <w:r>
                                    <w:rPr>
                                      <w:rFonts w:ascii="Arial" w:hAnsi="Arial" w:cs="Arial"/>
                                      <w:i/>
                                      <w:iCs/>
                                    </w:rPr>
                                    <w:t>p</w:t>
                                  </w:r>
                                </w:p>
                              </w:tc>
                              <w:tc>
                                <w:tcPr>
                                  <w:tcW w:w="1079" w:type="dxa"/>
                                  <w:tcBorders>
                                    <w:top w:val="single" w:sz="8" w:space="0" w:color="000000"/>
                                    <w:bottom w:val="single" w:sz="8" w:space="0" w:color="auto"/>
                                  </w:tcBorders>
                                </w:tcPr>
                                <w:p w14:paraId="06E71B00" w14:textId="77777777" w:rsidR="00C93BE0" w:rsidRPr="006F0EDD" w:rsidRDefault="00C93BE0" w:rsidP="004E41A6">
                                  <w:pPr>
                                    <w:jc w:val="center"/>
                                    <w:rPr>
                                      <w:rFonts w:ascii="Arial" w:hAnsi="Arial" w:cs="Arial"/>
                                    </w:rPr>
                                  </w:pPr>
                                  <w:r>
                                    <w:rPr>
                                      <w:rFonts w:ascii="Arial" w:hAnsi="Arial" w:cs="Arial"/>
                                    </w:rPr>
                                    <w:t>W</w:t>
                                  </w:r>
                                </w:p>
                              </w:tc>
                              <w:tc>
                                <w:tcPr>
                                  <w:tcW w:w="1204" w:type="dxa"/>
                                  <w:tcBorders>
                                    <w:top w:val="single" w:sz="8" w:space="0" w:color="000000"/>
                                    <w:bottom w:val="single" w:sz="8" w:space="0" w:color="auto"/>
                                  </w:tcBorders>
                                </w:tcPr>
                                <w:p w14:paraId="6B038D43" w14:textId="77777777" w:rsidR="00C93BE0" w:rsidRPr="006F0EDD" w:rsidRDefault="00C93BE0" w:rsidP="004E41A6">
                                  <w:pPr>
                                    <w:jc w:val="center"/>
                                    <w:rPr>
                                      <w:rFonts w:ascii="Arial" w:hAnsi="Arial" w:cs="Arial"/>
                                      <w:i/>
                                      <w:iCs/>
                                    </w:rPr>
                                  </w:pPr>
                                  <w:r>
                                    <w:rPr>
                                      <w:rFonts w:ascii="Arial" w:hAnsi="Arial" w:cs="Arial"/>
                                      <w:i/>
                                      <w:iCs/>
                                    </w:rPr>
                                    <w:t>p</w:t>
                                  </w:r>
                                </w:p>
                              </w:tc>
                            </w:tr>
                            <w:tr w:rsidR="00C93BE0" w14:paraId="2B02E5ED"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tcBorders>
                                </w:tcPr>
                                <w:p w14:paraId="358BA112" w14:textId="77777777" w:rsidR="00C93BE0" w:rsidRPr="006F0EDD" w:rsidRDefault="00C93BE0" w:rsidP="004E41A6">
                                  <w:pPr>
                                    <w:jc w:val="center"/>
                                    <w:rPr>
                                      <w:rFonts w:ascii="Arial" w:hAnsi="Arial" w:cs="Arial"/>
                                    </w:rPr>
                                  </w:pPr>
                                  <w:r w:rsidRPr="006F0EDD">
                                    <w:rPr>
                                      <w:rFonts w:ascii="Arial" w:hAnsi="Arial" w:cs="Arial"/>
                                    </w:rPr>
                                    <w:t>V1</w:t>
                                  </w:r>
                                </w:p>
                              </w:tc>
                              <w:tc>
                                <w:tcPr>
                                  <w:tcW w:w="1285" w:type="dxa"/>
                                  <w:tcBorders>
                                    <w:top w:val="single" w:sz="8" w:space="0" w:color="auto"/>
                                  </w:tcBorders>
                                </w:tcPr>
                                <w:p w14:paraId="48AEF4ED" w14:textId="77777777" w:rsidR="00C93BE0" w:rsidRPr="006F0EDD" w:rsidRDefault="00C93BE0" w:rsidP="004E41A6">
                                  <w:pPr>
                                    <w:jc w:val="center"/>
                                    <w:rPr>
                                      <w:rFonts w:ascii="Arial" w:hAnsi="Arial" w:cs="Arial"/>
                                    </w:rPr>
                                  </w:pPr>
                                  <w:r>
                                    <w:rPr>
                                      <w:rFonts w:ascii="Arial" w:hAnsi="Arial" w:cs="Arial"/>
                                    </w:rPr>
                                    <w:t>3.30</w:t>
                                  </w:r>
                                </w:p>
                              </w:tc>
                              <w:tc>
                                <w:tcPr>
                                  <w:tcW w:w="1569" w:type="dxa"/>
                                  <w:tcBorders>
                                    <w:top w:val="single" w:sz="8" w:space="0" w:color="auto"/>
                                  </w:tcBorders>
                                </w:tcPr>
                                <w:p w14:paraId="7AF6FA37" w14:textId="77777777" w:rsidR="00C93BE0" w:rsidRPr="006F0EDD" w:rsidRDefault="00C93BE0" w:rsidP="004E41A6">
                                  <w:pPr>
                                    <w:jc w:val="center"/>
                                    <w:rPr>
                                      <w:rFonts w:ascii="Arial" w:hAnsi="Arial" w:cs="Arial"/>
                                    </w:rPr>
                                  </w:pPr>
                                  <w:r>
                                    <w:rPr>
                                      <w:rFonts w:ascii="Arial" w:hAnsi="Arial" w:cs="Arial"/>
                                    </w:rPr>
                                    <w:t>.002**</w:t>
                                  </w:r>
                                </w:p>
                              </w:tc>
                              <w:tc>
                                <w:tcPr>
                                  <w:tcW w:w="1076" w:type="dxa"/>
                                  <w:tcBorders>
                                    <w:top w:val="single" w:sz="8" w:space="0" w:color="auto"/>
                                  </w:tcBorders>
                                </w:tcPr>
                                <w:p w14:paraId="6FEA132D" w14:textId="77777777" w:rsidR="00C93BE0" w:rsidRPr="006F0EDD" w:rsidRDefault="00C93BE0" w:rsidP="004E41A6">
                                  <w:pPr>
                                    <w:jc w:val="center"/>
                                    <w:rPr>
                                      <w:rFonts w:ascii="Arial" w:hAnsi="Arial" w:cs="Arial"/>
                                    </w:rPr>
                                  </w:pPr>
                                  <w:r>
                                    <w:rPr>
                                      <w:rFonts w:ascii="Arial" w:hAnsi="Arial" w:cs="Arial"/>
                                    </w:rPr>
                                    <w:t>3.30</w:t>
                                  </w:r>
                                </w:p>
                              </w:tc>
                              <w:tc>
                                <w:tcPr>
                                  <w:tcW w:w="1475" w:type="dxa"/>
                                  <w:tcBorders>
                                    <w:top w:val="single" w:sz="8" w:space="0" w:color="auto"/>
                                  </w:tcBorders>
                                </w:tcPr>
                                <w:p w14:paraId="01EEA7A7" w14:textId="77777777" w:rsidR="00C93BE0" w:rsidRPr="006F0EDD" w:rsidRDefault="00C93BE0" w:rsidP="004E41A6">
                                  <w:pPr>
                                    <w:jc w:val="center"/>
                                    <w:rPr>
                                      <w:rFonts w:ascii="Arial" w:hAnsi="Arial" w:cs="Arial"/>
                                    </w:rPr>
                                  </w:pPr>
                                  <w:r>
                                    <w:rPr>
                                      <w:rFonts w:ascii="Arial" w:hAnsi="Arial" w:cs="Arial"/>
                                    </w:rPr>
                                    <w:t>.002**</w:t>
                                  </w:r>
                                </w:p>
                              </w:tc>
                              <w:tc>
                                <w:tcPr>
                                  <w:tcW w:w="1079" w:type="dxa"/>
                                  <w:tcBorders>
                                    <w:top w:val="single" w:sz="8" w:space="0" w:color="auto"/>
                                  </w:tcBorders>
                                </w:tcPr>
                                <w:p w14:paraId="3BA26059" w14:textId="77777777" w:rsidR="00C93BE0" w:rsidRPr="006F0EDD" w:rsidRDefault="00C93BE0" w:rsidP="004E41A6">
                                  <w:pPr>
                                    <w:jc w:val="center"/>
                                    <w:rPr>
                                      <w:rFonts w:ascii="Arial" w:hAnsi="Arial" w:cs="Arial"/>
                                    </w:rPr>
                                  </w:pPr>
                                  <w:r>
                                    <w:rPr>
                                      <w:rFonts w:ascii="Arial" w:hAnsi="Arial" w:cs="Arial"/>
                                    </w:rPr>
                                    <w:t>3.30</w:t>
                                  </w:r>
                                </w:p>
                              </w:tc>
                              <w:tc>
                                <w:tcPr>
                                  <w:tcW w:w="1204" w:type="dxa"/>
                                  <w:tcBorders>
                                    <w:top w:val="single" w:sz="8" w:space="0" w:color="auto"/>
                                  </w:tcBorders>
                                </w:tcPr>
                                <w:p w14:paraId="5F571664" w14:textId="77777777" w:rsidR="00C93BE0" w:rsidRPr="006F0EDD" w:rsidRDefault="00C93BE0" w:rsidP="004E41A6">
                                  <w:pPr>
                                    <w:jc w:val="center"/>
                                    <w:rPr>
                                      <w:rFonts w:ascii="Arial" w:hAnsi="Arial" w:cs="Arial"/>
                                    </w:rPr>
                                  </w:pPr>
                                  <w:r>
                                    <w:rPr>
                                      <w:rFonts w:ascii="Arial" w:hAnsi="Arial" w:cs="Arial"/>
                                    </w:rPr>
                                    <w:t>.002**</w:t>
                                  </w:r>
                                </w:p>
                              </w:tc>
                            </w:tr>
                            <w:tr w:rsidR="00C93BE0" w14:paraId="6A6B10EB"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293B88A5" w14:textId="02B965AB" w:rsidR="00C93BE0" w:rsidRPr="006F0EDD" w:rsidRDefault="00C93BE0" w:rsidP="004E41A6">
                                  <w:pPr>
                                    <w:jc w:val="center"/>
                                    <w:rPr>
                                      <w:rFonts w:ascii="Arial" w:hAnsi="Arial" w:cs="Arial"/>
                                    </w:rPr>
                                  </w:pPr>
                                  <w:r w:rsidRPr="006F0EDD">
                                    <w:rPr>
                                      <w:rFonts w:ascii="Arial" w:hAnsi="Arial" w:cs="Arial"/>
                                    </w:rPr>
                                    <w:t>V3A</w:t>
                                  </w:r>
                                  <w:r>
                                    <w:rPr>
                                      <w:rFonts w:ascii="Arial" w:hAnsi="Arial" w:cs="Arial"/>
                                    </w:rPr>
                                    <w:t>/</w:t>
                                  </w:r>
                                  <w:r w:rsidRPr="006F0EDD">
                                    <w:rPr>
                                      <w:rFonts w:ascii="Arial" w:hAnsi="Arial" w:cs="Arial"/>
                                    </w:rPr>
                                    <w:t>B</w:t>
                                  </w:r>
                                </w:p>
                              </w:tc>
                              <w:tc>
                                <w:tcPr>
                                  <w:tcW w:w="1285" w:type="dxa"/>
                                </w:tcPr>
                                <w:p w14:paraId="6BF5E9B8" w14:textId="77777777" w:rsidR="00C93BE0" w:rsidRPr="006F0EDD" w:rsidRDefault="00C93BE0" w:rsidP="004E41A6">
                                  <w:pPr>
                                    <w:jc w:val="center"/>
                                    <w:rPr>
                                      <w:rFonts w:ascii="Arial" w:hAnsi="Arial" w:cs="Arial"/>
                                    </w:rPr>
                                  </w:pPr>
                                  <w:r>
                                    <w:rPr>
                                      <w:rFonts w:ascii="Arial" w:hAnsi="Arial" w:cs="Arial"/>
                                    </w:rPr>
                                    <w:t>3.30</w:t>
                                  </w:r>
                                </w:p>
                              </w:tc>
                              <w:tc>
                                <w:tcPr>
                                  <w:tcW w:w="1569" w:type="dxa"/>
                                </w:tcPr>
                                <w:p w14:paraId="5414387F" w14:textId="77777777" w:rsidR="00C93BE0" w:rsidRPr="006F0EDD" w:rsidRDefault="00C93BE0" w:rsidP="004E41A6">
                                  <w:pPr>
                                    <w:jc w:val="center"/>
                                    <w:rPr>
                                      <w:rFonts w:ascii="Arial" w:hAnsi="Arial" w:cs="Arial"/>
                                    </w:rPr>
                                  </w:pPr>
                                  <w:r>
                                    <w:rPr>
                                      <w:rFonts w:ascii="Arial" w:hAnsi="Arial" w:cs="Arial"/>
                                    </w:rPr>
                                    <w:t>.002**</w:t>
                                  </w:r>
                                </w:p>
                              </w:tc>
                              <w:tc>
                                <w:tcPr>
                                  <w:tcW w:w="1076" w:type="dxa"/>
                                </w:tcPr>
                                <w:p w14:paraId="26C83555" w14:textId="77777777" w:rsidR="00C93BE0" w:rsidRPr="006F0EDD" w:rsidRDefault="00C93BE0" w:rsidP="004E41A6">
                                  <w:pPr>
                                    <w:jc w:val="center"/>
                                    <w:rPr>
                                      <w:rFonts w:ascii="Arial" w:hAnsi="Arial" w:cs="Arial"/>
                                    </w:rPr>
                                  </w:pPr>
                                  <w:r>
                                    <w:rPr>
                                      <w:rFonts w:ascii="Arial" w:hAnsi="Arial" w:cs="Arial"/>
                                    </w:rPr>
                                    <w:t>3.30</w:t>
                                  </w:r>
                                </w:p>
                              </w:tc>
                              <w:tc>
                                <w:tcPr>
                                  <w:tcW w:w="1475" w:type="dxa"/>
                                </w:tcPr>
                                <w:p w14:paraId="69B2C582" w14:textId="77777777" w:rsidR="00C93BE0" w:rsidRPr="006F0EDD" w:rsidRDefault="00C93BE0" w:rsidP="004E41A6">
                                  <w:pPr>
                                    <w:jc w:val="center"/>
                                    <w:rPr>
                                      <w:rFonts w:ascii="Arial" w:hAnsi="Arial" w:cs="Arial"/>
                                    </w:rPr>
                                  </w:pPr>
                                  <w:r>
                                    <w:rPr>
                                      <w:rFonts w:ascii="Arial" w:hAnsi="Arial" w:cs="Arial"/>
                                    </w:rPr>
                                    <w:t>.002**</w:t>
                                  </w:r>
                                </w:p>
                              </w:tc>
                              <w:tc>
                                <w:tcPr>
                                  <w:tcW w:w="1079" w:type="dxa"/>
                                </w:tcPr>
                                <w:p w14:paraId="0A4FFEF2" w14:textId="77777777" w:rsidR="00C93BE0" w:rsidRPr="006F0EDD" w:rsidRDefault="00C93BE0" w:rsidP="004E41A6">
                                  <w:pPr>
                                    <w:jc w:val="center"/>
                                    <w:rPr>
                                      <w:rFonts w:ascii="Arial" w:hAnsi="Arial" w:cs="Arial"/>
                                    </w:rPr>
                                  </w:pPr>
                                  <w:r>
                                    <w:rPr>
                                      <w:rFonts w:ascii="Arial" w:hAnsi="Arial" w:cs="Arial"/>
                                    </w:rPr>
                                    <w:t>3.30</w:t>
                                  </w:r>
                                </w:p>
                              </w:tc>
                              <w:tc>
                                <w:tcPr>
                                  <w:tcW w:w="1204" w:type="dxa"/>
                                </w:tcPr>
                                <w:p w14:paraId="39F440EA" w14:textId="77777777" w:rsidR="00C93BE0" w:rsidRPr="006F0EDD" w:rsidRDefault="00C93BE0" w:rsidP="004E41A6">
                                  <w:pPr>
                                    <w:jc w:val="center"/>
                                    <w:rPr>
                                      <w:rFonts w:ascii="Arial" w:hAnsi="Arial" w:cs="Arial"/>
                                    </w:rPr>
                                  </w:pPr>
                                  <w:r>
                                    <w:rPr>
                                      <w:rFonts w:ascii="Arial" w:hAnsi="Arial" w:cs="Arial"/>
                                    </w:rPr>
                                    <w:t>.002**</w:t>
                                  </w:r>
                                </w:p>
                              </w:tc>
                            </w:tr>
                            <w:tr w:rsidR="00C93BE0" w14:paraId="067D18CC"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28750541" w14:textId="77777777" w:rsidR="00C93BE0" w:rsidRPr="006F0EDD" w:rsidRDefault="00C93BE0" w:rsidP="004E41A6">
                                  <w:pPr>
                                    <w:jc w:val="center"/>
                                    <w:rPr>
                                      <w:rFonts w:ascii="Arial" w:hAnsi="Arial" w:cs="Arial"/>
                                    </w:rPr>
                                  </w:pPr>
                                  <w:r w:rsidRPr="006F0EDD">
                                    <w:rPr>
                                      <w:rFonts w:ascii="Arial" w:hAnsi="Arial" w:cs="Arial"/>
                                    </w:rPr>
                                    <w:t>hV4</w:t>
                                  </w:r>
                                </w:p>
                              </w:tc>
                              <w:tc>
                                <w:tcPr>
                                  <w:tcW w:w="1285" w:type="dxa"/>
                                </w:tcPr>
                                <w:p w14:paraId="2C574816" w14:textId="77777777" w:rsidR="00C93BE0" w:rsidRPr="006F0EDD" w:rsidRDefault="00C93BE0" w:rsidP="004E41A6">
                                  <w:pPr>
                                    <w:jc w:val="center"/>
                                    <w:rPr>
                                      <w:rFonts w:ascii="Arial" w:hAnsi="Arial" w:cs="Arial"/>
                                    </w:rPr>
                                  </w:pPr>
                                  <w:r>
                                    <w:rPr>
                                      <w:rFonts w:ascii="Arial" w:hAnsi="Arial" w:cs="Arial"/>
                                    </w:rPr>
                                    <w:t>3.30</w:t>
                                  </w:r>
                                </w:p>
                              </w:tc>
                              <w:tc>
                                <w:tcPr>
                                  <w:tcW w:w="1569" w:type="dxa"/>
                                </w:tcPr>
                                <w:p w14:paraId="2B7533AF" w14:textId="77777777" w:rsidR="00C93BE0" w:rsidRPr="006F0EDD" w:rsidRDefault="00C93BE0" w:rsidP="004E41A6">
                                  <w:pPr>
                                    <w:jc w:val="center"/>
                                    <w:rPr>
                                      <w:rFonts w:ascii="Arial" w:hAnsi="Arial" w:cs="Arial"/>
                                    </w:rPr>
                                  </w:pPr>
                                  <w:r>
                                    <w:rPr>
                                      <w:rFonts w:ascii="Arial" w:hAnsi="Arial" w:cs="Arial"/>
                                    </w:rPr>
                                    <w:t>.002**</w:t>
                                  </w:r>
                                </w:p>
                              </w:tc>
                              <w:tc>
                                <w:tcPr>
                                  <w:tcW w:w="1076" w:type="dxa"/>
                                </w:tcPr>
                                <w:p w14:paraId="4A4C832F" w14:textId="77777777" w:rsidR="00C93BE0" w:rsidRPr="006F0EDD" w:rsidRDefault="00C93BE0" w:rsidP="004E41A6">
                                  <w:pPr>
                                    <w:jc w:val="center"/>
                                    <w:rPr>
                                      <w:rFonts w:ascii="Arial" w:hAnsi="Arial" w:cs="Arial"/>
                                    </w:rPr>
                                  </w:pPr>
                                  <w:r>
                                    <w:rPr>
                                      <w:rFonts w:ascii="Arial" w:hAnsi="Arial" w:cs="Arial"/>
                                    </w:rPr>
                                    <w:t>3.30</w:t>
                                  </w:r>
                                </w:p>
                              </w:tc>
                              <w:tc>
                                <w:tcPr>
                                  <w:tcW w:w="1475" w:type="dxa"/>
                                </w:tcPr>
                                <w:p w14:paraId="74518E45" w14:textId="77777777" w:rsidR="00C93BE0" w:rsidRPr="006F0EDD" w:rsidRDefault="00C93BE0" w:rsidP="004E41A6">
                                  <w:pPr>
                                    <w:jc w:val="center"/>
                                    <w:rPr>
                                      <w:rFonts w:ascii="Arial" w:hAnsi="Arial" w:cs="Arial"/>
                                    </w:rPr>
                                  </w:pPr>
                                  <w:r>
                                    <w:rPr>
                                      <w:rFonts w:ascii="Arial" w:hAnsi="Arial" w:cs="Arial"/>
                                    </w:rPr>
                                    <w:t>.002**</w:t>
                                  </w:r>
                                </w:p>
                              </w:tc>
                              <w:tc>
                                <w:tcPr>
                                  <w:tcW w:w="1079" w:type="dxa"/>
                                </w:tcPr>
                                <w:p w14:paraId="77CBD1FE" w14:textId="77777777" w:rsidR="00C93BE0" w:rsidRPr="006F0EDD" w:rsidRDefault="00C93BE0" w:rsidP="004E41A6">
                                  <w:pPr>
                                    <w:jc w:val="center"/>
                                    <w:rPr>
                                      <w:rFonts w:ascii="Arial" w:hAnsi="Arial" w:cs="Arial"/>
                                    </w:rPr>
                                  </w:pPr>
                                  <w:r>
                                    <w:rPr>
                                      <w:rFonts w:ascii="Arial" w:hAnsi="Arial" w:cs="Arial"/>
                                    </w:rPr>
                                    <w:t>3.30</w:t>
                                  </w:r>
                                </w:p>
                              </w:tc>
                              <w:tc>
                                <w:tcPr>
                                  <w:tcW w:w="1204" w:type="dxa"/>
                                </w:tcPr>
                                <w:p w14:paraId="6143F0E3" w14:textId="77777777" w:rsidR="00C93BE0" w:rsidRPr="006F0EDD" w:rsidRDefault="00C93BE0" w:rsidP="004E41A6">
                                  <w:pPr>
                                    <w:jc w:val="center"/>
                                    <w:rPr>
                                      <w:rFonts w:ascii="Arial" w:hAnsi="Arial" w:cs="Arial"/>
                                    </w:rPr>
                                  </w:pPr>
                                  <w:r>
                                    <w:rPr>
                                      <w:rFonts w:ascii="Arial" w:hAnsi="Arial" w:cs="Arial"/>
                                    </w:rPr>
                                    <w:t>.002**</w:t>
                                  </w:r>
                                </w:p>
                              </w:tc>
                            </w:tr>
                            <w:tr w:rsidR="00C93BE0" w14:paraId="44AE3F2D"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082D05E8" w14:textId="77777777" w:rsidR="00C93BE0" w:rsidRPr="006F0EDD" w:rsidRDefault="00C93BE0" w:rsidP="004E41A6">
                                  <w:pPr>
                                    <w:jc w:val="center"/>
                                    <w:rPr>
                                      <w:rFonts w:ascii="Arial" w:hAnsi="Arial" w:cs="Arial"/>
                                    </w:rPr>
                                  </w:pPr>
                                  <w:r w:rsidRPr="006F0EDD">
                                    <w:rPr>
                                      <w:rFonts w:ascii="Arial" w:hAnsi="Arial" w:cs="Arial"/>
                                    </w:rPr>
                                    <w:t>LO-1</w:t>
                                  </w:r>
                                </w:p>
                              </w:tc>
                              <w:tc>
                                <w:tcPr>
                                  <w:tcW w:w="1285" w:type="dxa"/>
                                </w:tcPr>
                                <w:p w14:paraId="424846CF" w14:textId="77777777" w:rsidR="00C93BE0" w:rsidRPr="006F0EDD" w:rsidRDefault="00C93BE0" w:rsidP="004E41A6">
                                  <w:pPr>
                                    <w:jc w:val="center"/>
                                    <w:rPr>
                                      <w:rFonts w:ascii="Arial" w:hAnsi="Arial" w:cs="Arial"/>
                                    </w:rPr>
                                  </w:pPr>
                                  <w:r>
                                    <w:rPr>
                                      <w:rFonts w:ascii="Arial" w:hAnsi="Arial" w:cs="Arial"/>
                                    </w:rPr>
                                    <w:t>3.23</w:t>
                                  </w:r>
                                </w:p>
                              </w:tc>
                              <w:tc>
                                <w:tcPr>
                                  <w:tcW w:w="1569" w:type="dxa"/>
                                </w:tcPr>
                                <w:p w14:paraId="69D14F82" w14:textId="77777777" w:rsidR="00C93BE0" w:rsidRPr="006F0EDD" w:rsidRDefault="00C93BE0" w:rsidP="004E41A6">
                                  <w:pPr>
                                    <w:jc w:val="center"/>
                                    <w:rPr>
                                      <w:rFonts w:ascii="Arial" w:hAnsi="Arial" w:cs="Arial"/>
                                    </w:rPr>
                                  </w:pPr>
                                  <w:r>
                                    <w:rPr>
                                      <w:rFonts w:ascii="Arial" w:hAnsi="Arial" w:cs="Arial"/>
                                    </w:rPr>
                                    <w:t>.002**</w:t>
                                  </w:r>
                                </w:p>
                              </w:tc>
                              <w:tc>
                                <w:tcPr>
                                  <w:tcW w:w="1076" w:type="dxa"/>
                                </w:tcPr>
                                <w:p w14:paraId="1DE4260A" w14:textId="77777777" w:rsidR="00C93BE0" w:rsidRPr="006F0EDD" w:rsidRDefault="00C93BE0" w:rsidP="004E41A6">
                                  <w:pPr>
                                    <w:jc w:val="center"/>
                                    <w:rPr>
                                      <w:rFonts w:ascii="Arial" w:hAnsi="Arial" w:cs="Arial"/>
                                    </w:rPr>
                                  </w:pPr>
                                  <w:r>
                                    <w:rPr>
                                      <w:rFonts w:ascii="Arial" w:hAnsi="Arial" w:cs="Arial"/>
                                    </w:rPr>
                                    <w:t>3.17</w:t>
                                  </w:r>
                                </w:p>
                              </w:tc>
                              <w:tc>
                                <w:tcPr>
                                  <w:tcW w:w="1475" w:type="dxa"/>
                                </w:tcPr>
                                <w:p w14:paraId="5494121E" w14:textId="77777777" w:rsidR="00C93BE0" w:rsidRPr="006F0EDD" w:rsidRDefault="00C93BE0" w:rsidP="004E41A6">
                                  <w:pPr>
                                    <w:jc w:val="center"/>
                                    <w:rPr>
                                      <w:rFonts w:ascii="Arial" w:hAnsi="Arial" w:cs="Arial"/>
                                    </w:rPr>
                                  </w:pPr>
                                  <w:r>
                                    <w:rPr>
                                      <w:rFonts w:ascii="Arial" w:hAnsi="Arial" w:cs="Arial"/>
                                    </w:rPr>
                                    <w:t>.002**</w:t>
                                  </w:r>
                                </w:p>
                              </w:tc>
                              <w:tc>
                                <w:tcPr>
                                  <w:tcW w:w="1079" w:type="dxa"/>
                                </w:tcPr>
                                <w:p w14:paraId="4F87E37C" w14:textId="77777777" w:rsidR="00C93BE0" w:rsidRPr="006F0EDD" w:rsidRDefault="00C93BE0" w:rsidP="004E41A6">
                                  <w:pPr>
                                    <w:jc w:val="center"/>
                                    <w:rPr>
                                      <w:rFonts w:ascii="Arial" w:hAnsi="Arial" w:cs="Arial"/>
                                    </w:rPr>
                                  </w:pPr>
                                  <w:r>
                                    <w:rPr>
                                      <w:rFonts w:ascii="Arial" w:hAnsi="Arial" w:cs="Arial"/>
                                    </w:rPr>
                                    <w:t>3.23</w:t>
                                  </w:r>
                                </w:p>
                              </w:tc>
                              <w:tc>
                                <w:tcPr>
                                  <w:tcW w:w="1204" w:type="dxa"/>
                                </w:tcPr>
                                <w:p w14:paraId="2B2EFD0A" w14:textId="77777777" w:rsidR="00C93BE0" w:rsidRPr="006F0EDD" w:rsidRDefault="00C93BE0" w:rsidP="004E41A6">
                                  <w:pPr>
                                    <w:jc w:val="center"/>
                                    <w:rPr>
                                      <w:rFonts w:ascii="Arial" w:hAnsi="Arial" w:cs="Arial"/>
                                    </w:rPr>
                                  </w:pPr>
                                  <w:r>
                                    <w:rPr>
                                      <w:rFonts w:ascii="Arial" w:hAnsi="Arial" w:cs="Arial"/>
                                    </w:rPr>
                                    <w:t>.002**</w:t>
                                  </w:r>
                                </w:p>
                              </w:tc>
                            </w:tr>
                            <w:tr w:rsidR="00C93BE0" w14:paraId="09D945B2"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6BBA7351" w14:textId="77777777" w:rsidR="00C93BE0" w:rsidRPr="006F0EDD" w:rsidRDefault="00C93BE0" w:rsidP="004E41A6">
                                  <w:pPr>
                                    <w:jc w:val="center"/>
                                    <w:rPr>
                                      <w:rFonts w:ascii="Arial" w:hAnsi="Arial" w:cs="Arial"/>
                                    </w:rPr>
                                  </w:pPr>
                                  <w:r w:rsidRPr="006F0EDD">
                                    <w:rPr>
                                      <w:rFonts w:ascii="Arial" w:hAnsi="Arial" w:cs="Arial"/>
                                    </w:rPr>
                                    <w:t>LO-2</w:t>
                                  </w:r>
                                </w:p>
                              </w:tc>
                              <w:tc>
                                <w:tcPr>
                                  <w:tcW w:w="1285" w:type="dxa"/>
                                </w:tcPr>
                                <w:p w14:paraId="6AE6DFB0" w14:textId="77777777" w:rsidR="00C93BE0" w:rsidRPr="006F0EDD" w:rsidRDefault="00C93BE0" w:rsidP="004E41A6">
                                  <w:pPr>
                                    <w:jc w:val="center"/>
                                    <w:rPr>
                                      <w:rFonts w:ascii="Arial" w:hAnsi="Arial" w:cs="Arial"/>
                                    </w:rPr>
                                  </w:pPr>
                                  <w:r>
                                    <w:rPr>
                                      <w:rFonts w:ascii="Arial" w:hAnsi="Arial" w:cs="Arial"/>
                                    </w:rPr>
                                    <w:t>3.30</w:t>
                                  </w:r>
                                </w:p>
                              </w:tc>
                              <w:tc>
                                <w:tcPr>
                                  <w:tcW w:w="1569" w:type="dxa"/>
                                </w:tcPr>
                                <w:p w14:paraId="3620471E" w14:textId="77777777" w:rsidR="00C93BE0" w:rsidRPr="006F0EDD" w:rsidRDefault="00C93BE0" w:rsidP="004E41A6">
                                  <w:pPr>
                                    <w:jc w:val="center"/>
                                    <w:rPr>
                                      <w:rFonts w:ascii="Arial" w:hAnsi="Arial" w:cs="Arial"/>
                                    </w:rPr>
                                  </w:pPr>
                                  <w:r>
                                    <w:rPr>
                                      <w:rFonts w:ascii="Arial" w:hAnsi="Arial" w:cs="Arial"/>
                                    </w:rPr>
                                    <w:t>.002**</w:t>
                                  </w:r>
                                </w:p>
                              </w:tc>
                              <w:tc>
                                <w:tcPr>
                                  <w:tcW w:w="1076" w:type="dxa"/>
                                </w:tcPr>
                                <w:p w14:paraId="0F551E32" w14:textId="77777777" w:rsidR="00C93BE0" w:rsidRPr="006F0EDD" w:rsidRDefault="00C93BE0" w:rsidP="004E41A6">
                                  <w:pPr>
                                    <w:jc w:val="center"/>
                                    <w:rPr>
                                      <w:rFonts w:ascii="Arial" w:hAnsi="Arial" w:cs="Arial"/>
                                    </w:rPr>
                                  </w:pPr>
                                  <w:r>
                                    <w:rPr>
                                      <w:rFonts w:ascii="Arial" w:hAnsi="Arial" w:cs="Arial"/>
                                    </w:rPr>
                                    <w:t>3.23</w:t>
                                  </w:r>
                                </w:p>
                              </w:tc>
                              <w:tc>
                                <w:tcPr>
                                  <w:tcW w:w="1475" w:type="dxa"/>
                                </w:tcPr>
                                <w:p w14:paraId="4F7424E7" w14:textId="77777777" w:rsidR="00C93BE0" w:rsidRPr="006F0EDD" w:rsidRDefault="00C93BE0" w:rsidP="004E41A6">
                                  <w:pPr>
                                    <w:jc w:val="center"/>
                                    <w:rPr>
                                      <w:rFonts w:ascii="Arial" w:hAnsi="Arial" w:cs="Arial"/>
                                    </w:rPr>
                                  </w:pPr>
                                  <w:r>
                                    <w:rPr>
                                      <w:rFonts w:ascii="Arial" w:hAnsi="Arial" w:cs="Arial"/>
                                    </w:rPr>
                                    <w:t>.002**</w:t>
                                  </w:r>
                                </w:p>
                              </w:tc>
                              <w:tc>
                                <w:tcPr>
                                  <w:tcW w:w="1079" w:type="dxa"/>
                                </w:tcPr>
                                <w:p w14:paraId="35B8895C" w14:textId="77777777" w:rsidR="00C93BE0" w:rsidRPr="006F0EDD" w:rsidRDefault="00C93BE0" w:rsidP="004E41A6">
                                  <w:pPr>
                                    <w:jc w:val="center"/>
                                    <w:rPr>
                                      <w:rFonts w:ascii="Arial" w:hAnsi="Arial" w:cs="Arial"/>
                                    </w:rPr>
                                  </w:pPr>
                                  <w:r>
                                    <w:rPr>
                                      <w:rFonts w:ascii="Arial" w:hAnsi="Arial" w:cs="Arial"/>
                                    </w:rPr>
                                    <w:t>3.30</w:t>
                                  </w:r>
                                </w:p>
                              </w:tc>
                              <w:tc>
                                <w:tcPr>
                                  <w:tcW w:w="1204" w:type="dxa"/>
                                </w:tcPr>
                                <w:p w14:paraId="037A674A" w14:textId="77777777" w:rsidR="00C93BE0" w:rsidRPr="006F0EDD" w:rsidRDefault="00C93BE0" w:rsidP="004E41A6">
                                  <w:pPr>
                                    <w:jc w:val="center"/>
                                    <w:rPr>
                                      <w:rFonts w:ascii="Arial" w:hAnsi="Arial" w:cs="Arial"/>
                                    </w:rPr>
                                  </w:pPr>
                                  <w:r>
                                    <w:rPr>
                                      <w:rFonts w:ascii="Arial" w:hAnsi="Arial" w:cs="Arial"/>
                                    </w:rPr>
                                    <w:t>.002**</w:t>
                                  </w:r>
                                </w:p>
                              </w:tc>
                            </w:tr>
                            <w:tr w:rsidR="00C93BE0" w14:paraId="23C9BD7D"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6F537FE6" w14:textId="77777777" w:rsidR="00C93BE0" w:rsidRPr="006F0EDD" w:rsidRDefault="00C93BE0" w:rsidP="004E41A6">
                                  <w:pPr>
                                    <w:jc w:val="center"/>
                                    <w:rPr>
                                      <w:rFonts w:ascii="Arial" w:hAnsi="Arial" w:cs="Arial"/>
                                    </w:rPr>
                                  </w:pPr>
                                  <w:r>
                                    <w:rPr>
                                      <w:rFonts w:ascii="Arial" w:hAnsi="Arial" w:cs="Arial"/>
                                    </w:rPr>
                                    <w:t>OFA</w:t>
                                  </w:r>
                                </w:p>
                              </w:tc>
                              <w:tc>
                                <w:tcPr>
                                  <w:tcW w:w="1285" w:type="dxa"/>
                                </w:tcPr>
                                <w:p w14:paraId="715E8A45" w14:textId="77777777" w:rsidR="00C93BE0" w:rsidRDefault="00C93BE0" w:rsidP="004E41A6">
                                  <w:pPr>
                                    <w:jc w:val="center"/>
                                    <w:rPr>
                                      <w:rFonts w:ascii="Arial" w:hAnsi="Arial" w:cs="Arial"/>
                                    </w:rPr>
                                  </w:pPr>
                                  <w:r>
                                    <w:rPr>
                                      <w:rFonts w:ascii="Arial" w:hAnsi="Arial" w:cs="Arial"/>
                                    </w:rPr>
                                    <w:t>3.04</w:t>
                                  </w:r>
                                </w:p>
                              </w:tc>
                              <w:tc>
                                <w:tcPr>
                                  <w:tcW w:w="1569" w:type="dxa"/>
                                </w:tcPr>
                                <w:p w14:paraId="52EB72AD" w14:textId="77777777" w:rsidR="00C93BE0" w:rsidRDefault="00C93BE0" w:rsidP="004E41A6">
                                  <w:pPr>
                                    <w:jc w:val="center"/>
                                    <w:rPr>
                                      <w:rFonts w:ascii="Arial" w:hAnsi="Arial" w:cs="Arial"/>
                                    </w:rPr>
                                  </w:pPr>
                                  <w:r>
                                    <w:rPr>
                                      <w:rFonts w:ascii="Arial" w:hAnsi="Arial" w:cs="Arial"/>
                                    </w:rPr>
                                    <w:t>.003**</w:t>
                                  </w:r>
                                </w:p>
                              </w:tc>
                              <w:tc>
                                <w:tcPr>
                                  <w:tcW w:w="1076" w:type="dxa"/>
                                </w:tcPr>
                                <w:p w14:paraId="2D9B2932" w14:textId="77777777" w:rsidR="00C93BE0" w:rsidRDefault="00C93BE0" w:rsidP="004E41A6">
                                  <w:pPr>
                                    <w:jc w:val="center"/>
                                    <w:rPr>
                                      <w:rFonts w:ascii="Arial" w:hAnsi="Arial" w:cs="Arial"/>
                                    </w:rPr>
                                  </w:pPr>
                                  <w:r>
                                    <w:rPr>
                                      <w:rFonts w:ascii="Arial" w:hAnsi="Arial" w:cs="Arial"/>
                                    </w:rPr>
                                    <w:t>3.23</w:t>
                                  </w:r>
                                </w:p>
                              </w:tc>
                              <w:tc>
                                <w:tcPr>
                                  <w:tcW w:w="1475" w:type="dxa"/>
                                </w:tcPr>
                                <w:p w14:paraId="34882E8B" w14:textId="77777777" w:rsidR="00C93BE0" w:rsidRDefault="00C93BE0" w:rsidP="004E41A6">
                                  <w:pPr>
                                    <w:jc w:val="center"/>
                                    <w:rPr>
                                      <w:rFonts w:ascii="Arial" w:hAnsi="Arial" w:cs="Arial"/>
                                    </w:rPr>
                                  </w:pPr>
                                  <w:r>
                                    <w:rPr>
                                      <w:rFonts w:ascii="Arial" w:hAnsi="Arial" w:cs="Arial"/>
                                    </w:rPr>
                                    <w:t>.002**</w:t>
                                  </w:r>
                                </w:p>
                              </w:tc>
                              <w:tc>
                                <w:tcPr>
                                  <w:tcW w:w="1079" w:type="dxa"/>
                                </w:tcPr>
                                <w:p w14:paraId="676E59FE" w14:textId="77777777" w:rsidR="00C93BE0" w:rsidRDefault="00C93BE0" w:rsidP="004E41A6">
                                  <w:pPr>
                                    <w:jc w:val="center"/>
                                    <w:rPr>
                                      <w:rFonts w:ascii="Arial" w:hAnsi="Arial" w:cs="Arial"/>
                                    </w:rPr>
                                  </w:pPr>
                                  <w:r>
                                    <w:rPr>
                                      <w:rFonts w:ascii="Arial" w:hAnsi="Arial" w:cs="Arial"/>
                                    </w:rPr>
                                    <w:t>3.17</w:t>
                                  </w:r>
                                </w:p>
                              </w:tc>
                              <w:tc>
                                <w:tcPr>
                                  <w:tcW w:w="1204" w:type="dxa"/>
                                </w:tcPr>
                                <w:p w14:paraId="0F7F5AC4" w14:textId="77777777" w:rsidR="00C93BE0" w:rsidRDefault="00C93BE0" w:rsidP="004E41A6">
                                  <w:pPr>
                                    <w:jc w:val="center"/>
                                    <w:rPr>
                                      <w:rFonts w:ascii="Arial" w:hAnsi="Arial" w:cs="Arial"/>
                                    </w:rPr>
                                  </w:pPr>
                                  <w:r>
                                    <w:rPr>
                                      <w:rFonts w:ascii="Arial" w:hAnsi="Arial" w:cs="Arial"/>
                                    </w:rPr>
                                    <w:t>.002**</w:t>
                                  </w:r>
                                </w:p>
                              </w:tc>
                            </w:tr>
                            <w:tr w:rsidR="00C93BE0" w14:paraId="7D8A1942"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0D77254D" w14:textId="77777777" w:rsidR="00C93BE0" w:rsidRPr="006F0EDD" w:rsidRDefault="00C93BE0" w:rsidP="004E41A6">
                                  <w:pPr>
                                    <w:jc w:val="center"/>
                                    <w:rPr>
                                      <w:rFonts w:ascii="Arial" w:hAnsi="Arial" w:cs="Arial"/>
                                    </w:rPr>
                                  </w:pPr>
                                  <w:r>
                                    <w:rPr>
                                      <w:rFonts w:ascii="Arial" w:hAnsi="Arial" w:cs="Arial"/>
                                    </w:rPr>
                                    <w:t>FFA</w:t>
                                  </w:r>
                                </w:p>
                              </w:tc>
                              <w:tc>
                                <w:tcPr>
                                  <w:tcW w:w="1285" w:type="dxa"/>
                                </w:tcPr>
                                <w:p w14:paraId="2EDEB9FD" w14:textId="77777777" w:rsidR="00C93BE0" w:rsidRDefault="00C93BE0" w:rsidP="004E41A6">
                                  <w:pPr>
                                    <w:jc w:val="center"/>
                                    <w:rPr>
                                      <w:rFonts w:ascii="Arial" w:hAnsi="Arial" w:cs="Arial"/>
                                    </w:rPr>
                                  </w:pPr>
                                  <w:r>
                                    <w:rPr>
                                      <w:rFonts w:ascii="Arial" w:hAnsi="Arial" w:cs="Arial"/>
                                    </w:rPr>
                                    <w:t>2.10</w:t>
                                  </w:r>
                                </w:p>
                              </w:tc>
                              <w:tc>
                                <w:tcPr>
                                  <w:tcW w:w="1569" w:type="dxa"/>
                                </w:tcPr>
                                <w:p w14:paraId="3191EF89" w14:textId="77777777" w:rsidR="00C93BE0" w:rsidRDefault="00C93BE0" w:rsidP="004E41A6">
                                  <w:pPr>
                                    <w:jc w:val="center"/>
                                    <w:rPr>
                                      <w:rFonts w:ascii="Arial" w:hAnsi="Arial" w:cs="Arial"/>
                                    </w:rPr>
                                  </w:pPr>
                                  <w:r>
                                    <w:rPr>
                                      <w:rFonts w:ascii="Arial" w:hAnsi="Arial" w:cs="Arial"/>
                                    </w:rPr>
                                    <w:t>.040*</w:t>
                                  </w:r>
                                </w:p>
                              </w:tc>
                              <w:tc>
                                <w:tcPr>
                                  <w:tcW w:w="1076" w:type="dxa"/>
                                </w:tcPr>
                                <w:p w14:paraId="469F1F54" w14:textId="77777777" w:rsidR="00C93BE0" w:rsidRDefault="00C93BE0" w:rsidP="004E41A6">
                                  <w:pPr>
                                    <w:jc w:val="center"/>
                                    <w:rPr>
                                      <w:rFonts w:ascii="Arial" w:hAnsi="Arial" w:cs="Arial"/>
                                    </w:rPr>
                                  </w:pPr>
                                  <w:r>
                                    <w:rPr>
                                      <w:rFonts w:ascii="Arial" w:hAnsi="Arial" w:cs="Arial"/>
                                    </w:rPr>
                                    <w:t>2.29</w:t>
                                  </w:r>
                                </w:p>
                              </w:tc>
                              <w:tc>
                                <w:tcPr>
                                  <w:tcW w:w="1475" w:type="dxa"/>
                                </w:tcPr>
                                <w:p w14:paraId="6181BB12" w14:textId="77777777" w:rsidR="00C93BE0" w:rsidRDefault="00C93BE0" w:rsidP="004E41A6">
                                  <w:pPr>
                                    <w:jc w:val="center"/>
                                    <w:rPr>
                                      <w:rFonts w:ascii="Arial" w:hAnsi="Arial" w:cs="Arial"/>
                                    </w:rPr>
                                  </w:pPr>
                                  <w:r>
                                    <w:rPr>
                                      <w:rFonts w:ascii="Arial" w:hAnsi="Arial" w:cs="Arial"/>
                                    </w:rPr>
                                    <w:t>.025*</w:t>
                                  </w:r>
                                </w:p>
                              </w:tc>
                              <w:tc>
                                <w:tcPr>
                                  <w:tcW w:w="1079" w:type="dxa"/>
                                </w:tcPr>
                                <w:p w14:paraId="48F28E69" w14:textId="77777777" w:rsidR="00C93BE0" w:rsidRDefault="00C93BE0" w:rsidP="004E41A6">
                                  <w:pPr>
                                    <w:jc w:val="center"/>
                                    <w:rPr>
                                      <w:rFonts w:ascii="Arial" w:hAnsi="Arial" w:cs="Arial"/>
                                    </w:rPr>
                                  </w:pPr>
                                  <w:r>
                                    <w:rPr>
                                      <w:rFonts w:ascii="Arial" w:hAnsi="Arial" w:cs="Arial"/>
                                    </w:rPr>
                                    <w:t>2.17</w:t>
                                  </w:r>
                                </w:p>
                              </w:tc>
                              <w:tc>
                                <w:tcPr>
                                  <w:tcW w:w="1204" w:type="dxa"/>
                                </w:tcPr>
                                <w:p w14:paraId="1C4E2910" w14:textId="77777777" w:rsidR="00C93BE0" w:rsidRDefault="00C93BE0" w:rsidP="004E41A6">
                                  <w:pPr>
                                    <w:jc w:val="center"/>
                                    <w:rPr>
                                      <w:rFonts w:ascii="Arial" w:hAnsi="Arial" w:cs="Arial"/>
                                    </w:rPr>
                                  </w:pPr>
                                  <w:r>
                                    <w:rPr>
                                      <w:rFonts w:ascii="Arial" w:hAnsi="Arial" w:cs="Arial"/>
                                    </w:rPr>
                                    <w:t>.034*</w:t>
                                  </w:r>
                                </w:p>
                              </w:tc>
                            </w:tr>
                            <w:tr w:rsidR="00C93BE0" w14:paraId="66E8C87D"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35F80000" w14:textId="77777777" w:rsidR="00C93BE0" w:rsidRPr="006F0EDD" w:rsidRDefault="00C93BE0" w:rsidP="004E41A6">
                                  <w:pPr>
                                    <w:jc w:val="center"/>
                                    <w:rPr>
                                      <w:rFonts w:ascii="Arial" w:hAnsi="Arial" w:cs="Arial"/>
                                    </w:rPr>
                                  </w:pPr>
                                  <w:r>
                                    <w:rPr>
                                      <w:rFonts w:ascii="Arial" w:hAnsi="Arial" w:cs="Arial"/>
                                    </w:rPr>
                                    <w:t>STS</w:t>
                                  </w:r>
                                </w:p>
                              </w:tc>
                              <w:tc>
                                <w:tcPr>
                                  <w:tcW w:w="1285" w:type="dxa"/>
                                </w:tcPr>
                                <w:p w14:paraId="0624BFC5" w14:textId="77777777" w:rsidR="00C93BE0" w:rsidRDefault="00C93BE0" w:rsidP="004E41A6">
                                  <w:pPr>
                                    <w:jc w:val="center"/>
                                    <w:rPr>
                                      <w:rFonts w:ascii="Arial" w:hAnsi="Arial" w:cs="Arial"/>
                                    </w:rPr>
                                  </w:pPr>
                                  <w:r>
                                    <w:rPr>
                                      <w:rFonts w:ascii="Arial" w:hAnsi="Arial" w:cs="Arial"/>
                                    </w:rPr>
                                    <w:t>-0.09</w:t>
                                  </w:r>
                                </w:p>
                              </w:tc>
                              <w:tc>
                                <w:tcPr>
                                  <w:tcW w:w="1569" w:type="dxa"/>
                                </w:tcPr>
                                <w:p w14:paraId="4ADD8BC8" w14:textId="77777777" w:rsidR="00C93BE0" w:rsidRDefault="00C93BE0" w:rsidP="004E41A6">
                                  <w:pPr>
                                    <w:jc w:val="center"/>
                                    <w:rPr>
                                      <w:rFonts w:ascii="Arial" w:hAnsi="Arial" w:cs="Arial"/>
                                    </w:rPr>
                                  </w:pPr>
                                  <w:r>
                                    <w:rPr>
                                      <w:rFonts w:ascii="Arial" w:hAnsi="Arial" w:cs="Arial"/>
                                    </w:rPr>
                                    <w:t>.925</w:t>
                                  </w:r>
                                </w:p>
                              </w:tc>
                              <w:tc>
                                <w:tcPr>
                                  <w:tcW w:w="1076" w:type="dxa"/>
                                </w:tcPr>
                                <w:p w14:paraId="30485FBC" w14:textId="77777777" w:rsidR="00C93BE0" w:rsidRDefault="00C93BE0" w:rsidP="004E41A6">
                                  <w:pPr>
                                    <w:jc w:val="center"/>
                                    <w:rPr>
                                      <w:rFonts w:ascii="Arial" w:hAnsi="Arial" w:cs="Arial"/>
                                    </w:rPr>
                                  </w:pPr>
                                  <w:r>
                                    <w:rPr>
                                      <w:rFonts w:ascii="Arial" w:hAnsi="Arial" w:cs="Arial"/>
                                    </w:rPr>
                                    <w:t>0.28</w:t>
                                  </w:r>
                                </w:p>
                              </w:tc>
                              <w:tc>
                                <w:tcPr>
                                  <w:tcW w:w="1475" w:type="dxa"/>
                                </w:tcPr>
                                <w:p w14:paraId="638D6E3C" w14:textId="77777777" w:rsidR="00C93BE0" w:rsidRDefault="00C93BE0" w:rsidP="004E41A6">
                                  <w:pPr>
                                    <w:jc w:val="center"/>
                                    <w:rPr>
                                      <w:rFonts w:ascii="Arial" w:hAnsi="Arial" w:cs="Arial"/>
                                    </w:rPr>
                                  </w:pPr>
                                  <w:r>
                                    <w:rPr>
                                      <w:rFonts w:ascii="Arial" w:hAnsi="Arial" w:cs="Arial"/>
                                    </w:rPr>
                                    <w:t>.778</w:t>
                                  </w:r>
                                </w:p>
                              </w:tc>
                              <w:tc>
                                <w:tcPr>
                                  <w:tcW w:w="1079" w:type="dxa"/>
                                </w:tcPr>
                                <w:p w14:paraId="43CAE3D1" w14:textId="77777777" w:rsidR="00C93BE0" w:rsidRDefault="00C93BE0" w:rsidP="004E41A6">
                                  <w:pPr>
                                    <w:jc w:val="center"/>
                                    <w:rPr>
                                      <w:rFonts w:ascii="Arial" w:hAnsi="Arial" w:cs="Arial"/>
                                    </w:rPr>
                                  </w:pPr>
                                  <w:r>
                                    <w:rPr>
                                      <w:rFonts w:ascii="Arial" w:hAnsi="Arial" w:cs="Arial"/>
                                    </w:rPr>
                                    <w:t>0.28</w:t>
                                  </w:r>
                                </w:p>
                              </w:tc>
                              <w:tc>
                                <w:tcPr>
                                  <w:tcW w:w="1204" w:type="dxa"/>
                                </w:tcPr>
                                <w:p w14:paraId="5992919B" w14:textId="77777777" w:rsidR="00C93BE0" w:rsidRDefault="00C93BE0" w:rsidP="004E41A6">
                                  <w:pPr>
                                    <w:jc w:val="center"/>
                                    <w:rPr>
                                      <w:rFonts w:ascii="Arial" w:hAnsi="Arial" w:cs="Arial"/>
                                    </w:rPr>
                                  </w:pPr>
                                  <w:r>
                                    <w:rPr>
                                      <w:rFonts w:ascii="Arial" w:hAnsi="Arial" w:cs="Arial"/>
                                    </w:rPr>
                                    <w:t>.778</w:t>
                                  </w:r>
                                </w:p>
                              </w:tc>
                            </w:tr>
                            <w:tr w:rsidR="00C93BE0" w14:paraId="207695B7"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bottom w:val="single" w:sz="8" w:space="0" w:color="000000"/>
                                  </w:tcBorders>
                                </w:tcPr>
                                <w:p w14:paraId="0B6053CE" w14:textId="77777777" w:rsidR="00C93BE0" w:rsidRDefault="00C93BE0" w:rsidP="004E41A6">
                                  <w:pPr>
                                    <w:jc w:val="center"/>
                                    <w:rPr>
                                      <w:rFonts w:ascii="Arial" w:hAnsi="Arial" w:cs="Arial"/>
                                    </w:rPr>
                                  </w:pPr>
                                  <w:r>
                                    <w:rPr>
                                      <w:rFonts w:ascii="Arial" w:hAnsi="Arial" w:cs="Arial"/>
                                    </w:rPr>
                                    <w:t>A1</w:t>
                                  </w:r>
                                </w:p>
                              </w:tc>
                              <w:tc>
                                <w:tcPr>
                                  <w:tcW w:w="1285" w:type="dxa"/>
                                  <w:tcBorders>
                                    <w:bottom w:val="single" w:sz="8" w:space="0" w:color="000000"/>
                                  </w:tcBorders>
                                </w:tcPr>
                                <w:p w14:paraId="097BCB00" w14:textId="77777777" w:rsidR="00C93BE0" w:rsidRDefault="00C93BE0" w:rsidP="004E41A6">
                                  <w:pPr>
                                    <w:jc w:val="center"/>
                                    <w:rPr>
                                      <w:rFonts w:ascii="Arial" w:hAnsi="Arial" w:cs="Arial"/>
                                    </w:rPr>
                                  </w:pPr>
                                  <w:r>
                                    <w:rPr>
                                      <w:rFonts w:ascii="Arial" w:hAnsi="Arial" w:cs="Arial"/>
                                    </w:rPr>
                                    <w:t>-3.23</w:t>
                                  </w:r>
                                </w:p>
                              </w:tc>
                              <w:tc>
                                <w:tcPr>
                                  <w:tcW w:w="1569" w:type="dxa"/>
                                  <w:tcBorders>
                                    <w:bottom w:val="single" w:sz="8" w:space="0" w:color="000000"/>
                                  </w:tcBorders>
                                </w:tcPr>
                                <w:p w14:paraId="6D276536" w14:textId="77777777" w:rsidR="00C93BE0" w:rsidRDefault="00C93BE0" w:rsidP="004E41A6">
                                  <w:pPr>
                                    <w:jc w:val="center"/>
                                    <w:rPr>
                                      <w:rFonts w:ascii="Arial" w:hAnsi="Arial" w:cs="Arial"/>
                                    </w:rPr>
                                  </w:pPr>
                                  <w:r>
                                    <w:rPr>
                                      <w:rFonts w:ascii="Arial" w:hAnsi="Arial" w:cs="Arial"/>
                                    </w:rPr>
                                    <w:t>.002**</w:t>
                                  </w:r>
                                </w:p>
                              </w:tc>
                              <w:tc>
                                <w:tcPr>
                                  <w:tcW w:w="1076" w:type="dxa"/>
                                  <w:tcBorders>
                                    <w:bottom w:val="single" w:sz="8" w:space="0" w:color="000000"/>
                                  </w:tcBorders>
                                </w:tcPr>
                                <w:p w14:paraId="1B62BAE3" w14:textId="77777777" w:rsidR="00C93BE0" w:rsidRDefault="00C93BE0" w:rsidP="004E41A6">
                                  <w:pPr>
                                    <w:jc w:val="center"/>
                                    <w:rPr>
                                      <w:rFonts w:ascii="Arial" w:hAnsi="Arial" w:cs="Arial"/>
                                    </w:rPr>
                                  </w:pPr>
                                  <w:r>
                                    <w:rPr>
                                      <w:rFonts w:ascii="Arial" w:hAnsi="Arial" w:cs="Arial"/>
                                    </w:rPr>
                                    <w:t>-3.17</w:t>
                                  </w:r>
                                </w:p>
                              </w:tc>
                              <w:tc>
                                <w:tcPr>
                                  <w:tcW w:w="1475" w:type="dxa"/>
                                  <w:tcBorders>
                                    <w:bottom w:val="single" w:sz="8" w:space="0" w:color="000000"/>
                                  </w:tcBorders>
                                </w:tcPr>
                                <w:p w14:paraId="35A84A17" w14:textId="77777777" w:rsidR="00C93BE0" w:rsidRDefault="00C93BE0" w:rsidP="004E41A6">
                                  <w:pPr>
                                    <w:jc w:val="center"/>
                                    <w:rPr>
                                      <w:rFonts w:ascii="Arial" w:hAnsi="Arial" w:cs="Arial"/>
                                    </w:rPr>
                                  </w:pPr>
                                  <w:r>
                                    <w:rPr>
                                      <w:rFonts w:ascii="Arial" w:hAnsi="Arial" w:cs="Arial"/>
                                    </w:rPr>
                                    <w:t>.002**</w:t>
                                  </w:r>
                                </w:p>
                              </w:tc>
                              <w:tc>
                                <w:tcPr>
                                  <w:tcW w:w="1079" w:type="dxa"/>
                                  <w:tcBorders>
                                    <w:bottom w:val="single" w:sz="8" w:space="0" w:color="000000"/>
                                  </w:tcBorders>
                                </w:tcPr>
                                <w:p w14:paraId="142F33F8" w14:textId="77777777" w:rsidR="00C93BE0" w:rsidRDefault="00C93BE0" w:rsidP="004E41A6">
                                  <w:pPr>
                                    <w:jc w:val="center"/>
                                    <w:rPr>
                                      <w:rFonts w:ascii="Arial" w:hAnsi="Arial" w:cs="Arial"/>
                                    </w:rPr>
                                  </w:pPr>
                                  <w:r>
                                    <w:rPr>
                                      <w:rFonts w:ascii="Arial" w:hAnsi="Arial" w:cs="Arial"/>
                                    </w:rPr>
                                    <w:t>-3.17</w:t>
                                  </w:r>
                                </w:p>
                              </w:tc>
                              <w:tc>
                                <w:tcPr>
                                  <w:tcW w:w="1204" w:type="dxa"/>
                                  <w:tcBorders>
                                    <w:bottom w:val="single" w:sz="8" w:space="0" w:color="000000"/>
                                  </w:tcBorders>
                                </w:tcPr>
                                <w:p w14:paraId="71E95BE0" w14:textId="77777777" w:rsidR="00C93BE0" w:rsidRDefault="00C93BE0" w:rsidP="004E41A6">
                                  <w:pPr>
                                    <w:jc w:val="center"/>
                                    <w:rPr>
                                      <w:rFonts w:ascii="Arial" w:hAnsi="Arial" w:cs="Arial"/>
                                    </w:rPr>
                                  </w:pPr>
                                  <w:r>
                                    <w:rPr>
                                      <w:rFonts w:ascii="Arial" w:hAnsi="Arial" w:cs="Arial"/>
                                    </w:rPr>
                                    <w:t>.002**</w:t>
                                  </w:r>
                                </w:p>
                              </w:tc>
                            </w:tr>
                          </w:tbl>
                          <w:p w14:paraId="005A5258" w14:textId="77777777" w:rsidR="00C93BE0" w:rsidRPr="006F0EDD" w:rsidRDefault="00C93BE0" w:rsidP="00D4752B">
                            <w:pPr>
                              <w:rPr>
                                <w:rFonts w:ascii="Arial" w:hAnsi="Arial" w:cs="Arial"/>
                                <w:i/>
                                <w:iCs/>
                              </w:rPr>
                            </w:pPr>
                            <w:r w:rsidRPr="006F0EDD">
                              <w:rPr>
                                <w:rFonts w:ascii="Arial" w:hAnsi="Arial" w:cs="Arial"/>
                                <w:i/>
                                <w:iCs/>
                              </w:rPr>
                              <w:t>*</w:t>
                            </w:r>
                            <w:r>
                              <w:rPr>
                                <w:rFonts w:ascii="Arial" w:hAnsi="Arial" w:cs="Arial"/>
                                <w:i/>
                                <w:iCs/>
                              </w:rPr>
                              <w:t xml:space="preserve"> p &lt;.05, ** p&lt;.01, *** p&lt;.001</w:t>
                            </w:r>
                          </w:p>
                          <w:p w14:paraId="2415AAAD" w14:textId="77777777" w:rsidR="00C93BE0" w:rsidRDefault="00C93BE0" w:rsidP="00D475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0FE7E" id="Text Box 19" o:spid="_x0000_s1063" type="#_x0000_t202" style="position:absolute;margin-left:-10.85pt;margin-top:261.45pt;width:457.75pt;height:227.5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" filled="f" stroked="f" strokeweight=".5pt">
                <v:textbox>
                  <w:txbxContent>
                    <w:p w14:paraId="4AFC9799" w14:textId="77777777" w:rsidR="00C93BE0" w:rsidRPr="00A92335" w:rsidRDefault="00C93BE0" w:rsidP="00D4752B">
                      <w:pPr>
                        <w:pStyle w:val="Caption"/>
                        <w:keepNext/>
                        <w:rPr>
                          <w:rFonts w:ascii="Arial" w:hAnsi="Arial" w:cs="Arial"/>
                          <w:i w:val="0"/>
                          <w:iCs w:val="0"/>
                          <w:color w:val="000000" w:themeColor="text1"/>
                          <w:sz w:val="24"/>
                          <w:szCs w:val="24"/>
                        </w:rPr>
                      </w:pPr>
                      <w:r w:rsidRPr="00A92335">
                        <w:rPr>
                          <w:rFonts w:ascii="Arial" w:hAnsi="Arial" w:cs="Arial"/>
                          <w:b/>
                          <w:bCs/>
                          <w:i w:val="0"/>
                          <w:iCs w:val="0"/>
                          <w:color w:val="000000" w:themeColor="text1"/>
                          <w:sz w:val="24"/>
                          <w:szCs w:val="24"/>
                        </w:rPr>
                        <w:t xml:space="preserve">Table </w:t>
                      </w:r>
                      <w:r>
                        <w:rPr>
                          <w:rFonts w:ascii="Arial" w:hAnsi="Arial" w:cs="Arial"/>
                          <w:b/>
                          <w:bCs/>
                          <w:i w:val="0"/>
                          <w:iCs w:val="0"/>
                          <w:color w:val="000000" w:themeColor="text1"/>
                          <w:sz w:val="24"/>
                          <w:szCs w:val="24"/>
                        </w:rPr>
                        <w:t>6</w:t>
                      </w:r>
                      <w:r w:rsidRPr="00A92335">
                        <w:rPr>
                          <w:rFonts w:ascii="Arial" w:hAnsi="Arial" w:cs="Arial"/>
                          <w:b/>
                          <w:bCs/>
                          <w:i w:val="0"/>
                          <w:iCs w:val="0"/>
                          <w:color w:val="000000" w:themeColor="text1"/>
                          <w:sz w:val="24"/>
                          <w:szCs w:val="24"/>
                        </w:rPr>
                        <w:t>.</w:t>
                      </w:r>
                      <w:r>
                        <w:rPr>
                          <w:rFonts w:ascii="Arial" w:hAnsi="Arial" w:cs="Arial"/>
                          <w:b/>
                          <w:bCs/>
                          <w:i w:val="0"/>
                          <w:iCs w:val="0"/>
                          <w:color w:val="000000" w:themeColor="text1"/>
                          <w:sz w:val="24"/>
                          <w:szCs w:val="24"/>
                        </w:rPr>
                        <w:t xml:space="preserve">1 </w:t>
                      </w:r>
                      <w:r>
                        <w:rPr>
                          <w:rFonts w:ascii="Arial" w:hAnsi="Arial" w:cs="Arial"/>
                          <w:i w:val="0"/>
                          <w:iCs w:val="0"/>
                          <w:color w:val="000000" w:themeColor="text1"/>
                          <w:sz w:val="24"/>
                          <w:szCs w:val="24"/>
                        </w:rPr>
                        <w:t xml:space="preserve">Almost all visual ROIs exhibit significantly greater BOLD signal modulation during attention versus an absence of signal.   </w:t>
                      </w:r>
                    </w:p>
                    <w:tbl>
                      <w:tblPr>
                        <w:tblStyle w:val="TableGrid"/>
                        <w:tblW w:w="0" w:type="auto"/>
                        <w:tblLook w:val="04A0" w:firstRow="1" w:lastRow="0" w:firstColumn="1" w:lastColumn="0" w:noHBand="0" w:noVBand="1"/>
                      </w:tblPr>
                      <w:tblGrid>
                        <w:gridCol w:w="974"/>
                        <w:gridCol w:w="1285"/>
                        <w:gridCol w:w="1569"/>
                        <w:gridCol w:w="1076"/>
                        <w:gridCol w:w="1475"/>
                        <w:gridCol w:w="1079"/>
                        <w:gridCol w:w="1204"/>
                      </w:tblGrid>
                      <w:tr w:rsidR="00C93BE0" w14:paraId="33C6B99B" w14:textId="77777777" w:rsidTr="004E41A6">
                        <w:tc>
                          <w:tcPr>
                            <w:tcW w:w="974" w:type="dxa"/>
                            <w:tcBorders>
                              <w:top w:val="single" w:sz="18" w:space="0" w:color="000000"/>
                              <w:left w:val="nil"/>
                              <w:bottom w:val="single" w:sz="8" w:space="0" w:color="000000"/>
                              <w:right w:val="nil"/>
                            </w:tcBorders>
                          </w:tcPr>
                          <w:p w14:paraId="5750948F" w14:textId="77777777" w:rsidR="00C93BE0" w:rsidRPr="006F0EDD" w:rsidRDefault="00C93BE0" w:rsidP="004E41A6">
                            <w:pPr>
                              <w:rPr>
                                <w:rFonts w:ascii="Arial" w:hAnsi="Arial" w:cs="Arial"/>
                              </w:rPr>
                            </w:pPr>
                          </w:p>
                        </w:tc>
                        <w:tc>
                          <w:tcPr>
                            <w:tcW w:w="2854" w:type="dxa"/>
                            <w:gridSpan w:val="2"/>
                            <w:tcBorders>
                              <w:top w:val="single" w:sz="18" w:space="0" w:color="000000"/>
                              <w:left w:val="nil"/>
                              <w:bottom w:val="single" w:sz="8" w:space="0" w:color="000000"/>
                              <w:right w:val="nil"/>
                            </w:tcBorders>
                          </w:tcPr>
                          <w:p w14:paraId="496012D5" w14:textId="77777777" w:rsidR="00C93BE0" w:rsidRPr="006F0EDD" w:rsidRDefault="00C93BE0" w:rsidP="004E41A6">
                            <w:pPr>
                              <w:jc w:val="center"/>
                              <w:rPr>
                                <w:rFonts w:ascii="Arial" w:hAnsi="Arial" w:cs="Arial"/>
                              </w:rPr>
                            </w:pPr>
                            <w:r>
                              <w:rPr>
                                <w:rFonts w:ascii="Arial" w:hAnsi="Arial" w:cs="Arial"/>
                              </w:rPr>
                              <w:t>Orientation</w:t>
                            </w:r>
                          </w:p>
                        </w:tc>
                        <w:tc>
                          <w:tcPr>
                            <w:tcW w:w="2551" w:type="dxa"/>
                            <w:gridSpan w:val="2"/>
                            <w:tcBorders>
                              <w:top w:val="single" w:sz="18" w:space="0" w:color="000000"/>
                              <w:left w:val="nil"/>
                              <w:bottom w:val="single" w:sz="8" w:space="0" w:color="000000"/>
                              <w:right w:val="nil"/>
                            </w:tcBorders>
                          </w:tcPr>
                          <w:p w14:paraId="05BF49E7" w14:textId="77777777" w:rsidR="00C93BE0" w:rsidRPr="006F0EDD" w:rsidRDefault="00C93BE0" w:rsidP="004E41A6">
                            <w:pPr>
                              <w:jc w:val="center"/>
                              <w:rPr>
                                <w:rFonts w:ascii="Arial" w:hAnsi="Arial" w:cs="Arial"/>
                              </w:rPr>
                            </w:pPr>
                            <w:r>
                              <w:rPr>
                                <w:rFonts w:ascii="Arial" w:hAnsi="Arial" w:cs="Arial"/>
                              </w:rPr>
                              <w:t>Colour</w:t>
                            </w:r>
                          </w:p>
                        </w:tc>
                        <w:tc>
                          <w:tcPr>
                            <w:tcW w:w="2283" w:type="dxa"/>
                            <w:gridSpan w:val="2"/>
                            <w:tcBorders>
                              <w:top w:val="single" w:sz="18" w:space="0" w:color="000000"/>
                              <w:left w:val="nil"/>
                              <w:bottom w:val="single" w:sz="8" w:space="0" w:color="000000"/>
                              <w:right w:val="nil"/>
                            </w:tcBorders>
                          </w:tcPr>
                          <w:p w14:paraId="1682D233" w14:textId="77777777" w:rsidR="00C93BE0" w:rsidRPr="006F0EDD" w:rsidRDefault="00C93BE0" w:rsidP="004E41A6">
                            <w:pPr>
                              <w:jc w:val="center"/>
                              <w:rPr>
                                <w:rFonts w:ascii="Arial" w:hAnsi="Arial" w:cs="Arial"/>
                              </w:rPr>
                            </w:pPr>
                            <w:r>
                              <w:rPr>
                                <w:rFonts w:ascii="Arial" w:hAnsi="Arial" w:cs="Arial"/>
                              </w:rPr>
                              <w:t>Shape</w:t>
                            </w:r>
                          </w:p>
                        </w:tc>
                      </w:tr>
                      <w:tr w:rsidR="00C93BE0" w14:paraId="024F4160"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bottom w:val="single" w:sz="8" w:space="0" w:color="000000"/>
                            </w:tcBorders>
                          </w:tcPr>
                          <w:p w14:paraId="69CB494C" w14:textId="77777777" w:rsidR="00C93BE0" w:rsidRPr="006F0EDD" w:rsidRDefault="00C93BE0" w:rsidP="004E41A6">
                            <w:pPr>
                              <w:jc w:val="center"/>
                              <w:rPr>
                                <w:rFonts w:ascii="Arial" w:hAnsi="Arial" w:cs="Arial"/>
                              </w:rPr>
                            </w:pPr>
                            <w:r>
                              <w:rPr>
                                <w:rFonts w:ascii="Arial" w:hAnsi="Arial" w:cs="Arial"/>
                              </w:rPr>
                              <w:t>ROI</w:t>
                            </w:r>
                          </w:p>
                        </w:tc>
                        <w:tc>
                          <w:tcPr>
                            <w:tcW w:w="1285" w:type="dxa"/>
                            <w:tcBorders>
                              <w:top w:val="single" w:sz="8" w:space="0" w:color="000000"/>
                              <w:bottom w:val="single" w:sz="8" w:space="0" w:color="auto"/>
                            </w:tcBorders>
                          </w:tcPr>
                          <w:p w14:paraId="36C7C838" w14:textId="77777777" w:rsidR="00C93BE0" w:rsidRPr="006F0EDD" w:rsidRDefault="00C93BE0" w:rsidP="004E41A6">
                            <w:pPr>
                              <w:jc w:val="center"/>
                              <w:rPr>
                                <w:rFonts w:ascii="Arial" w:hAnsi="Arial" w:cs="Arial"/>
                              </w:rPr>
                            </w:pPr>
                            <w:r>
                              <w:rPr>
                                <w:rFonts w:ascii="Arial" w:hAnsi="Arial" w:cs="Arial"/>
                              </w:rPr>
                              <w:t>W</w:t>
                            </w:r>
                          </w:p>
                        </w:tc>
                        <w:tc>
                          <w:tcPr>
                            <w:tcW w:w="1569" w:type="dxa"/>
                            <w:tcBorders>
                              <w:top w:val="single" w:sz="8" w:space="0" w:color="000000"/>
                              <w:bottom w:val="single" w:sz="8" w:space="0" w:color="auto"/>
                            </w:tcBorders>
                          </w:tcPr>
                          <w:p w14:paraId="2958DD7E" w14:textId="77777777" w:rsidR="00C93BE0" w:rsidRPr="006F0EDD" w:rsidRDefault="00C93BE0" w:rsidP="004E41A6">
                            <w:pPr>
                              <w:jc w:val="center"/>
                              <w:rPr>
                                <w:rFonts w:ascii="Arial" w:hAnsi="Arial" w:cs="Arial"/>
                                <w:i/>
                                <w:iCs/>
                              </w:rPr>
                            </w:pPr>
                            <w:r>
                              <w:rPr>
                                <w:rFonts w:ascii="Arial" w:hAnsi="Arial" w:cs="Arial"/>
                                <w:i/>
                                <w:iCs/>
                              </w:rPr>
                              <w:t>p</w:t>
                            </w:r>
                          </w:p>
                        </w:tc>
                        <w:tc>
                          <w:tcPr>
                            <w:tcW w:w="1076" w:type="dxa"/>
                            <w:tcBorders>
                              <w:top w:val="single" w:sz="8" w:space="0" w:color="000000"/>
                              <w:bottom w:val="single" w:sz="8" w:space="0" w:color="auto"/>
                            </w:tcBorders>
                          </w:tcPr>
                          <w:p w14:paraId="5135F9BF" w14:textId="77777777" w:rsidR="00C93BE0" w:rsidRPr="006F0EDD" w:rsidRDefault="00C93BE0" w:rsidP="004E41A6">
                            <w:pPr>
                              <w:jc w:val="center"/>
                              <w:rPr>
                                <w:rFonts w:ascii="Arial" w:hAnsi="Arial" w:cs="Arial"/>
                              </w:rPr>
                            </w:pPr>
                            <w:r>
                              <w:rPr>
                                <w:rFonts w:ascii="Arial" w:hAnsi="Arial" w:cs="Arial"/>
                              </w:rPr>
                              <w:t>W</w:t>
                            </w:r>
                          </w:p>
                        </w:tc>
                        <w:tc>
                          <w:tcPr>
                            <w:tcW w:w="1475" w:type="dxa"/>
                            <w:tcBorders>
                              <w:top w:val="single" w:sz="8" w:space="0" w:color="000000"/>
                              <w:bottom w:val="single" w:sz="8" w:space="0" w:color="auto"/>
                            </w:tcBorders>
                          </w:tcPr>
                          <w:p w14:paraId="1EBAFF76" w14:textId="77777777" w:rsidR="00C93BE0" w:rsidRPr="006F0EDD" w:rsidRDefault="00C93BE0" w:rsidP="004E41A6">
                            <w:pPr>
                              <w:jc w:val="center"/>
                              <w:rPr>
                                <w:rFonts w:ascii="Arial" w:hAnsi="Arial" w:cs="Arial"/>
                                <w:i/>
                                <w:iCs/>
                              </w:rPr>
                            </w:pPr>
                            <w:r>
                              <w:rPr>
                                <w:rFonts w:ascii="Arial" w:hAnsi="Arial" w:cs="Arial"/>
                                <w:i/>
                                <w:iCs/>
                              </w:rPr>
                              <w:t>p</w:t>
                            </w:r>
                          </w:p>
                        </w:tc>
                        <w:tc>
                          <w:tcPr>
                            <w:tcW w:w="1079" w:type="dxa"/>
                            <w:tcBorders>
                              <w:top w:val="single" w:sz="8" w:space="0" w:color="000000"/>
                              <w:bottom w:val="single" w:sz="8" w:space="0" w:color="auto"/>
                            </w:tcBorders>
                          </w:tcPr>
                          <w:p w14:paraId="06E71B00" w14:textId="77777777" w:rsidR="00C93BE0" w:rsidRPr="006F0EDD" w:rsidRDefault="00C93BE0" w:rsidP="004E41A6">
                            <w:pPr>
                              <w:jc w:val="center"/>
                              <w:rPr>
                                <w:rFonts w:ascii="Arial" w:hAnsi="Arial" w:cs="Arial"/>
                              </w:rPr>
                            </w:pPr>
                            <w:r>
                              <w:rPr>
                                <w:rFonts w:ascii="Arial" w:hAnsi="Arial" w:cs="Arial"/>
                              </w:rPr>
                              <w:t>W</w:t>
                            </w:r>
                          </w:p>
                        </w:tc>
                        <w:tc>
                          <w:tcPr>
                            <w:tcW w:w="1204" w:type="dxa"/>
                            <w:tcBorders>
                              <w:top w:val="single" w:sz="8" w:space="0" w:color="000000"/>
                              <w:bottom w:val="single" w:sz="8" w:space="0" w:color="auto"/>
                            </w:tcBorders>
                          </w:tcPr>
                          <w:p w14:paraId="6B038D43" w14:textId="77777777" w:rsidR="00C93BE0" w:rsidRPr="006F0EDD" w:rsidRDefault="00C93BE0" w:rsidP="004E41A6">
                            <w:pPr>
                              <w:jc w:val="center"/>
                              <w:rPr>
                                <w:rFonts w:ascii="Arial" w:hAnsi="Arial" w:cs="Arial"/>
                                <w:i/>
                                <w:iCs/>
                              </w:rPr>
                            </w:pPr>
                            <w:r>
                              <w:rPr>
                                <w:rFonts w:ascii="Arial" w:hAnsi="Arial" w:cs="Arial"/>
                                <w:i/>
                                <w:iCs/>
                              </w:rPr>
                              <w:t>p</w:t>
                            </w:r>
                          </w:p>
                        </w:tc>
                      </w:tr>
                      <w:tr w:rsidR="00C93BE0" w14:paraId="2B02E5ED"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top w:val="single" w:sz="8" w:space="0" w:color="000000"/>
                            </w:tcBorders>
                          </w:tcPr>
                          <w:p w14:paraId="358BA112" w14:textId="77777777" w:rsidR="00C93BE0" w:rsidRPr="006F0EDD" w:rsidRDefault="00C93BE0" w:rsidP="004E41A6">
                            <w:pPr>
                              <w:jc w:val="center"/>
                              <w:rPr>
                                <w:rFonts w:ascii="Arial" w:hAnsi="Arial" w:cs="Arial"/>
                              </w:rPr>
                            </w:pPr>
                            <w:r w:rsidRPr="006F0EDD">
                              <w:rPr>
                                <w:rFonts w:ascii="Arial" w:hAnsi="Arial" w:cs="Arial"/>
                              </w:rPr>
                              <w:t>V1</w:t>
                            </w:r>
                          </w:p>
                        </w:tc>
                        <w:tc>
                          <w:tcPr>
                            <w:tcW w:w="1285" w:type="dxa"/>
                            <w:tcBorders>
                              <w:top w:val="single" w:sz="8" w:space="0" w:color="auto"/>
                            </w:tcBorders>
                          </w:tcPr>
                          <w:p w14:paraId="48AEF4ED" w14:textId="77777777" w:rsidR="00C93BE0" w:rsidRPr="006F0EDD" w:rsidRDefault="00C93BE0" w:rsidP="004E41A6">
                            <w:pPr>
                              <w:jc w:val="center"/>
                              <w:rPr>
                                <w:rFonts w:ascii="Arial" w:hAnsi="Arial" w:cs="Arial"/>
                              </w:rPr>
                            </w:pPr>
                            <w:r>
                              <w:rPr>
                                <w:rFonts w:ascii="Arial" w:hAnsi="Arial" w:cs="Arial"/>
                              </w:rPr>
                              <w:t>3.30</w:t>
                            </w:r>
                          </w:p>
                        </w:tc>
                        <w:tc>
                          <w:tcPr>
                            <w:tcW w:w="1569" w:type="dxa"/>
                            <w:tcBorders>
                              <w:top w:val="single" w:sz="8" w:space="0" w:color="auto"/>
                            </w:tcBorders>
                          </w:tcPr>
                          <w:p w14:paraId="7AF6FA37" w14:textId="77777777" w:rsidR="00C93BE0" w:rsidRPr="006F0EDD" w:rsidRDefault="00C93BE0" w:rsidP="004E41A6">
                            <w:pPr>
                              <w:jc w:val="center"/>
                              <w:rPr>
                                <w:rFonts w:ascii="Arial" w:hAnsi="Arial" w:cs="Arial"/>
                              </w:rPr>
                            </w:pPr>
                            <w:r>
                              <w:rPr>
                                <w:rFonts w:ascii="Arial" w:hAnsi="Arial" w:cs="Arial"/>
                              </w:rPr>
                              <w:t>.002**</w:t>
                            </w:r>
                          </w:p>
                        </w:tc>
                        <w:tc>
                          <w:tcPr>
                            <w:tcW w:w="1076" w:type="dxa"/>
                            <w:tcBorders>
                              <w:top w:val="single" w:sz="8" w:space="0" w:color="auto"/>
                            </w:tcBorders>
                          </w:tcPr>
                          <w:p w14:paraId="6FEA132D" w14:textId="77777777" w:rsidR="00C93BE0" w:rsidRPr="006F0EDD" w:rsidRDefault="00C93BE0" w:rsidP="004E41A6">
                            <w:pPr>
                              <w:jc w:val="center"/>
                              <w:rPr>
                                <w:rFonts w:ascii="Arial" w:hAnsi="Arial" w:cs="Arial"/>
                              </w:rPr>
                            </w:pPr>
                            <w:r>
                              <w:rPr>
                                <w:rFonts w:ascii="Arial" w:hAnsi="Arial" w:cs="Arial"/>
                              </w:rPr>
                              <w:t>3.30</w:t>
                            </w:r>
                          </w:p>
                        </w:tc>
                        <w:tc>
                          <w:tcPr>
                            <w:tcW w:w="1475" w:type="dxa"/>
                            <w:tcBorders>
                              <w:top w:val="single" w:sz="8" w:space="0" w:color="auto"/>
                            </w:tcBorders>
                          </w:tcPr>
                          <w:p w14:paraId="01EEA7A7" w14:textId="77777777" w:rsidR="00C93BE0" w:rsidRPr="006F0EDD" w:rsidRDefault="00C93BE0" w:rsidP="004E41A6">
                            <w:pPr>
                              <w:jc w:val="center"/>
                              <w:rPr>
                                <w:rFonts w:ascii="Arial" w:hAnsi="Arial" w:cs="Arial"/>
                              </w:rPr>
                            </w:pPr>
                            <w:r>
                              <w:rPr>
                                <w:rFonts w:ascii="Arial" w:hAnsi="Arial" w:cs="Arial"/>
                              </w:rPr>
                              <w:t>.002**</w:t>
                            </w:r>
                          </w:p>
                        </w:tc>
                        <w:tc>
                          <w:tcPr>
                            <w:tcW w:w="1079" w:type="dxa"/>
                            <w:tcBorders>
                              <w:top w:val="single" w:sz="8" w:space="0" w:color="auto"/>
                            </w:tcBorders>
                          </w:tcPr>
                          <w:p w14:paraId="3BA26059" w14:textId="77777777" w:rsidR="00C93BE0" w:rsidRPr="006F0EDD" w:rsidRDefault="00C93BE0" w:rsidP="004E41A6">
                            <w:pPr>
                              <w:jc w:val="center"/>
                              <w:rPr>
                                <w:rFonts w:ascii="Arial" w:hAnsi="Arial" w:cs="Arial"/>
                              </w:rPr>
                            </w:pPr>
                            <w:r>
                              <w:rPr>
                                <w:rFonts w:ascii="Arial" w:hAnsi="Arial" w:cs="Arial"/>
                              </w:rPr>
                              <w:t>3.30</w:t>
                            </w:r>
                          </w:p>
                        </w:tc>
                        <w:tc>
                          <w:tcPr>
                            <w:tcW w:w="1204" w:type="dxa"/>
                            <w:tcBorders>
                              <w:top w:val="single" w:sz="8" w:space="0" w:color="auto"/>
                            </w:tcBorders>
                          </w:tcPr>
                          <w:p w14:paraId="5F571664" w14:textId="77777777" w:rsidR="00C93BE0" w:rsidRPr="006F0EDD" w:rsidRDefault="00C93BE0" w:rsidP="004E41A6">
                            <w:pPr>
                              <w:jc w:val="center"/>
                              <w:rPr>
                                <w:rFonts w:ascii="Arial" w:hAnsi="Arial" w:cs="Arial"/>
                              </w:rPr>
                            </w:pPr>
                            <w:r>
                              <w:rPr>
                                <w:rFonts w:ascii="Arial" w:hAnsi="Arial" w:cs="Arial"/>
                              </w:rPr>
                              <w:t>.002**</w:t>
                            </w:r>
                          </w:p>
                        </w:tc>
                      </w:tr>
                      <w:tr w:rsidR="00C93BE0" w14:paraId="6A6B10EB"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293B88A5" w14:textId="02B965AB" w:rsidR="00C93BE0" w:rsidRPr="006F0EDD" w:rsidRDefault="00C93BE0" w:rsidP="004E41A6">
                            <w:pPr>
                              <w:jc w:val="center"/>
                              <w:rPr>
                                <w:rFonts w:ascii="Arial" w:hAnsi="Arial" w:cs="Arial"/>
                              </w:rPr>
                            </w:pPr>
                            <w:r w:rsidRPr="006F0EDD">
                              <w:rPr>
                                <w:rFonts w:ascii="Arial" w:hAnsi="Arial" w:cs="Arial"/>
                              </w:rPr>
                              <w:t>V3A</w:t>
                            </w:r>
                            <w:r>
                              <w:rPr>
                                <w:rFonts w:ascii="Arial" w:hAnsi="Arial" w:cs="Arial"/>
                              </w:rPr>
                              <w:t>/</w:t>
                            </w:r>
                            <w:r w:rsidRPr="006F0EDD">
                              <w:rPr>
                                <w:rFonts w:ascii="Arial" w:hAnsi="Arial" w:cs="Arial"/>
                              </w:rPr>
                              <w:t>B</w:t>
                            </w:r>
                          </w:p>
                        </w:tc>
                        <w:tc>
                          <w:tcPr>
                            <w:tcW w:w="1285" w:type="dxa"/>
                          </w:tcPr>
                          <w:p w14:paraId="6BF5E9B8" w14:textId="77777777" w:rsidR="00C93BE0" w:rsidRPr="006F0EDD" w:rsidRDefault="00C93BE0" w:rsidP="004E41A6">
                            <w:pPr>
                              <w:jc w:val="center"/>
                              <w:rPr>
                                <w:rFonts w:ascii="Arial" w:hAnsi="Arial" w:cs="Arial"/>
                              </w:rPr>
                            </w:pPr>
                            <w:r>
                              <w:rPr>
                                <w:rFonts w:ascii="Arial" w:hAnsi="Arial" w:cs="Arial"/>
                              </w:rPr>
                              <w:t>3.30</w:t>
                            </w:r>
                          </w:p>
                        </w:tc>
                        <w:tc>
                          <w:tcPr>
                            <w:tcW w:w="1569" w:type="dxa"/>
                          </w:tcPr>
                          <w:p w14:paraId="5414387F" w14:textId="77777777" w:rsidR="00C93BE0" w:rsidRPr="006F0EDD" w:rsidRDefault="00C93BE0" w:rsidP="004E41A6">
                            <w:pPr>
                              <w:jc w:val="center"/>
                              <w:rPr>
                                <w:rFonts w:ascii="Arial" w:hAnsi="Arial" w:cs="Arial"/>
                              </w:rPr>
                            </w:pPr>
                            <w:r>
                              <w:rPr>
                                <w:rFonts w:ascii="Arial" w:hAnsi="Arial" w:cs="Arial"/>
                              </w:rPr>
                              <w:t>.002**</w:t>
                            </w:r>
                          </w:p>
                        </w:tc>
                        <w:tc>
                          <w:tcPr>
                            <w:tcW w:w="1076" w:type="dxa"/>
                          </w:tcPr>
                          <w:p w14:paraId="26C83555" w14:textId="77777777" w:rsidR="00C93BE0" w:rsidRPr="006F0EDD" w:rsidRDefault="00C93BE0" w:rsidP="004E41A6">
                            <w:pPr>
                              <w:jc w:val="center"/>
                              <w:rPr>
                                <w:rFonts w:ascii="Arial" w:hAnsi="Arial" w:cs="Arial"/>
                              </w:rPr>
                            </w:pPr>
                            <w:r>
                              <w:rPr>
                                <w:rFonts w:ascii="Arial" w:hAnsi="Arial" w:cs="Arial"/>
                              </w:rPr>
                              <w:t>3.30</w:t>
                            </w:r>
                          </w:p>
                        </w:tc>
                        <w:tc>
                          <w:tcPr>
                            <w:tcW w:w="1475" w:type="dxa"/>
                          </w:tcPr>
                          <w:p w14:paraId="69B2C582" w14:textId="77777777" w:rsidR="00C93BE0" w:rsidRPr="006F0EDD" w:rsidRDefault="00C93BE0" w:rsidP="004E41A6">
                            <w:pPr>
                              <w:jc w:val="center"/>
                              <w:rPr>
                                <w:rFonts w:ascii="Arial" w:hAnsi="Arial" w:cs="Arial"/>
                              </w:rPr>
                            </w:pPr>
                            <w:r>
                              <w:rPr>
                                <w:rFonts w:ascii="Arial" w:hAnsi="Arial" w:cs="Arial"/>
                              </w:rPr>
                              <w:t>.002**</w:t>
                            </w:r>
                          </w:p>
                        </w:tc>
                        <w:tc>
                          <w:tcPr>
                            <w:tcW w:w="1079" w:type="dxa"/>
                          </w:tcPr>
                          <w:p w14:paraId="0A4FFEF2" w14:textId="77777777" w:rsidR="00C93BE0" w:rsidRPr="006F0EDD" w:rsidRDefault="00C93BE0" w:rsidP="004E41A6">
                            <w:pPr>
                              <w:jc w:val="center"/>
                              <w:rPr>
                                <w:rFonts w:ascii="Arial" w:hAnsi="Arial" w:cs="Arial"/>
                              </w:rPr>
                            </w:pPr>
                            <w:r>
                              <w:rPr>
                                <w:rFonts w:ascii="Arial" w:hAnsi="Arial" w:cs="Arial"/>
                              </w:rPr>
                              <w:t>3.30</w:t>
                            </w:r>
                          </w:p>
                        </w:tc>
                        <w:tc>
                          <w:tcPr>
                            <w:tcW w:w="1204" w:type="dxa"/>
                          </w:tcPr>
                          <w:p w14:paraId="39F440EA" w14:textId="77777777" w:rsidR="00C93BE0" w:rsidRPr="006F0EDD" w:rsidRDefault="00C93BE0" w:rsidP="004E41A6">
                            <w:pPr>
                              <w:jc w:val="center"/>
                              <w:rPr>
                                <w:rFonts w:ascii="Arial" w:hAnsi="Arial" w:cs="Arial"/>
                              </w:rPr>
                            </w:pPr>
                            <w:r>
                              <w:rPr>
                                <w:rFonts w:ascii="Arial" w:hAnsi="Arial" w:cs="Arial"/>
                              </w:rPr>
                              <w:t>.002**</w:t>
                            </w:r>
                          </w:p>
                        </w:tc>
                      </w:tr>
                      <w:tr w:rsidR="00C93BE0" w14:paraId="067D18CC"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28750541" w14:textId="77777777" w:rsidR="00C93BE0" w:rsidRPr="006F0EDD" w:rsidRDefault="00C93BE0" w:rsidP="004E41A6">
                            <w:pPr>
                              <w:jc w:val="center"/>
                              <w:rPr>
                                <w:rFonts w:ascii="Arial" w:hAnsi="Arial" w:cs="Arial"/>
                              </w:rPr>
                            </w:pPr>
                            <w:r w:rsidRPr="006F0EDD">
                              <w:rPr>
                                <w:rFonts w:ascii="Arial" w:hAnsi="Arial" w:cs="Arial"/>
                              </w:rPr>
                              <w:t>hV4</w:t>
                            </w:r>
                          </w:p>
                        </w:tc>
                        <w:tc>
                          <w:tcPr>
                            <w:tcW w:w="1285" w:type="dxa"/>
                          </w:tcPr>
                          <w:p w14:paraId="2C574816" w14:textId="77777777" w:rsidR="00C93BE0" w:rsidRPr="006F0EDD" w:rsidRDefault="00C93BE0" w:rsidP="004E41A6">
                            <w:pPr>
                              <w:jc w:val="center"/>
                              <w:rPr>
                                <w:rFonts w:ascii="Arial" w:hAnsi="Arial" w:cs="Arial"/>
                              </w:rPr>
                            </w:pPr>
                            <w:r>
                              <w:rPr>
                                <w:rFonts w:ascii="Arial" w:hAnsi="Arial" w:cs="Arial"/>
                              </w:rPr>
                              <w:t>3.30</w:t>
                            </w:r>
                          </w:p>
                        </w:tc>
                        <w:tc>
                          <w:tcPr>
                            <w:tcW w:w="1569" w:type="dxa"/>
                          </w:tcPr>
                          <w:p w14:paraId="2B7533AF" w14:textId="77777777" w:rsidR="00C93BE0" w:rsidRPr="006F0EDD" w:rsidRDefault="00C93BE0" w:rsidP="004E41A6">
                            <w:pPr>
                              <w:jc w:val="center"/>
                              <w:rPr>
                                <w:rFonts w:ascii="Arial" w:hAnsi="Arial" w:cs="Arial"/>
                              </w:rPr>
                            </w:pPr>
                            <w:r>
                              <w:rPr>
                                <w:rFonts w:ascii="Arial" w:hAnsi="Arial" w:cs="Arial"/>
                              </w:rPr>
                              <w:t>.002**</w:t>
                            </w:r>
                          </w:p>
                        </w:tc>
                        <w:tc>
                          <w:tcPr>
                            <w:tcW w:w="1076" w:type="dxa"/>
                          </w:tcPr>
                          <w:p w14:paraId="4A4C832F" w14:textId="77777777" w:rsidR="00C93BE0" w:rsidRPr="006F0EDD" w:rsidRDefault="00C93BE0" w:rsidP="004E41A6">
                            <w:pPr>
                              <w:jc w:val="center"/>
                              <w:rPr>
                                <w:rFonts w:ascii="Arial" w:hAnsi="Arial" w:cs="Arial"/>
                              </w:rPr>
                            </w:pPr>
                            <w:r>
                              <w:rPr>
                                <w:rFonts w:ascii="Arial" w:hAnsi="Arial" w:cs="Arial"/>
                              </w:rPr>
                              <w:t>3.30</w:t>
                            </w:r>
                          </w:p>
                        </w:tc>
                        <w:tc>
                          <w:tcPr>
                            <w:tcW w:w="1475" w:type="dxa"/>
                          </w:tcPr>
                          <w:p w14:paraId="74518E45" w14:textId="77777777" w:rsidR="00C93BE0" w:rsidRPr="006F0EDD" w:rsidRDefault="00C93BE0" w:rsidP="004E41A6">
                            <w:pPr>
                              <w:jc w:val="center"/>
                              <w:rPr>
                                <w:rFonts w:ascii="Arial" w:hAnsi="Arial" w:cs="Arial"/>
                              </w:rPr>
                            </w:pPr>
                            <w:r>
                              <w:rPr>
                                <w:rFonts w:ascii="Arial" w:hAnsi="Arial" w:cs="Arial"/>
                              </w:rPr>
                              <w:t>.002**</w:t>
                            </w:r>
                          </w:p>
                        </w:tc>
                        <w:tc>
                          <w:tcPr>
                            <w:tcW w:w="1079" w:type="dxa"/>
                          </w:tcPr>
                          <w:p w14:paraId="77CBD1FE" w14:textId="77777777" w:rsidR="00C93BE0" w:rsidRPr="006F0EDD" w:rsidRDefault="00C93BE0" w:rsidP="004E41A6">
                            <w:pPr>
                              <w:jc w:val="center"/>
                              <w:rPr>
                                <w:rFonts w:ascii="Arial" w:hAnsi="Arial" w:cs="Arial"/>
                              </w:rPr>
                            </w:pPr>
                            <w:r>
                              <w:rPr>
                                <w:rFonts w:ascii="Arial" w:hAnsi="Arial" w:cs="Arial"/>
                              </w:rPr>
                              <w:t>3.30</w:t>
                            </w:r>
                          </w:p>
                        </w:tc>
                        <w:tc>
                          <w:tcPr>
                            <w:tcW w:w="1204" w:type="dxa"/>
                          </w:tcPr>
                          <w:p w14:paraId="6143F0E3" w14:textId="77777777" w:rsidR="00C93BE0" w:rsidRPr="006F0EDD" w:rsidRDefault="00C93BE0" w:rsidP="004E41A6">
                            <w:pPr>
                              <w:jc w:val="center"/>
                              <w:rPr>
                                <w:rFonts w:ascii="Arial" w:hAnsi="Arial" w:cs="Arial"/>
                              </w:rPr>
                            </w:pPr>
                            <w:r>
                              <w:rPr>
                                <w:rFonts w:ascii="Arial" w:hAnsi="Arial" w:cs="Arial"/>
                              </w:rPr>
                              <w:t>.002**</w:t>
                            </w:r>
                          </w:p>
                        </w:tc>
                      </w:tr>
                      <w:tr w:rsidR="00C93BE0" w14:paraId="44AE3F2D"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082D05E8" w14:textId="77777777" w:rsidR="00C93BE0" w:rsidRPr="006F0EDD" w:rsidRDefault="00C93BE0" w:rsidP="004E41A6">
                            <w:pPr>
                              <w:jc w:val="center"/>
                              <w:rPr>
                                <w:rFonts w:ascii="Arial" w:hAnsi="Arial" w:cs="Arial"/>
                              </w:rPr>
                            </w:pPr>
                            <w:r w:rsidRPr="006F0EDD">
                              <w:rPr>
                                <w:rFonts w:ascii="Arial" w:hAnsi="Arial" w:cs="Arial"/>
                              </w:rPr>
                              <w:t>LO-1</w:t>
                            </w:r>
                          </w:p>
                        </w:tc>
                        <w:tc>
                          <w:tcPr>
                            <w:tcW w:w="1285" w:type="dxa"/>
                          </w:tcPr>
                          <w:p w14:paraId="424846CF" w14:textId="77777777" w:rsidR="00C93BE0" w:rsidRPr="006F0EDD" w:rsidRDefault="00C93BE0" w:rsidP="004E41A6">
                            <w:pPr>
                              <w:jc w:val="center"/>
                              <w:rPr>
                                <w:rFonts w:ascii="Arial" w:hAnsi="Arial" w:cs="Arial"/>
                              </w:rPr>
                            </w:pPr>
                            <w:r>
                              <w:rPr>
                                <w:rFonts w:ascii="Arial" w:hAnsi="Arial" w:cs="Arial"/>
                              </w:rPr>
                              <w:t>3.23</w:t>
                            </w:r>
                          </w:p>
                        </w:tc>
                        <w:tc>
                          <w:tcPr>
                            <w:tcW w:w="1569" w:type="dxa"/>
                          </w:tcPr>
                          <w:p w14:paraId="69D14F82" w14:textId="77777777" w:rsidR="00C93BE0" w:rsidRPr="006F0EDD" w:rsidRDefault="00C93BE0" w:rsidP="004E41A6">
                            <w:pPr>
                              <w:jc w:val="center"/>
                              <w:rPr>
                                <w:rFonts w:ascii="Arial" w:hAnsi="Arial" w:cs="Arial"/>
                              </w:rPr>
                            </w:pPr>
                            <w:r>
                              <w:rPr>
                                <w:rFonts w:ascii="Arial" w:hAnsi="Arial" w:cs="Arial"/>
                              </w:rPr>
                              <w:t>.002**</w:t>
                            </w:r>
                          </w:p>
                        </w:tc>
                        <w:tc>
                          <w:tcPr>
                            <w:tcW w:w="1076" w:type="dxa"/>
                          </w:tcPr>
                          <w:p w14:paraId="1DE4260A" w14:textId="77777777" w:rsidR="00C93BE0" w:rsidRPr="006F0EDD" w:rsidRDefault="00C93BE0" w:rsidP="004E41A6">
                            <w:pPr>
                              <w:jc w:val="center"/>
                              <w:rPr>
                                <w:rFonts w:ascii="Arial" w:hAnsi="Arial" w:cs="Arial"/>
                              </w:rPr>
                            </w:pPr>
                            <w:r>
                              <w:rPr>
                                <w:rFonts w:ascii="Arial" w:hAnsi="Arial" w:cs="Arial"/>
                              </w:rPr>
                              <w:t>3.17</w:t>
                            </w:r>
                          </w:p>
                        </w:tc>
                        <w:tc>
                          <w:tcPr>
                            <w:tcW w:w="1475" w:type="dxa"/>
                          </w:tcPr>
                          <w:p w14:paraId="5494121E" w14:textId="77777777" w:rsidR="00C93BE0" w:rsidRPr="006F0EDD" w:rsidRDefault="00C93BE0" w:rsidP="004E41A6">
                            <w:pPr>
                              <w:jc w:val="center"/>
                              <w:rPr>
                                <w:rFonts w:ascii="Arial" w:hAnsi="Arial" w:cs="Arial"/>
                              </w:rPr>
                            </w:pPr>
                            <w:r>
                              <w:rPr>
                                <w:rFonts w:ascii="Arial" w:hAnsi="Arial" w:cs="Arial"/>
                              </w:rPr>
                              <w:t>.002**</w:t>
                            </w:r>
                          </w:p>
                        </w:tc>
                        <w:tc>
                          <w:tcPr>
                            <w:tcW w:w="1079" w:type="dxa"/>
                          </w:tcPr>
                          <w:p w14:paraId="4F87E37C" w14:textId="77777777" w:rsidR="00C93BE0" w:rsidRPr="006F0EDD" w:rsidRDefault="00C93BE0" w:rsidP="004E41A6">
                            <w:pPr>
                              <w:jc w:val="center"/>
                              <w:rPr>
                                <w:rFonts w:ascii="Arial" w:hAnsi="Arial" w:cs="Arial"/>
                              </w:rPr>
                            </w:pPr>
                            <w:r>
                              <w:rPr>
                                <w:rFonts w:ascii="Arial" w:hAnsi="Arial" w:cs="Arial"/>
                              </w:rPr>
                              <w:t>3.23</w:t>
                            </w:r>
                          </w:p>
                        </w:tc>
                        <w:tc>
                          <w:tcPr>
                            <w:tcW w:w="1204" w:type="dxa"/>
                          </w:tcPr>
                          <w:p w14:paraId="2B2EFD0A" w14:textId="77777777" w:rsidR="00C93BE0" w:rsidRPr="006F0EDD" w:rsidRDefault="00C93BE0" w:rsidP="004E41A6">
                            <w:pPr>
                              <w:jc w:val="center"/>
                              <w:rPr>
                                <w:rFonts w:ascii="Arial" w:hAnsi="Arial" w:cs="Arial"/>
                              </w:rPr>
                            </w:pPr>
                            <w:r>
                              <w:rPr>
                                <w:rFonts w:ascii="Arial" w:hAnsi="Arial" w:cs="Arial"/>
                              </w:rPr>
                              <w:t>.002**</w:t>
                            </w:r>
                          </w:p>
                        </w:tc>
                      </w:tr>
                      <w:tr w:rsidR="00C93BE0" w14:paraId="09D945B2"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6BBA7351" w14:textId="77777777" w:rsidR="00C93BE0" w:rsidRPr="006F0EDD" w:rsidRDefault="00C93BE0" w:rsidP="004E41A6">
                            <w:pPr>
                              <w:jc w:val="center"/>
                              <w:rPr>
                                <w:rFonts w:ascii="Arial" w:hAnsi="Arial" w:cs="Arial"/>
                              </w:rPr>
                            </w:pPr>
                            <w:r w:rsidRPr="006F0EDD">
                              <w:rPr>
                                <w:rFonts w:ascii="Arial" w:hAnsi="Arial" w:cs="Arial"/>
                              </w:rPr>
                              <w:t>LO-2</w:t>
                            </w:r>
                          </w:p>
                        </w:tc>
                        <w:tc>
                          <w:tcPr>
                            <w:tcW w:w="1285" w:type="dxa"/>
                          </w:tcPr>
                          <w:p w14:paraId="6AE6DFB0" w14:textId="77777777" w:rsidR="00C93BE0" w:rsidRPr="006F0EDD" w:rsidRDefault="00C93BE0" w:rsidP="004E41A6">
                            <w:pPr>
                              <w:jc w:val="center"/>
                              <w:rPr>
                                <w:rFonts w:ascii="Arial" w:hAnsi="Arial" w:cs="Arial"/>
                              </w:rPr>
                            </w:pPr>
                            <w:r>
                              <w:rPr>
                                <w:rFonts w:ascii="Arial" w:hAnsi="Arial" w:cs="Arial"/>
                              </w:rPr>
                              <w:t>3.30</w:t>
                            </w:r>
                          </w:p>
                        </w:tc>
                        <w:tc>
                          <w:tcPr>
                            <w:tcW w:w="1569" w:type="dxa"/>
                          </w:tcPr>
                          <w:p w14:paraId="3620471E" w14:textId="77777777" w:rsidR="00C93BE0" w:rsidRPr="006F0EDD" w:rsidRDefault="00C93BE0" w:rsidP="004E41A6">
                            <w:pPr>
                              <w:jc w:val="center"/>
                              <w:rPr>
                                <w:rFonts w:ascii="Arial" w:hAnsi="Arial" w:cs="Arial"/>
                              </w:rPr>
                            </w:pPr>
                            <w:r>
                              <w:rPr>
                                <w:rFonts w:ascii="Arial" w:hAnsi="Arial" w:cs="Arial"/>
                              </w:rPr>
                              <w:t>.002**</w:t>
                            </w:r>
                          </w:p>
                        </w:tc>
                        <w:tc>
                          <w:tcPr>
                            <w:tcW w:w="1076" w:type="dxa"/>
                          </w:tcPr>
                          <w:p w14:paraId="0F551E32" w14:textId="77777777" w:rsidR="00C93BE0" w:rsidRPr="006F0EDD" w:rsidRDefault="00C93BE0" w:rsidP="004E41A6">
                            <w:pPr>
                              <w:jc w:val="center"/>
                              <w:rPr>
                                <w:rFonts w:ascii="Arial" w:hAnsi="Arial" w:cs="Arial"/>
                              </w:rPr>
                            </w:pPr>
                            <w:r>
                              <w:rPr>
                                <w:rFonts w:ascii="Arial" w:hAnsi="Arial" w:cs="Arial"/>
                              </w:rPr>
                              <w:t>3.23</w:t>
                            </w:r>
                          </w:p>
                        </w:tc>
                        <w:tc>
                          <w:tcPr>
                            <w:tcW w:w="1475" w:type="dxa"/>
                          </w:tcPr>
                          <w:p w14:paraId="4F7424E7" w14:textId="77777777" w:rsidR="00C93BE0" w:rsidRPr="006F0EDD" w:rsidRDefault="00C93BE0" w:rsidP="004E41A6">
                            <w:pPr>
                              <w:jc w:val="center"/>
                              <w:rPr>
                                <w:rFonts w:ascii="Arial" w:hAnsi="Arial" w:cs="Arial"/>
                              </w:rPr>
                            </w:pPr>
                            <w:r>
                              <w:rPr>
                                <w:rFonts w:ascii="Arial" w:hAnsi="Arial" w:cs="Arial"/>
                              </w:rPr>
                              <w:t>.002**</w:t>
                            </w:r>
                          </w:p>
                        </w:tc>
                        <w:tc>
                          <w:tcPr>
                            <w:tcW w:w="1079" w:type="dxa"/>
                          </w:tcPr>
                          <w:p w14:paraId="35B8895C" w14:textId="77777777" w:rsidR="00C93BE0" w:rsidRPr="006F0EDD" w:rsidRDefault="00C93BE0" w:rsidP="004E41A6">
                            <w:pPr>
                              <w:jc w:val="center"/>
                              <w:rPr>
                                <w:rFonts w:ascii="Arial" w:hAnsi="Arial" w:cs="Arial"/>
                              </w:rPr>
                            </w:pPr>
                            <w:r>
                              <w:rPr>
                                <w:rFonts w:ascii="Arial" w:hAnsi="Arial" w:cs="Arial"/>
                              </w:rPr>
                              <w:t>3.30</w:t>
                            </w:r>
                          </w:p>
                        </w:tc>
                        <w:tc>
                          <w:tcPr>
                            <w:tcW w:w="1204" w:type="dxa"/>
                          </w:tcPr>
                          <w:p w14:paraId="037A674A" w14:textId="77777777" w:rsidR="00C93BE0" w:rsidRPr="006F0EDD" w:rsidRDefault="00C93BE0" w:rsidP="004E41A6">
                            <w:pPr>
                              <w:jc w:val="center"/>
                              <w:rPr>
                                <w:rFonts w:ascii="Arial" w:hAnsi="Arial" w:cs="Arial"/>
                              </w:rPr>
                            </w:pPr>
                            <w:r>
                              <w:rPr>
                                <w:rFonts w:ascii="Arial" w:hAnsi="Arial" w:cs="Arial"/>
                              </w:rPr>
                              <w:t>.002**</w:t>
                            </w:r>
                          </w:p>
                        </w:tc>
                      </w:tr>
                      <w:tr w:rsidR="00C93BE0" w14:paraId="23C9BD7D"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6F537FE6" w14:textId="77777777" w:rsidR="00C93BE0" w:rsidRPr="006F0EDD" w:rsidRDefault="00C93BE0" w:rsidP="004E41A6">
                            <w:pPr>
                              <w:jc w:val="center"/>
                              <w:rPr>
                                <w:rFonts w:ascii="Arial" w:hAnsi="Arial" w:cs="Arial"/>
                              </w:rPr>
                            </w:pPr>
                            <w:r>
                              <w:rPr>
                                <w:rFonts w:ascii="Arial" w:hAnsi="Arial" w:cs="Arial"/>
                              </w:rPr>
                              <w:t>OFA</w:t>
                            </w:r>
                          </w:p>
                        </w:tc>
                        <w:tc>
                          <w:tcPr>
                            <w:tcW w:w="1285" w:type="dxa"/>
                          </w:tcPr>
                          <w:p w14:paraId="715E8A45" w14:textId="77777777" w:rsidR="00C93BE0" w:rsidRDefault="00C93BE0" w:rsidP="004E41A6">
                            <w:pPr>
                              <w:jc w:val="center"/>
                              <w:rPr>
                                <w:rFonts w:ascii="Arial" w:hAnsi="Arial" w:cs="Arial"/>
                              </w:rPr>
                            </w:pPr>
                            <w:r>
                              <w:rPr>
                                <w:rFonts w:ascii="Arial" w:hAnsi="Arial" w:cs="Arial"/>
                              </w:rPr>
                              <w:t>3.04</w:t>
                            </w:r>
                          </w:p>
                        </w:tc>
                        <w:tc>
                          <w:tcPr>
                            <w:tcW w:w="1569" w:type="dxa"/>
                          </w:tcPr>
                          <w:p w14:paraId="52EB72AD" w14:textId="77777777" w:rsidR="00C93BE0" w:rsidRDefault="00C93BE0" w:rsidP="004E41A6">
                            <w:pPr>
                              <w:jc w:val="center"/>
                              <w:rPr>
                                <w:rFonts w:ascii="Arial" w:hAnsi="Arial" w:cs="Arial"/>
                              </w:rPr>
                            </w:pPr>
                            <w:r>
                              <w:rPr>
                                <w:rFonts w:ascii="Arial" w:hAnsi="Arial" w:cs="Arial"/>
                              </w:rPr>
                              <w:t>.003**</w:t>
                            </w:r>
                          </w:p>
                        </w:tc>
                        <w:tc>
                          <w:tcPr>
                            <w:tcW w:w="1076" w:type="dxa"/>
                          </w:tcPr>
                          <w:p w14:paraId="2D9B2932" w14:textId="77777777" w:rsidR="00C93BE0" w:rsidRDefault="00C93BE0" w:rsidP="004E41A6">
                            <w:pPr>
                              <w:jc w:val="center"/>
                              <w:rPr>
                                <w:rFonts w:ascii="Arial" w:hAnsi="Arial" w:cs="Arial"/>
                              </w:rPr>
                            </w:pPr>
                            <w:r>
                              <w:rPr>
                                <w:rFonts w:ascii="Arial" w:hAnsi="Arial" w:cs="Arial"/>
                              </w:rPr>
                              <w:t>3.23</w:t>
                            </w:r>
                          </w:p>
                        </w:tc>
                        <w:tc>
                          <w:tcPr>
                            <w:tcW w:w="1475" w:type="dxa"/>
                          </w:tcPr>
                          <w:p w14:paraId="34882E8B" w14:textId="77777777" w:rsidR="00C93BE0" w:rsidRDefault="00C93BE0" w:rsidP="004E41A6">
                            <w:pPr>
                              <w:jc w:val="center"/>
                              <w:rPr>
                                <w:rFonts w:ascii="Arial" w:hAnsi="Arial" w:cs="Arial"/>
                              </w:rPr>
                            </w:pPr>
                            <w:r>
                              <w:rPr>
                                <w:rFonts w:ascii="Arial" w:hAnsi="Arial" w:cs="Arial"/>
                              </w:rPr>
                              <w:t>.002**</w:t>
                            </w:r>
                          </w:p>
                        </w:tc>
                        <w:tc>
                          <w:tcPr>
                            <w:tcW w:w="1079" w:type="dxa"/>
                          </w:tcPr>
                          <w:p w14:paraId="676E59FE" w14:textId="77777777" w:rsidR="00C93BE0" w:rsidRDefault="00C93BE0" w:rsidP="004E41A6">
                            <w:pPr>
                              <w:jc w:val="center"/>
                              <w:rPr>
                                <w:rFonts w:ascii="Arial" w:hAnsi="Arial" w:cs="Arial"/>
                              </w:rPr>
                            </w:pPr>
                            <w:r>
                              <w:rPr>
                                <w:rFonts w:ascii="Arial" w:hAnsi="Arial" w:cs="Arial"/>
                              </w:rPr>
                              <w:t>3.17</w:t>
                            </w:r>
                          </w:p>
                        </w:tc>
                        <w:tc>
                          <w:tcPr>
                            <w:tcW w:w="1204" w:type="dxa"/>
                          </w:tcPr>
                          <w:p w14:paraId="0F7F5AC4" w14:textId="77777777" w:rsidR="00C93BE0" w:rsidRDefault="00C93BE0" w:rsidP="004E41A6">
                            <w:pPr>
                              <w:jc w:val="center"/>
                              <w:rPr>
                                <w:rFonts w:ascii="Arial" w:hAnsi="Arial" w:cs="Arial"/>
                              </w:rPr>
                            </w:pPr>
                            <w:r>
                              <w:rPr>
                                <w:rFonts w:ascii="Arial" w:hAnsi="Arial" w:cs="Arial"/>
                              </w:rPr>
                              <w:t>.002**</w:t>
                            </w:r>
                          </w:p>
                        </w:tc>
                      </w:tr>
                      <w:tr w:rsidR="00C93BE0" w14:paraId="7D8A1942"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0D77254D" w14:textId="77777777" w:rsidR="00C93BE0" w:rsidRPr="006F0EDD" w:rsidRDefault="00C93BE0" w:rsidP="004E41A6">
                            <w:pPr>
                              <w:jc w:val="center"/>
                              <w:rPr>
                                <w:rFonts w:ascii="Arial" w:hAnsi="Arial" w:cs="Arial"/>
                              </w:rPr>
                            </w:pPr>
                            <w:r>
                              <w:rPr>
                                <w:rFonts w:ascii="Arial" w:hAnsi="Arial" w:cs="Arial"/>
                              </w:rPr>
                              <w:t>FFA</w:t>
                            </w:r>
                          </w:p>
                        </w:tc>
                        <w:tc>
                          <w:tcPr>
                            <w:tcW w:w="1285" w:type="dxa"/>
                          </w:tcPr>
                          <w:p w14:paraId="2EDEB9FD" w14:textId="77777777" w:rsidR="00C93BE0" w:rsidRDefault="00C93BE0" w:rsidP="004E41A6">
                            <w:pPr>
                              <w:jc w:val="center"/>
                              <w:rPr>
                                <w:rFonts w:ascii="Arial" w:hAnsi="Arial" w:cs="Arial"/>
                              </w:rPr>
                            </w:pPr>
                            <w:r>
                              <w:rPr>
                                <w:rFonts w:ascii="Arial" w:hAnsi="Arial" w:cs="Arial"/>
                              </w:rPr>
                              <w:t>2.10</w:t>
                            </w:r>
                          </w:p>
                        </w:tc>
                        <w:tc>
                          <w:tcPr>
                            <w:tcW w:w="1569" w:type="dxa"/>
                          </w:tcPr>
                          <w:p w14:paraId="3191EF89" w14:textId="77777777" w:rsidR="00C93BE0" w:rsidRDefault="00C93BE0" w:rsidP="004E41A6">
                            <w:pPr>
                              <w:jc w:val="center"/>
                              <w:rPr>
                                <w:rFonts w:ascii="Arial" w:hAnsi="Arial" w:cs="Arial"/>
                              </w:rPr>
                            </w:pPr>
                            <w:r>
                              <w:rPr>
                                <w:rFonts w:ascii="Arial" w:hAnsi="Arial" w:cs="Arial"/>
                              </w:rPr>
                              <w:t>.040*</w:t>
                            </w:r>
                          </w:p>
                        </w:tc>
                        <w:tc>
                          <w:tcPr>
                            <w:tcW w:w="1076" w:type="dxa"/>
                          </w:tcPr>
                          <w:p w14:paraId="469F1F54" w14:textId="77777777" w:rsidR="00C93BE0" w:rsidRDefault="00C93BE0" w:rsidP="004E41A6">
                            <w:pPr>
                              <w:jc w:val="center"/>
                              <w:rPr>
                                <w:rFonts w:ascii="Arial" w:hAnsi="Arial" w:cs="Arial"/>
                              </w:rPr>
                            </w:pPr>
                            <w:r>
                              <w:rPr>
                                <w:rFonts w:ascii="Arial" w:hAnsi="Arial" w:cs="Arial"/>
                              </w:rPr>
                              <w:t>2.29</w:t>
                            </w:r>
                          </w:p>
                        </w:tc>
                        <w:tc>
                          <w:tcPr>
                            <w:tcW w:w="1475" w:type="dxa"/>
                          </w:tcPr>
                          <w:p w14:paraId="6181BB12" w14:textId="77777777" w:rsidR="00C93BE0" w:rsidRDefault="00C93BE0" w:rsidP="004E41A6">
                            <w:pPr>
                              <w:jc w:val="center"/>
                              <w:rPr>
                                <w:rFonts w:ascii="Arial" w:hAnsi="Arial" w:cs="Arial"/>
                              </w:rPr>
                            </w:pPr>
                            <w:r>
                              <w:rPr>
                                <w:rFonts w:ascii="Arial" w:hAnsi="Arial" w:cs="Arial"/>
                              </w:rPr>
                              <w:t>.025*</w:t>
                            </w:r>
                          </w:p>
                        </w:tc>
                        <w:tc>
                          <w:tcPr>
                            <w:tcW w:w="1079" w:type="dxa"/>
                          </w:tcPr>
                          <w:p w14:paraId="48F28E69" w14:textId="77777777" w:rsidR="00C93BE0" w:rsidRDefault="00C93BE0" w:rsidP="004E41A6">
                            <w:pPr>
                              <w:jc w:val="center"/>
                              <w:rPr>
                                <w:rFonts w:ascii="Arial" w:hAnsi="Arial" w:cs="Arial"/>
                              </w:rPr>
                            </w:pPr>
                            <w:r>
                              <w:rPr>
                                <w:rFonts w:ascii="Arial" w:hAnsi="Arial" w:cs="Arial"/>
                              </w:rPr>
                              <w:t>2.17</w:t>
                            </w:r>
                          </w:p>
                        </w:tc>
                        <w:tc>
                          <w:tcPr>
                            <w:tcW w:w="1204" w:type="dxa"/>
                          </w:tcPr>
                          <w:p w14:paraId="1C4E2910" w14:textId="77777777" w:rsidR="00C93BE0" w:rsidRDefault="00C93BE0" w:rsidP="004E41A6">
                            <w:pPr>
                              <w:jc w:val="center"/>
                              <w:rPr>
                                <w:rFonts w:ascii="Arial" w:hAnsi="Arial" w:cs="Arial"/>
                              </w:rPr>
                            </w:pPr>
                            <w:r>
                              <w:rPr>
                                <w:rFonts w:ascii="Arial" w:hAnsi="Arial" w:cs="Arial"/>
                              </w:rPr>
                              <w:t>.034*</w:t>
                            </w:r>
                          </w:p>
                        </w:tc>
                      </w:tr>
                      <w:tr w:rsidR="00C93BE0" w14:paraId="66E8C87D"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Pr>
                          <w:p w14:paraId="35F80000" w14:textId="77777777" w:rsidR="00C93BE0" w:rsidRPr="006F0EDD" w:rsidRDefault="00C93BE0" w:rsidP="004E41A6">
                            <w:pPr>
                              <w:jc w:val="center"/>
                              <w:rPr>
                                <w:rFonts w:ascii="Arial" w:hAnsi="Arial" w:cs="Arial"/>
                              </w:rPr>
                            </w:pPr>
                            <w:r>
                              <w:rPr>
                                <w:rFonts w:ascii="Arial" w:hAnsi="Arial" w:cs="Arial"/>
                              </w:rPr>
                              <w:t>STS</w:t>
                            </w:r>
                          </w:p>
                        </w:tc>
                        <w:tc>
                          <w:tcPr>
                            <w:tcW w:w="1285" w:type="dxa"/>
                          </w:tcPr>
                          <w:p w14:paraId="0624BFC5" w14:textId="77777777" w:rsidR="00C93BE0" w:rsidRDefault="00C93BE0" w:rsidP="004E41A6">
                            <w:pPr>
                              <w:jc w:val="center"/>
                              <w:rPr>
                                <w:rFonts w:ascii="Arial" w:hAnsi="Arial" w:cs="Arial"/>
                              </w:rPr>
                            </w:pPr>
                            <w:r>
                              <w:rPr>
                                <w:rFonts w:ascii="Arial" w:hAnsi="Arial" w:cs="Arial"/>
                              </w:rPr>
                              <w:t>-0.09</w:t>
                            </w:r>
                          </w:p>
                        </w:tc>
                        <w:tc>
                          <w:tcPr>
                            <w:tcW w:w="1569" w:type="dxa"/>
                          </w:tcPr>
                          <w:p w14:paraId="4ADD8BC8" w14:textId="77777777" w:rsidR="00C93BE0" w:rsidRDefault="00C93BE0" w:rsidP="004E41A6">
                            <w:pPr>
                              <w:jc w:val="center"/>
                              <w:rPr>
                                <w:rFonts w:ascii="Arial" w:hAnsi="Arial" w:cs="Arial"/>
                              </w:rPr>
                            </w:pPr>
                            <w:r>
                              <w:rPr>
                                <w:rFonts w:ascii="Arial" w:hAnsi="Arial" w:cs="Arial"/>
                              </w:rPr>
                              <w:t>.925</w:t>
                            </w:r>
                          </w:p>
                        </w:tc>
                        <w:tc>
                          <w:tcPr>
                            <w:tcW w:w="1076" w:type="dxa"/>
                          </w:tcPr>
                          <w:p w14:paraId="30485FBC" w14:textId="77777777" w:rsidR="00C93BE0" w:rsidRDefault="00C93BE0" w:rsidP="004E41A6">
                            <w:pPr>
                              <w:jc w:val="center"/>
                              <w:rPr>
                                <w:rFonts w:ascii="Arial" w:hAnsi="Arial" w:cs="Arial"/>
                              </w:rPr>
                            </w:pPr>
                            <w:r>
                              <w:rPr>
                                <w:rFonts w:ascii="Arial" w:hAnsi="Arial" w:cs="Arial"/>
                              </w:rPr>
                              <w:t>0.28</w:t>
                            </w:r>
                          </w:p>
                        </w:tc>
                        <w:tc>
                          <w:tcPr>
                            <w:tcW w:w="1475" w:type="dxa"/>
                          </w:tcPr>
                          <w:p w14:paraId="638D6E3C" w14:textId="77777777" w:rsidR="00C93BE0" w:rsidRDefault="00C93BE0" w:rsidP="004E41A6">
                            <w:pPr>
                              <w:jc w:val="center"/>
                              <w:rPr>
                                <w:rFonts w:ascii="Arial" w:hAnsi="Arial" w:cs="Arial"/>
                              </w:rPr>
                            </w:pPr>
                            <w:r>
                              <w:rPr>
                                <w:rFonts w:ascii="Arial" w:hAnsi="Arial" w:cs="Arial"/>
                              </w:rPr>
                              <w:t>.778</w:t>
                            </w:r>
                          </w:p>
                        </w:tc>
                        <w:tc>
                          <w:tcPr>
                            <w:tcW w:w="1079" w:type="dxa"/>
                          </w:tcPr>
                          <w:p w14:paraId="43CAE3D1" w14:textId="77777777" w:rsidR="00C93BE0" w:rsidRDefault="00C93BE0" w:rsidP="004E41A6">
                            <w:pPr>
                              <w:jc w:val="center"/>
                              <w:rPr>
                                <w:rFonts w:ascii="Arial" w:hAnsi="Arial" w:cs="Arial"/>
                              </w:rPr>
                            </w:pPr>
                            <w:r>
                              <w:rPr>
                                <w:rFonts w:ascii="Arial" w:hAnsi="Arial" w:cs="Arial"/>
                              </w:rPr>
                              <w:t>0.28</w:t>
                            </w:r>
                          </w:p>
                        </w:tc>
                        <w:tc>
                          <w:tcPr>
                            <w:tcW w:w="1204" w:type="dxa"/>
                          </w:tcPr>
                          <w:p w14:paraId="5992919B" w14:textId="77777777" w:rsidR="00C93BE0" w:rsidRDefault="00C93BE0" w:rsidP="004E41A6">
                            <w:pPr>
                              <w:jc w:val="center"/>
                              <w:rPr>
                                <w:rFonts w:ascii="Arial" w:hAnsi="Arial" w:cs="Arial"/>
                              </w:rPr>
                            </w:pPr>
                            <w:r>
                              <w:rPr>
                                <w:rFonts w:ascii="Arial" w:hAnsi="Arial" w:cs="Arial"/>
                              </w:rPr>
                              <w:t>.778</w:t>
                            </w:r>
                          </w:p>
                        </w:tc>
                      </w:tr>
                      <w:tr w:rsidR="00C93BE0" w14:paraId="207695B7" w14:textId="77777777" w:rsidTr="004E41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4" w:type="dxa"/>
                            <w:tcBorders>
                              <w:bottom w:val="single" w:sz="8" w:space="0" w:color="000000"/>
                            </w:tcBorders>
                          </w:tcPr>
                          <w:p w14:paraId="0B6053CE" w14:textId="77777777" w:rsidR="00C93BE0" w:rsidRDefault="00C93BE0" w:rsidP="004E41A6">
                            <w:pPr>
                              <w:jc w:val="center"/>
                              <w:rPr>
                                <w:rFonts w:ascii="Arial" w:hAnsi="Arial" w:cs="Arial"/>
                              </w:rPr>
                            </w:pPr>
                            <w:r>
                              <w:rPr>
                                <w:rFonts w:ascii="Arial" w:hAnsi="Arial" w:cs="Arial"/>
                              </w:rPr>
                              <w:t>A1</w:t>
                            </w:r>
                          </w:p>
                        </w:tc>
                        <w:tc>
                          <w:tcPr>
                            <w:tcW w:w="1285" w:type="dxa"/>
                            <w:tcBorders>
                              <w:bottom w:val="single" w:sz="8" w:space="0" w:color="000000"/>
                            </w:tcBorders>
                          </w:tcPr>
                          <w:p w14:paraId="097BCB00" w14:textId="77777777" w:rsidR="00C93BE0" w:rsidRDefault="00C93BE0" w:rsidP="004E41A6">
                            <w:pPr>
                              <w:jc w:val="center"/>
                              <w:rPr>
                                <w:rFonts w:ascii="Arial" w:hAnsi="Arial" w:cs="Arial"/>
                              </w:rPr>
                            </w:pPr>
                            <w:r>
                              <w:rPr>
                                <w:rFonts w:ascii="Arial" w:hAnsi="Arial" w:cs="Arial"/>
                              </w:rPr>
                              <w:t>-3.23</w:t>
                            </w:r>
                          </w:p>
                        </w:tc>
                        <w:tc>
                          <w:tcPr>
                            <w:tcW w:w="1569" w:type="dxa"/>
                            <w:tcBorders>
                              <w:bottom w:val="single" w:sz="8" w:space="0" w:color="000000"/>
                            </w:tcBorders>
                          </w:tcPr>
                          <w:p w14:paraId="6D276536" w14:textId="77777777" w:rsidR="00C93BE0" w:rsidRDefault="00C93BE0" w:rsidP="004E41A6">
                            <w:pPr>
                              <w:jc w:val="center"/>
                              <w:rPr>
                                <w:rFonts w:ascii="Arial" w:hAnsi="Arial" w:cs="Arial"/>
                              </w:rPr>
                            </w:pPr>
                            <w:r>
                              <w:rPr>
                                <w:rFonts w:ascii="Arial" w:hAnsi="Arial" w:cs="Arial"/>
                              </w:rPr>
                              <w:t>.002**</w:t>
                            </w:r>
                          </w:p>
                        </w:tc>
                        <w:tc>
                          <w:tcPr>
                            <w:tcW w:w="1076" w:type="dxa"/>
                            <w:tcBorders>
                              <w:bottom w:val="single" w:sz="8" w:space="0" w:color="000000"/>
                            </w:tcBorders>
                          </w:tcPr>
                          <w:p w14:paraId="1B62BAE3" w14:textId="77777777" w:rsidR="00C93BE0" w:rsidRDefault="00C93BE0" w:rsidP="004E41A6">
                            <w:pPr>
                              <w:jc w:val="center"/>
                              <w:rPr>
                                <w:rFonts w:ascii="Arial" w:hAnsi="Arial" w:cs="Arial"/>
                              </w:rPr>
                            </w:pPr>
                            <w:r>
                              <w:rPr>
                                <w:rFonts w:ascii="Arial" w:hAnsi="Arial" w:cs="Arial"/>
                              </w:rPr>
                              <w:t>-3.17</w:t>
                            </w:r>
                          </w:p>
                        </w:tc>
                        <w:tc>
                          <w:tcPr>
                            <w:tcW w:w="1475" w:type="dxa"/>
                            <w:tcBorders>
                              <w:bottom w:val="single" w:sz="8" w:space="0" w:color="000000"/>
                            </w:tcBorders>
                          </w:tcPr>
                          <w:p w14:paraId="35A84A17" w14:textId="77777777" w:rsidR="00C93BE0" w:rsidRDefault="00C93BE0" w:rsidP="004E41A6">
                            <w:pPr>
                              <w:jc w:val="center"/>
                              <w:rPr>
                                <w:rFonts w:ascii="Arial" w:hAnsi="Arial" w:cs="Arial"/>
                              </w:rPr>
                            </w:pPr>
                            <w:r>
                              <w:rPr>
                                <w:rFonts w:ascii="Arial" w:hAnsi="Arial" w:cs="Arial"/>
                              </w:rPr>
                              <w:t>.002**</w:t>
                            </w:r>
                          </w:p>
                        </w:tc>
                        <w:tc>
                          <w:tcPr>
                            <w:tcW w:w="1079" w:type="dxa"/>
                            <w:tcBorders>
                              <w:bottom w:val="single" w:sz="8" w:space="0" w:color="000000"/>
                            </w:tcBorders>
                          </w:tcPr>
                          <w:p w14:paraId="142F33F8" w14:textId="77777777" w:rsidR="00C93BE0" w:rsidRDefault="00C93BE0" w:rsidP="004E41A6">
                            <w:pPr>
                              <w:jc w:val="center"/>
                              <w:rPr>
                                <w:rFonts w:ascii="Arial" w:hAnsi="Arial" w:cs="Arial"/>
                              </w:rPr>
                            </w:pPr>
                            <w:r>
                              <w:rPr>
                                <w:rFonts w:ascii="Arial" w:hAnsi="Arial" w:cs="Arial"/>
                              </w:rPr>
                              <w:t>-3.17</w:t>
                            </w:r>
                          </w:p>
                        </w:tc>
                        <w:tc>
                          <w:tcPr>
                            <w:tcW w:w="1204" w:type="dxa"/>
                            <w:tcBorders>
                              <w:bottom w:val="single" w:sz="8" w:space="0" w:color="000000"/>
                            </w:tcBorders>
                          </w:tcPr>
                          <w:p w14:paraId="71E95BE0" w14:textId="77777777" w:rsidR="00C93BE0" w:rsidRDefault="00C93BE0" w:rsidP="004E41A6">
                            <w:pPr>
                              <w:jc w:val="center"/>
                              <w:rPr>
                                <w:rFonts w:ascii="Arial" w:hAnsi="Arial" w:cs="Arial"/>
                              </w:rPr>
                            </w:pPr>
                            <w:r>
                              <w:rPr>
                                <w:rFonts w:ascii="Arial" w:hAnsi="Arial" w:cs="Arial"/>
                              </w:rPr>
                              <w:t>.002**</w:t>
                            </w:r>
                          </w:p>
                        </w:tc>
                      </w:tr>
                    </w:tbl>
                    <w:p w14:paraId="005A5258" w14:textId="77777777" w:rsidR="00C93BE0" w:rsidRPr="006F0EDD" w:rsidRDefault="00C93BE0" w:rsidP="00D4752B">
                      <w:pPr>
                        <w:rPr>
                          <w:rFonts w:ascii="Arial" w:hAnsi="Arial" w:cs="Arial"/>
                          <w:i/>
                          <w:iCs/>
                        </w:rPr>
                      </w:pPr>
                      <w:r w:rsidRPr="006F0EDD">
                        <w:rPr>
                          <w:rFonts w:ascii="Arial" w:hAnsi="Arial" w:cs="Arial"/>
                          <w:i/>
                          <w:iCs/>
                        </w:rPr>
                        <w:t>*</w:t>
                      </w:r>
                      <w:r>
                        <w:rPr>
                          <w:rFonts w:ascii="Arial" w:hAnsi="Arial" w:cs="Arial"/>
                          <w:i/>
                          <w:iCs/>
                        </w:rPr>
                        <w:t xml:space="preserve"> p &lt;.05, ** p&lt;.01, *** p&lt;.001</w:t>
                      </w:r>
                    </w:p>
                    <w:p w14:paraId="2415AAAD" w14:textId="77777777" w:rsidR="00C93BE0" w:rsidRDefault="00C93BE0" w:rsidP="00D4752B"/>
                  </w:txbxContent>
                </v:textbox>
                <w10:wrap type="square"/>
              </v:shape>
            </w:pict>
          </mc:Fallback>
        </mc:AlternateContent>
      </w:r>
      <w:r w:rsidR="00DD0A13">
        <w:rPr>
          <w:rFonts w:ascii="Arial" w:hAnsi="Arial" w:cs="Arial"/>
        </w:rPr>
        <w:t xml:space="preserve">In </w:t>
      </w:r>
      <w:r w:rsidR="00F05C62">
        <w:rPr>
          <w:rFonts w:ascii="Arial" w:hAnsi="Arial" w:cs="Arial"/>
        </w:rPr>
        <w:t xml:space="preserve">our analysis of fine-scale stimulus dimensions </w:t>
      </w:r>
      <w:r w:rsidR="00D44AC6">
        <w:rPr>
          <w:rFonts w:ascii="Arial" w:hAnsi="Arial" w:cs="Arial"/>
        </w:rPr>
        <w:t>in</w:t>
      </w:r>
      <w:r w:rsidR="00F05C62">
        <w:rPr>
          <w:rFonts w:ascii="Arial" w:hAnsi="Arial" w:cs="Arial"/>
        </w:rPr>
        <w:t xml:space="preserve"> an individual visual feature, we again wished to assess if attention directed towards these relatively small differences </w:t>
      </w:r>
      <w:r w:rsidR="00D44AC6">
        <w:rPr>
          <w:rFonts w:ascii="Arial" w:hAnsi="Arial" w:cs="Arial"/>
        </w:rPr>
        <w:t>in</w:t>
      </w:r>
      <w:r w:rsidR="00F05C62">
        <w:rPr>
          <w:rFonts w:ascii="Arial" w:hAnsi="Arial" w:cs="Arial"/>
        </w:rPr>
        <w:t xml:space="preserve"> a category elicited BOLD signal modulation significantly greater than zero. </w:t>
      </w:r>
      <w:r w:rsidR="0060072E" w:rsidRPr="00225AB0">
        <w:rPr>
          <w:rFonts w:ascii="Arial" w:hAnsi="Arial" w:cs="Arial"/>
        </w:rPr>
        <w:t xml:space="preserve">For each stimulus category (orientation, colour and shape), we calculated the average beta value across the three feature dimensions (e.g. across vertical, horizontal and diagonal orientations) for each participant. We performed multiple Wilcoxon signed-rank </w:t>
      </w:r>
      <w:r w:rsidR="00F05C62" w:rsidRPr="00225AB0">
        <w:rPr>
          <w:rFonts w:ascii="Arial" w:hAnsi="Arial" w:cs="Arial"/>
        </w:rPr>
        <w:t>tests;</w:t>
      </w:r>
      <w:r w:rsidR="0060072E" w:rsidRPr="00225AB0">
        <w:rPr>
          <w:rFonts w:ascii="Arial" w:hAnsi="Arial" w:cs="Arial"/>
        </w:rPr>
        <w:t xml:space="preserve"> Benjamini-Hochberg corrected across ROIs to assess if levels of averaged BOLD signal attentional modulation were significantly different from zero.</w:t>
      </w:r>
    </w:p>
    <w:p w14:paraId="5DD9872F" w14:textId="3A201C8C" w:rsidR="0060072E" w:rsidRPr="00225AB0" w:rsidRDefault="0060072E" w:rsidP="0060072E">
      <w:pPr>
        <w:spacing w:line="480" w:lineRule="auto"/>
        <w:rPr>
          <w:rFonts w:ascii="Arial" w:hAnsi="Arial" w:cs="Arial"/>
        </w:rPr>
      </w:pPr>
    </w:p>
    <w:p w14:paraId="4EC9F054" w14:textId="370F02D3" w:rsidR="00D4752B" w:rsidRDefault="0060072E" w:rsidP="0060072E">
      <w:pPr>
        <w:spacing w:line="480" w:lineRule="auto"/>
        <w:rPr>
          <w:rFonts w:ascii="Arial" w:hAnsi="Arial" w:cs="Arial"/>
        </w:rPr>
      </w:pPr>
      <w:r w:rsidRPr="00225AB0">
        <w:rPr>
          <w:rFonts w:ascii="Arial" w:hAnsi="Arial" w:cs="Arial"/>
        </w:rPr>
        <w:t xml:space="preserve">In all analyses, almost all visual ROIs (excluding the STS) exhibited significantly greater BOLD signal modulation during attention versus </w:t>
      </w:r>
      <w:r w:rsidR="00F05C62">
        <w:rPr>
          <w:rFonts w:ascii="Arial" w:hAnsi="Arial" w:cs="Arial"/>
        </w:rPr>
        <w:t>an absence of signal modulation (0)</w:t>
      </w:r>
      <w:r w:rsidR="00D4752B">
        <w:rPr>
          <w:rFonts w:ascii="Arial" w:hAnsi="Arial" w:cs="Arial"/>
        </w:rPr>
        <w:t xml:space="preserve">. </w:t>
      </w:r>
      <w:r w:rsidRPr="00225AB0">
        <w:rPr>
          <w:rFonts w:ascii="Arial" w:hAnsi="Arial" w:cs="Arial"/>
        </w:rPr>
        <w:t xml:space="preserve">In A1, in all conditions, averaged attentional BOLD signal modulation was significantly below zero </w:t>
      </w:r>
      <w:r w:rsidR="00D4752B">
        <w:rPr>
          <w:rFonts w:ascii="Arial" w:hAnsi="Arial" w:cs="Arial"/>
        </w:rPr>
        <w:t xml:space="preserve">(see Table 6.1). </w:t>
      </w:r>
    </w:p>
    <w:p w14:paraId="6AD3C658" w14:textId="55EC1FAF" w:rsidR="00F05C62" w:rsidRDefault="0060072E" w:rsidP="0060072E">
      <w:pPr>
        <w:spacing w:line="480" w:lineRule="auto"/>
        <w:rPr>
          <w:rFonts w:ascii="Arial" w:hAnsi="Arial" w:cs="Arial"/>
        </w:rPr>
      </w:pPr>
      <w:r w:rsidRPr="00225AB0">
        <w:rPr>
          <w:rFonts w:ascii="Arial" w:hAnsi="Arial" w:cs="Arial"/>
        </w:rPr>
        <w:lastRenderedPageBreak/>
        <w:t xml:space="preserve">Next, we </w:t>
      </w:r>
      <w:r w:rsidR="00F05C62">
        <w:rPr>
          <w:rFonts w:ascii="Arial" w:hAnsi="Arial" w:cs="Arial"/>
        </w:rPr>
        <w:t xml:space="preserve">performed multiple one-way repeated measures ANOVAs, with associated Bonferroni-corrected post-hoc tests to compare BOLD signal modulation across the three stimulus dimensions </w:t>
      </w:r>
      <w:r w:rsidR="00D44AC6">
        <w:rPr>
          <w:rFonts w:ascii="Arial" w:hAnsi="Arial" w:cs="Arial"/>
        </w:rPr>
        <w:t>in</w:t>
      </w:r>
      <w:r w:rsidR="00F05C62">
        <w:rPr>
          <w:rFonts w:ascii="Arial" w:hAnsi="Arial" w:cs="Arial"/>
        </w:rPr>
        <w:t xml:space="preserve"> each low-level visual feature category respectively. </w:t>
      </w:r>
    </w:p>
    <w:p w14:paraId="596D1195" w14:textId="77777777" w:rsidR="0060072E" w:rsidRPr="00225AB0" w:rsidRDefault="0060072E" w:rsidP="0060072E">
      <w:pPr>
        <w:spacing w:line="480" w:lineRule="auto"/>
        <w:rPr>
          <w:rFonts w:ascii="Arial" w:hAnsi="Arial" w:cs="Arial"/>
        </w:rPr>
      </w:pPr>
    </w:p>
    <w:p w14:paraId="48486575" w14:textId="30876540" w:rsidR="0060072E" w:rsidRPr="00225AB0" w:rsidRDefault="0060072E" w:rsidP="0060072E">
      <w:pPr>
        <w:spacing w:line="480" w:lineRule="auto"/>
        <w:rPr>
          <w:rFonts w:ascii="Arial" w:hAnsi="Arial" w:cs="Arial"/>
        </w:rPr>
      </w:pPr>
      <w:r w:rsidRPr="00225AB0">
        <w:rPr>
          <w:rFonts w:ascii="Arial" w:hAnsi="Arial" w:cs="Arial"/>
        </w:rPr>
        <w:t>In the orientation analysis, in V1, V3A/B, FFA, OFA, STS and A1, we identify no significant differences in BOLD signal modulation across attention to vertical, horizontal and diagonally-oriented stimulus conditions (</w:t>
      </w:r>
      <w:r w:rsidRPr="00225AB0">
        <w:rPr>
          <w:rFonts w:ascii="Arial" w:hAnsi="Arial" w:cs="Arial"/>
          <w:i/>
        </w:rPr>
        <w:t>p</w:t>
      </w:r>
      <w:r w:rsidRPr="00225AB0">
        <w:rPr>
          <w:rFonts w:ascii="Arial" w:hAnsi="Arial" w:cs="Arial"/>
        </w:rPr>
        <w:t xml:space="preserve"> &gt; .05). </w:t>
      </w:r>
      <w:r w:rsidR="00D44AC6">
        <w:rPr>
          <w:rFonts w:ascii="Arial" w:hAnsi="Arial" w:cs="Arial"/>
        </w:rPr>
        <w:t>In</w:t>
      </w:r>
      <w:r w:rsidRPr="00225AB0">
        <w:rPr>
          <w:rFonts w:ascii="Arial" w:hAnsi="Arial" w:cs="Arial"/>
        </w:rPr>
        <w:t xml:space="preserve"> both visual areas hV4 and LO-1, we identify significantly greater modulation to horizontal than vertically-oriented stimuli (hV4: F(2,26) = 6.27, </w:t>
      </w:r>
      <w:r w:rsidRPr="00225AB0">
        <w:rPr>
          <w:rFonts w:ascii="Arial" w:hAnsi="Arial" w:cs="Arial"/>
          <w:i/>
        </w:rPr>
        <w:t>p</w:t>
      </w:r>
      <w:r w:rsidRPr="00225AB0">
        <w:rPr>
          <w:rFonts w:ascii="Arial" w:hAnsi="Arial" w:cs="Arial"/>
        </w:rPr>
        <w:t xml:space="preserve"> = .018, post-hoc </w:t>
      </w:r>
      <w:r w:rsidRPr="00225AB0">
        <w:rPr>
          <w:rFonts w:ascii="Arial" w:hAnsi="Arial" w:cs="Arial"/>
          <w:i/>
        </w:rPr>
        <w:t>p</w:t>
      </w:r>
      <w:r w:rsidRPr="00225AB0">
        <w:rPr>
          <w:rFonts w:ascii="Arial" w:hAnsi="Arial" w:cs="Arial"/>
        </w:rPr>
        <w:t xml:space="preserve"> &lt; .001, LO-1: F(2,26) = 7.17, </w:t>
      </w:r>
      <w:r w:rsidRPr="00225AB0">
        <w:rPr>
          <w:rFonts w:ascii="Arial" w:hAnsi="Arial" w:cs="Arial"/>
          <w:i/>
        </w:rPr>
        <w:t>p</w:t>
      </w:r>
      <w:r w:rsidRPr="00225AB0">
        <w:rPr>
          <w:rFonts w:ascii="Arial" w:hAnsi="Arial" w:cs="Arial"/>
        </w:rPr>
        <w:t xml:space="preserve"> = .015, post-hoc </w:t>
      </w:r>
      <w:r w:rsidRPr="00225AB0">
        <w:rPr>
          <w:rFonts w:ascii="Arial" w:hAnsi="Arial" w:cs="Arial"/>
          <w:i/>
        </w:rPr>
        <w:t>p</w:t>
      </w:r>
      <w:r w:rsidRPr="00225AB0">
        <w:rPr>
          <w:rFonts w:ascii="Arial" w:hAnsi="Arial" w:cs="Arial"/>
        </w:rPr>
        <w:t xml:space="preserve"> = .015). In LO-2, we demonstrate significantly reduced modulation during attention to vertical than attention to both horizontal- and diagonally-oriented stimuli (</w:t>
      </w:r>
      <w:proofErr w:type="gramStart"/>
      <w:r w:rsidRPr="00225AB0">
        <w:rPr>
          <w:rFonts w:ascii="Arial" w:hAnsi="Arial" w:cs="Arial"/>
        </w:rPr>
        <w:t>F(</w:t>
      </w:r>
      <w:proofErr w:type="gramEnd"/>
      <w:r w:rsidRPr="00225AB0">
        <w:rPr>
          <w:rFonts w:ascii="Arial" w:hAnsi="Arial" w:cs="Arial"/>
        </w:rPr>
        <w:t xml:space="preserve">2,26) = 9.09, </w:t>
      </w:r>
      <w:r w:rsidRPr="00225AB0">
        <w:rPr>
          <w:rFonts w:ascii="Arial" w:hAnsi="Arial" w:cs="Arial"/>
          <w:i/>
        </w:rPr>
        <w:t>p</w:t>
      </w:r>
      <w:r w:rsidRPr="00225AB0">
        <w:rPr>
          <w:rFonts w:ascii="Arial" w:hAnsi="Arial" w:cs="Arial"/>
        </w:rPr>
        <w:t xml:space="preserve"> = .009, post-hoc </w:t>
      </w:r>
      <w:r w:rsidRPr="00225AB0">
        <w:rPr>
          <w:rFonts w:ascii="Arial" w:hAnsi="Arial" w:cs="Arial"/>
          <w:i/>
        </w:rPr>
        <w:t>p</w:t>
      </w:r>
      <w:r w:rsidRPr="00225AB0">
        <w:rPr>
          <w:rFonts w:ascii="Arial" w:hAnsi="Arial" w:cs="Arial"/>
        </w:rPr>
        <w:t xml:space="preserve"> = .015, </w:t>
      </w:r>
      <w:r w:rsidRPr="00225AB0">
        <w:rPr>
          <w:rFonts w:ascii="Arial" w:hAnsi="Arial" w:cs="Arial"/>
          <w:i/>
        </w:rPr>
        <w:t>p</w:t>
      </w:r>
      <w:r w:rsidRPr="00225AB0">
        <w:rPr>
          <w:rFonts w:ascii="Arial" w:hAnsi="Arial" w:cs="Arial"/>
        </w:rPr>
        <w:t xml:space="preserve"> = .024 respectively) (see Figure</w:t>
      </w:r>
      <w:r w:rsidR="00A2128A">
        <w:rPr>
          <w:rFonts w:ascii="Arial" w:hAnsi="Arial" w:cs="Arial"/>
        </w:rPr>
        <w:t xml:space="preserve"> 6.</w:t>
      </w:r>
      <w:r w:rsidRPr="00225AB0">
        <w:rPr>
          <w:rFonts w:ascii="Arial" w:hAnsi="Arial" w:cs="Arial"/>
        </w:rPr>
        <w:t xml:space="preserve">3A). </w:t>
      </w:r>
    </w:p>
    <w:p w14:paraId="1C691BAA" w14:textId="77777777" w:rsidR="0060072E" w:rsidRPr="00225AB0" w:rsidRDefault="0060072E" w:rsidP="0060072E">
      <w:pPr>
        <w:spacing w:line="480" w:lineRule="auto"/>
        <w:rPr>
          <w:rFonts w:ascii="Arial" w:hAnsi="Arial" w:cs="Arial"/>
        </w:rPr>
      </w:pPr>
    </w:p>
    <w:p w14:paraId="0756FA4A" w14:textId="2D870FF3" w:rsidR="0060072E" w:rsidRDefault="00D44AC6" w:rsidP="0060072E">
      <w:pPr>
        <w:spacing w:line="480" w:lineRule="auto"/>
        <w:rPr>
          <w:rFonts w:ascii="Arial" w:hAnsi="Arial" w:cs="Arial"/>
        </w:rPr>
      </w:pPr>
      <w:r>
        <w:rPr>
          <w:rFonts w:ascii="Arial" w:hAnsi="Arial" w:cs="Arial"/>
        </w:rPr>
        <w:t>In</w:t>
      </w:r>
      <w:r w:rsidR="0060072E" w:rsidRPr="00225AB0">
        <w:rPr>
          <w:rFonts w:ascii="Arial" w:hAnsi="Arial" w:cs="Arial"/>
        </w:rPr>
        <w:t xml:space="preserve"> our chromatic analysis, we identified no significant differences in BOLD signal modulation during attention directed toward red, green, or blue stimuli in any ROI examined (</w:t>
      </w:r>
      <w:r w:rsidR="0060072E" w:rsidRPr="00225AB0">
        <w:rPr>
          <w:rFonts w:ascii="Arial" w:hAnsi="Arial" w:cs="Arial"/>
          <w:i/>
        </w:rPr>
        <w:t>p</w:t>
      </w:r>
      <w:r w:rsidR="0060072E" w:rsidRPr="00225AB0">
        <w:rPr>
          <w:rFonts w:ascii="Arial" w:hAnsi="Arial" w:cs="Arial"/>
        </w:rPr>
        <w:t xml:space="preserve"> &gt; .05) (see Figure</w:t>
      </w:r>
      <w:r w:rsidR="00A2128A">
        <w:rPr>
          <w:rFonts w:ascii="Arial" w:hAnsi="Arial" w:cs="Arial"/>
        </w:rPr>
        <w:t xml:space="preserve"> 6.</w:t>
      </w:r>
      <w:r w:rsidR="0060072E" w:rsidRPr="00225AB0">
        <w:rPr>
          <w:rFonts w:ascii="Arial" w:hAnsi="Arial" w:cs="Arial"/>
        </w:rPr>
        <w:t>3B). In almost all ROIs (V1, hV4, LO-1, LO-2, FFA, OFA and A1), we also identify no significant differences in fMRI activation across attention to circular, square and triangular shape conditions. In V3A/B however, we demonstrate significantly reduced modulation during attention to circular stimuli in comparison to attention to square or triangular stimulus attributes (</w:t>
      </w:r>
      <w:proofErr w:type="gramStart"/>
      <w:r w:rsidR="0060072E" w:rsidRPr="00225AB0">
        <w:rPr>
          <w:rFonts w:ascii="Arial" w:hAnsi="Arial" w:cs="Arial"/>
        </w:rPr>
        <w:t>F(</w:t>
      </w:r>
      <w:proofErr w:type="gramEnd"/>
      <w:r w:rsidR="0060072E" w:rsidRPr="00225AB0">
        <w:rPr>
          <w:rFonts w:ascii="Arial" w:hAnsi="Arial" w:cs="Arial"/>
        </w:rPr>
        <w:t xml:space="preserve">2,26) = 6.85, </w:t>
      </w:r>
      <w:r w:rsidR="0060072E" w:rsidRPr="00225AB0">
        <w:rPr>
          <w:rFonts w:ascii="Arial" w:hAnsi="Arial" w:cs="Arial"/>
          <w:i/>
        </w:rPr>
        <w:t>p</w:t>
      </w:r>
      <w:r w:rsidR="0060072E" w:rsidRPr="00225AB0">
        <w:rPr>
          <w:rFonts w:ascii="Arial" w:hAnsi="Arial" w:cs="Arial"/>
        </w:rPr>
        <w:t xml:space="preserve"> = .004, post-hoc </w:t>
      </w:r>
      <w:r w:rsidR="0060072E" w:rsidRPr="00225AB0">
        <w:rPr>
          <w:rFonts w:ascii="Arial" w:hAnsi="Arial" w:cs="Arial"/>
          <w:i/>
        </w:rPr>
        <w:t>p</w:t>
      </w:r>
      <w:r w:rsidR="0060072E" w:rsidRPr="00225AB0">
        <w:rPr>
          <w:rFonts w:ascii="Arial" w:hAnsi="Arial" w:cs="Arial"/>
        </w:rPr>
        <w:t xml:space="preserve"> = .040 and </w:t>
      </w:r>
      <w:r w:rsidR="0060072E" w:rsidRPr="00225AB0">
        <w:rPr>
          <w:rFonts w:ascii="Arial" w:hAnsi="Arial" w:cs="Arial"/>
          <w:i/>
        </w:rPr>
        <w:t>p</w:t>
      </w:r>
      <w:r w:rsidR="0060072E" w:rsidRPr="00225AB0">
        <w:rPr>
          <w:rFonts w:ascii="Arial" w:hAnsi="Arial" w:cs="Arial"/>
        </w:rPr>
        <w:t xml:space="preserve"> = .019 respectively). </w:t>
      </w:r>
      <w:r>
        <w:rPr>
          <w:rFonts w:ascii="Arial" w:hAnsi="Arial" w:cs="Arial"/>
        </w:rPr>
        <w:t>In</w:t>
      </w:r>
      <w:r w:rsidR="0060072E" w:rsidRPr="00225AB0">
        <w:rPr>
          <w:rFonts w:ascii="Arial" w:hAnsi="Arial" w:cs="Arial"/>
        </w:rPr>
        <w:t xml:space="preserve"> the STS, we identify significantly reduced modulation during attention directed towards triangular </w:t>
      </w:r>
      <w:r w:rsidR="0060072E" w:rsidRPr="00225AB0">
        <w:rPr>
          <w:rFonts w:ascii="Arial" w:hAnsi="Arial" w:cs="Arial"/>
        </w:rPr>
        <w:lastRenderedPageBreak/>
        <w:t>stimuli than to circular stimuli (</w:t>
      </w:r>
      <w:proofErr w:type="gramStart"/>
      <w:r w:rsidR="0060072E" w:rsidRPr="00225AB0">
        <w:rPr>
          <w:rFonts w:ascii="Arial" w:hAnsi="Arial" w:cs="Arial"/>
        </w:rPr>
        <w:t>F(</w:t>
      </w:r>
      <w:proofErr w:type="gramEnd"/>
      <w:r w:rsidR="0060072E" w:rsidRPr="00225AB0">
        <w:rPr>
          <w:rFonts w:ascii="Arial" w:hAnsi="Arial" w:cs="Arial"/>
        </w:rPr>
        <w:t xml:space="preserve">2,26) = 7.54, </w:t>
      </w:r>
      <w:r w:rsidR="0060072E" w:rsidRPr="00225AB0">
        <w:rPr>
          <w:rFonts w:ascii="Arial" w:hAnsi="Arial" w:cs="Arial"/>
          <w:i/>
        </w:rPr>
        <w:t>p</w:t>
      </w:r>
      <w:r w:rsidR="0060072E" w:rsidRPr="00225AB0">
        <w:rPr>
          <w:rFonts w:ascii="Arial" w:hAnsi="Arial" w:cs="Arial"/>
        </w:rPr>
        <w:t xml:space="preserve"> = .003, post-hoc </w:t>
      </w:r>
      <w:r w:rsidR="0060072E" w:rsidRPr="00225AB0">
        <w:rPr>
          <w:rFonts w:ascii="Arial" w:hAnsi="Arial" w:cs="Arial"/>
          <w:i/>
        </w:rPr>
        <w:t>p</w:t>
      </w:r>
      <w:r w:rsidR="0060072E" w:rsidRPr="00225AB0">
        <w:rPr>
          <w:rFonts w:ascii="Arial" w:hAnsi="Arial" w:cs="Arial"/>
        </w:rPr>
        <w:t xml:space="preserve"> = .012) (see Figure</w:t>
      </w:r>
      <w:r w:rsidR="00A2128A">
        <w:rPr>
          <w:rFonts w:ascii="Arial" w:hAnsi="Arial" w:cs="Arial"/>
        </w:rPr>
        <w:t xml:space="preserve"> 6.</w:t>
      </w:r>
      <w:r w:rsidR="0060072E" w:rsidRPr="00225AB0">
        <w:rPr>
          <w:rFonts w:ascii="Arial" w:hAnsi="Arial" w:cs="Arial"/>
        </w:rPr>
        <w:t>3C).</w:t>
      </w:r>
    </w:p>
    <w:p w14:paraId="25A08A10" w14:textId="6431507D" w:rsidR="00194172" w:rsidRDefault="00194172" w:rsidP="0060072E">
      <w:pPr>
        <w:spacing w:line="480" w:lineRule="auto"/>
        <w:rPr>
          <w:rFonts w:ascii="Arial" w:hAnsi="Arial" w:cs="Arial"/>
        </w:rPr>
      </w:pPr>
    </w:p>
    <w:p w14:paraId="52E9A639" w14:textId="5F197B29" w:rsidR="00194172" w:rsidRDefault="00194172" w:rsidP="0060072E">
      <w:pPr>
        <w:spacing w:line="480" w:lineRule="auto"/>
        <w:rPr>
          <w:rFonts w:ascii="Arial" w:hAnsi="Arial" w:cs="Arial"/>
        </w:rPr>
      </w:pPr>
    </w:p>
    <w:p w14:paraId="6F96CC9A" w14:textId="073421B1" w:rsidR="00194172" w:rsidRDefault="00194172" w:rsidP="0060072E">
      <w:pPr>
        <w:spacing w:line="480" w:lineRule="auto"/>
        <w:rPr>
          <w:rFonts w:ascii="Arial" w:hAnsi="Arial" w:cs="Arial"/>
        </w:rPr>
      </w:pPr>
    </w:p>
    <w:p w14:paraId="75FD2C95" w14:textId="0CA4538E" w:rsidR="00194172" w:rsidRDefault="00194172" w:rsidP="0060072E">
      <w:pPr>
        <w:spacing w:line="480" w:lineRule="auto"/>
        <w:rPr>
          <w:rFonts w:ascii="Arial" w:hAnsi="Arial" w:cs="Arial"/>
        </w:rPr>
      </w:pPr>
    </w:p>
    <w:p w14:paraId="17263924" w14:textId="306AE9A7" w:rsidR="00194172" w:rsidRDefault="00194172" w:rsidP="0060072E">
      <w:pPr>
        <w:spacing w:line="480" w:lineRule="auto"/>
        <w:rPr>
          <w:rFonts w:ascii="Arial" w:hAnsi="Arial" w:cs="Arial"/>
        </w:rPr>
      </w:pPr>
    </w:p>
    <w:p w14:paraId="109281C4" w14:textId="5F88E45D" w:rsidR="00194172" w:rsidRDefault="00194172" w:rsidP="0060072E">
      <w:pPr>
        <w:spacing w:line="480" w:lineRule="auto"/>
        <w:rPr>
          <w:rFonts w:ascii="Arial" w:hAnsi="Arial" w:cs="Arial"/>
        </w:rPr>
      </w:pPr>
    </w:p>
    <w:p w14:paraId="21ADAB6A" w14:textId="1E95BD01" w:rsidR="00194172" w:rsidRDefault="00194172" w:rsidP="0060072E">
      <w:pPr>
        <w:spacing w:line="480" w:lineRule="auto"/>
        <w:rPr>
          <w:rFonts w:ascii="Arial" w:hAnsi="Arial" w:cs="Arial"/>
        </w:rPr>
      </w:pPr>
    </w:p>
    <w:p w14:paraId="71808B61" w14:textId="6B6FF508" w:rsidR="00194172" w:rsidRDefault="00194172" w:rsidP="0060072E">
      <w:pPr>
        <w:spacing w:line="480" w:lineRule="auto"/>
        <w:rPr>
          <w:rFonts w:ascii="Arial" w:hAnsi="Arial" w:cs="Arial"/>
        </w:rPr>
      </w:pPr>
    </w:p>
    <w:p w14:paraId="41182A38" w14:textId="571878FD" w:rsidR="00194172" w:rsidRDefault="00194172" w:rsidP="0060072E">
      <w:pPr>
        <w:spacing w:line="480" w:lineRule="auto"/>
        <w:rPr>
          <w:rFonts w:ascii="Arial" w:hAnsi="Arial" w:cs="Arial"/>
        </w:rPr>
      </w:pPr>
    </w:p>
    <w:p w14:paraId="60E66929" w14:textId="025D2F47" w:rsidR="00194172" w:rsidRDefault="00194172" w:rsidP="0060072E">
      <w:pPr>
        <w:spacing w:line="480" w:lineRule="auto"/>
        <w:rPr>
          <w:rFonts w:ascii="Arial" w:hAnsi="Arial" w:cs="Arial"/>
        </w:rPr>
      </w:pPr>
    </w:p>
    <w:p w14:paraId="4BEB610D" w14:textId="1FF71AA6" w:rsidR="00194172" w:rsidRDefault="00194172" w:rsidP="0060072E">
      <w:pPr>
        <w:spacing w:line="480" w:lineRule="auto"/>
        <w:rPr>
          <w:rFonts w:ascii="Arial" w:hAnsi="Arial" w:cs="Arial"/>
        </w:rPr>
      </w:pPr>
    </w:p>
    <w:p w14:paraId="65C62480" w14:textId="7D73264D" w:rsidR="00194172" w:rsidRDefault="00194172" w:rsidP="0060072E">
      <w:pPr>
        <w:spacing w:line="480" w:lineRule="auto"/>
        <w:rPr>
          <w:rFonts w:ascii="Arial" w:hAnsi="Arial" w:cs="Arial"/>
        </w:rPr>
      </w:pPr>
    </w:p>
    <w:p w14:paraId="45915614" w14:textId="73A00BB6" w:rsidR="00194172" w:rsidRDefault="00194172" w:rsidP="0060072E">
      <w:pPr>
        <w:spacing w:line="480" w:lineRule="auto"/>
        <w:rPr>
          <w:rFonts w:ascii="Arial" w:hAnsi="Arial" w:cs="Arial"/>
        </w:rPr>
      </w:pPr>
    </w:p>
    <w:p w14:paraId="5DEE4C23" w14:textId="19EBC0D8" w:rsidR="00194172" w:rsidRDefault="00194172" w:rsidP="0060072E">
      <w:pPr>
        <w:spacing w:line="480" w:lineRule="auto"/>
        <w:rPr>
          <w:rFonts w:ascii="Arial" w:hAnsi="Arial" w:cs="Arial"/>
        </w:rPr>
      </w:pPr>
    </w:p>
    <w:p w14:paraId="0451E80D" w14:textId="553FFC6F" w:rsidR="00194172" w:rsidRDefault="00194172" w:rsidP="0060072E">
      <w:pPr>
        <w:spacing w:line="480" w:lineRule="auto"/>
        <w:rPr>
          <w:rFonts w:ascii="Arial" w:hAnsi="Arial" w:cs="Arial"/>
        </w:rPr>
      </w:pPr>
    </w:p>
    <w:p w14:paraId="12C413A1" w14:textId="0731D126" w:rsidR="00194172" w:rsidRDefault="00194172" w:rsidP="0060072E">
      <w:pPr>
        <w:spacing w:line="480" w:lineRule="auto"/>
        <w:rPr>
          <w:rFonts w:ascii="Arial" w:hAnsi="Arial" w:cs="Arial"/>
        </w:rPr>
      </w:pPr>
    </w:p>
    <w:p w14:paraId="1D314120" w14:textId="059C2373" w:rsidR="00194172" w:rsidRDefault="00194172" w:rsidP="0060072E">
      <w:pPr>
        <w:spacing w:line="480" w:lineRule="auto"/>
        <w:rPr>
          <w:rFonts w:ascii="Arial" w:hAnsi="Arial" w:cs="Arial"/>
        </w:rPr>
      </w:pPr>
    </w:p>
    <w:p w14:paraId="52089671" w14:textId="2E805893" w:rsidR="00194172" w:rsidRDefault="00194172" w:rsidP="0060072E">
      <w:pPr>
        <w:spacing w:line="480" w:lineRule="auto"/>
        <w:rPr>
          <w:rFonts w:ascii="Arial" w:hAnsi="Arial" w:cs="Arial"/>
        </w:rPr>
      </w:pPr>
    </w:p>
    <w:p w14:paraId="0CD2CBFC" w14:textId="0DE82817" w:rsidR="00194172" w:rsidRDefault="00194172" w:rsidP="0060072E">
      <w:pPr>
        <w:spacing w:line="480" w:lineRule="auto"/>
        <w:rPr>
          <w:rFonts w:ascii="Arial" w:hAnsi="Arial" w:cs="Arial"/>
        </w:rPr>
      </w:pPr>
    </w:p>
    <w:p w14:paraId="1E56ADE9" w14:textId="7E5A75EB" w:rsidR="00194172" w:rsidRDefault="00194172" w:rsidP="0060072E">
      <w:pPr>
        <w:spacing w:line="480" w:lineRule="auto"/>
        <w:rPr>
          <w:rFonts w:ascii="Arial" w:hAnsi="Arial" w:cs="Arial"/>
        </w:rPr>
      </w:pPr>
    </w:p>
    <w:p w14:paraId="6F6AB400" w14:textId="6B88591C" w:rsidR="00194172" w:rsidRDefault="00194172" w:rsidP="0060072E">
      <w:pPr>
        <w:spacing w:line="480" w:lineRule="auto"/>
        <w:rPr>
          <w:rFonts w:ascii="Arial" w:hAnsi="Arial" w:cs="Arial"/>
        </w:rPr>
      </w:pPr>
    </w:p>
    <w:p w14:paraId="68CF83C7" w14:textId="7BFF45D3" w:rsidR="00194172" w:rsidRDefault="00194172" w:rsidP="0060072E">
      <w:pPr>
        <w:spacing w:line="480" w:lineRule="auto"/>
        <w:rPr>
          <w:rFonts w:ascii="Arial" w:hAnsi="Arial" w:cs="Arial"/>
        </w:rPr>
      </w:pPr>
    </w:p>
    <w:p w14:paraId="1353098B" w14:textId="0AB24699" w:rsidR="0060072E" w:rsidRDefault="00194172" w:rsidP="00194172">
      <w:pPr>
        <w:spacing w:line="480" w:lineRule="auto"/>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850752" behindDoc="0" locked="0" layoutInCell="1" allowOverlap="1" wp14:anchorId="246BAD0B" wp14:editId="4D951E5A">
                <wp:simplePos x="0" y="0"/>
                <wp:positionH relativeFrom="column">
                  <wp:posOffset>-2001520</wp:posOffset>
                </wp:positionH>
                <wp:positionV relativeFrom="paragraph">
                  <wp:posOffset>2162175</wp:posOffset>
                </wp:positionV>
                <wp:extent cx="9083675" cy="4759325"/>
                <wp:effectExtent l="3175" t="0" r="12700" b="12700"/>
                <wp:wrapSquare wrapText="bothSides"/>
                <wp:docPr id="101" name="Text Box 101"/>
                <wp:cNvGraphicFramePr/>
                <a:graphic xmlns:a="http://schemas.openxmlformats.org/drawingml/2006/main">
                  <a:graphicData uri="http://schemas.microsoft.com/office/word/2010/wordprocessingShape">
                    <wps:wsp>
                      <wps:cNvSpPr txBox="1"/>
                      <wps:spPr>
                        <a:xfrm rot="16200000">
                          <a:off x="0" y="0"/>
                          <a:ext cx="9083675" cy="4759325"/>
                        </a:xfrm>
                        <a:prstGeom prst="rect">
                          <a:avLst/>
                        </a:prstGeom>
                        <a:solidFill>
                          <a:schemeClr val="bg1"/>
                        </a:solidFill>
                        <a:ln w="6350">
                          <a:solidFill>
                            <a:schemeClr val="bg1"/>
                          </a:solidFill>
                        </a:ln>
                      </wps:spPr>
                      <wps:txbx>
                        <w:txbxContent>
                          <w:p w14:paraId="681540C8" w14:textId="77777777" w:rsidR="00C93BE0" w:rsidRDefault="00C93BE0" w:rsidP="00006397">
                            <w:pPr>
                              <w:keepNext/>
                              <w:jc w:val="center"/>
                            </w:pPr>
                            <w:r>
                              <w:rPr>
                                <w:noProof/>
                                <w:lang w:eastAsia="en-GB"/>
                              </w:rPr>
                              <w:drawing>
                                <wp:inline distT="0" distB="0" distL="0" distR="0" wp14:anchorId="16101C85" wp14:editId="0E158AE5">
                                  <wp:extent cx="8820000" cy="2805304"/>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figure6.3-3x3univariate.png"/>
                                          <pic:cNvPicPr/>
                                        </pic:nvPicPr>
                                        <pic:blipFill>
                                          <a:blip r:embed="rId73">
                                            <a:extLst>
                                              <a:ext uri="{28A0092B-C50C-407E-A947-70E740481C1C}">
                                                <a14:useLocalDpi xmlns:a14="http://schemas.microsoft.com/office/drawing/2010/main" val="0"/>
                                              </a:ext>
                                            </a:extLst>
                                          </a:blip>
                                          <a:stretch>
                                            <a:fillRect/>
                                          </a:stretch>
                                        </pic:blipFill>
                                        <pic:spPr>
                                          <a:xfrm>
                                            <a:off x="0" y="0"/>
                                            <a:ext cx="8820000" cy="2805304"/>
                                          </a:xfrm>
                                          <a:prstGeom prst="rect">
                                            <a:avLst/>
                                          </a:prstGeom>
                                        </pic:spPr>
                                      </pic:pic>
                                    </a:graphicData>
                                  </a:graphic>
                                </wp:inline>
                              </w:drawing>
                            </w:r>
                          </w:p>
                          <w:p w14:paraId="1263224F" w14:textId="42F58F89" w:rsidR="00C93BE0" w:rsidRPr="00F20EF0" w:rsidRDefault="00C93BE0" w:rsidP="00194172">
                            <w:pPr>
                              <w:pStyle w:val="Caption"/>
                              <w:spacing w:line="360" w:lineRule="auto"/>
                              <w:jc w:val="both"/>
                              <w:rPr>
                                <w:rFonts w:ascii="Arial" w:hAnsi="Arial" w:cs="Arial"/>
                                <w:i w:val="0"/>
                                <w:color w:val="000000" w:themeColor="text1"/>
                                <w:sz w:val="24"/>
                                <w:szCs w:val="24"/>
                              </w:rPr>
                            </w:pPr>
                            <w:bookmarkStart w:id="834" w:name="_Toc12363363"/>
                            <w:bookmarkStart w:id="835" w:name="_Toc16242720"/>
                            <w:r w:rsidRPr="00F20EF0">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F20EF0">
                              <w:rPr>
                                <w:rFonts w:ascii="Arial" w:hAnsi="Arial" w:cs="Arial"/>
                                <w:i w:val="0"/>
                                <w:color w:val="000000" w:themeColor="text1"/>
                                <w:sz w:val="24"/>
                                <w:szCs w:val="24"/>
                              </w:rPr>
                              <w:t xml:space="preserve"> Weak evidence of feature-specific attentional modulation within low-level visual feature dimensions. Within the orientation analysis (A), in hV4, LO-1 and LO-2, we identify significantly greater modulation to horizontal than to vertically-oriented stimuli. In LO-2, evidence of significantly greater modulation during attention to diagonally- than vertically-oriented stimuli is also evident. In the chromatic analysis (B) in all 9 ROIs examined, we identify no significant difference in BOLD signal modulation during attention to red, green or blue stimuli. Within the shape analysis (C), </w:t>
                            </w:r>
                            <w:r>
                              <w:rPr>
                                <w:rFonts w:ascii="Arial" w:hAnsi="Arial" w:cs="Arial"/>
                                <w:i w:val="0"/>
                                <w:color w:val="000000" w:themeColor="text1"/>
                                <w:sz w:val="24"/>
                                <w:szCs w:val="24"/>
                              </w:rPr>
                              <w:t>w</w:t>
                            </w:r>
                            <w:r w:rsidRPr="00F20EF0">
                              <w:rPr>
                                <w:rFonts w:ascii="Arial" w:hAnsi="Arial" w:cs="Arial"/>
                                <w:i w:val="0"/>
                                <w:color w:val="000000" w:themeColor="text1"/>
                                <w:sz w:val="24"/>
                                <w:szCs w:val="24"/>
                              </w:rPr>
                              <w:t>e demonstrate significantly reduced modulation during attention to circular than to square or triangular stimuli. In the STS, significantly reduced modulation during triangular than circular attention is also evident. All error bars reflect +/- 1 SEM and significance asterisks indicate Benjamini-Hochberg corrected values.</w:t>
                            </w:r>
                            <w:bookmarkEnd w:id="834"/>
                            <w:bookmarkEnd w:id="835"/>
                            <w:r w:rsidRPr="00F20EF0">
                              <w:rPr>
                                <w:rFonts w:ascii="Arial" w:hAnsi="Arial" w:cs="Arial"/>
                                <w:i w:val="0"/>
                                <w:color w:val="000000" w:themeColor="text1"/>
                                <w:sz w:val="24"/>
                                <w:szCs w:val="24"/>
                              </w:rPr>
                              <w:t xml:space="preserve">  </w:t>
                            </w:r>
                          </w:p>
                          <w:p w14:paraId="0027E886" w14:textId="77777777" w:rsidR="00C93BE0" w:rsidRDefault="00C93BE0" w:rsidP="001941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BAD0B" id="Text Box 101" o:spid="_x0000_s1064" type="#_x0000_t202" style="position:absolute;margin-left:-157.6pt;margin-top:170.25pt;width:715.25pt;height:374.75pt;rotation:-90;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" fillcolor="white [3212]" strokecolor="white [3212]" strokeweight=".5pt">
                <v:textbox>
                  <w:txbxContent>
                    <w:p w14:paraId="681540C8" w14:textId="77777777" w:rsidR="00C93BE0" w:rsidRDefault="00C93BE0" w:rsidP="00006397">
                      <w:pPr>
                        <w:keepNext/>
                        <w:jc w:val="center"/>
                      </w:pPr>
                      <w:r>
                        <w:rPr>
                          <w:noProof/>
                          <w:lang w:eastAsia="en-GB"/>
                        </w:rPr>
                        <w:drawing>
                          <wp:inline distT="0" distB="0" distL="0" distR="0" wp14:anchorId="16101C85" wp14:editId="0E158AE5">
                            <wp:extent cx="8820000" cy="2805304"/>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figure6.3-3x3univariate.png"/>
                                    <pic:cNvPicPr/>
                                  </pic:nvPicPr>
                                  <pic:blipFill>
                                    <a:blip r:embed="rId74">
                                      <a:extLst>
                                        <a:ext uri="{28A0092B-C50C-407E-A947-70E740481C1C}">
                                          <a14:useLocalDpi xmlns:a14="http://schemas.microsoft.com/office/drawing/2010/main" val="0"/>
                                        </a:ext>
                                      </a:extLst>
                                    </a:blip>
                                    <a:stretch>
                                      <a:fillRect/>
                                    </a:stretch>
                                  </pic:blipFill>
                                  <pic:spPr>
                                    <a:xfrm>
                                      <a:off x="0" y="0"/>
                                      <a:ext cx="8820000" cy="2805304"/>
                                    </a:xfrm>
                                    <a:prstGeom prst="rect">
                                      <a:avLst/>
                                    </a:prstGeom>
                                  </pic:spPr>
                                </pic:pic>
                              </a:graphicData>
                            </a:graphic>
                          </wp:inline>
                        </w:drawing>
                      </w:r>
                    </w:p>
                    <w:p w14:paraId="1263224F" w14:textId="42F58F89" w:rsidR="00C93BE0" w:rsidRPr="00F20EF0" w:rsidRDefault="00C93BE0" w:rsidP="00194172">
                      <w:pPr>
                        <w:pStyle w:val="Caption"/>
                        <w:spacing w:line="360" w:lineRule="auto"/>
                        <w:jc w:val="both"/>
                        <w:rPr>
                          <w:rFonts w:ascii="Arial" w:hAnsi="Arial" w:cs="Arial"/>
                          <w:i w:val="0"/>
                          <w:color w:val="000000" w:themeColor="text1"/>
                          <w:sz w:val="24"/>
                          <w:szCs w:val="24"/>
                        </w:rPr>
                      </w:pPr>
                      <w:bookmarkStart w:id="900" w:name="_Toc12363363"/>
                      <w:bookmarkStart w:id="901" w:name="_Toc16242720"/>
                      <w:r w:rsidRPr="00F20EF0">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3</w:t>
                      </w:r>
                      <w:r>
                        <w:rPr>
                          <w:rFonts w:ascii="Arial" w:hAnsi="Arial" w:cs="Arial"/>
                          <w:b/>
                          <w:i w:val="0"/>
                          <w:color w:val="000000" w:themeColor="text1"/>
                          <w:sz w:val="24"/>
                          <w:szCs w:val="24"/>
                        </w:rPr>
                        <w:fldChar w:fldCharType="end"/>
                      </w:r>
                      <w:r w:rsidRPr="00F20EF0">
                        <w:rPr>
                          <w:rFonts w:ascii="Arial" w:hAnsi="Arial" w:cs="Arial"/>
                          <w:i w:val="0"/>
                          <w:color w:val="000000" w:themeColor="text1"/>
                          <w:sz w:val="24"/>
                          <w:szCs w:val="24"/>
                        </w:rPr>
                        <w:t xml:space="preserve"> Weak evidence of feature-specific attentional modulation within low-level visual feature dimensions. Within the orientation analysis (A), in hV4, LO-1 and LO-2, we identify significantly greater modulation to horizontal than to vertically-oriented stimuli. In LO-2, evidence of significantly greater modulation during attention to diagonally- than vertically-oriented stimuli is also evident. In the chromatic analysis (B) in all 9 ROIs examined, we identify no significant difference in BOLD signal modulation during attention to red, green or blue stimuli. Within the shape analysis (C), </w:t>
                      </w:r>
                      <w:r>
                        <w:rPr>
                          <w:rFonts w:ascii="Arial" w:hAnsi="Arial" w:cs="Arial"/>
                          <w:i w:val="0"/>
                          <w:color w:val="000000" w:themeColor="text1"/>
                          <w:sz w:val="24"/>
                          <w:szCs w:val="24"/>
                        </w:rPr>
                        <w:t>w</w:t>
                      </w:r>
                      <w:r w:rsidRPr="00F20EF0">
                        <w:rPr>
                          <w:rFonts w:ascii="Arial" w:hAnsi="Arial" w:cs="Arial"/>
                          <w:i w:val="0"/>
                          <w:color w:val="000000" w:themeColor="text1"/>
                          <w:sz w:val="24"/>
                          <w:szCs w:val="24"/>
                        </w:rPr>
                        <w:t>e demonstrate significantly reduced modulation during attention to circular than to square or triangular stimuli. In the STS, significantly reduced modulation during triangular than circular attention is also evident. All error bars reflect +/- 1 SEM and significance asterisks indicate Benjamini-Hochberg corrected values.</w:t>
                      </w:r>
                      <w:bookmarkEnd w:id="900"/>
                      <w:bookmarkEnd w:id="901"/>
                      <w:r w:rsidRPr="00F20EF0">
                        <w:rPr>
                          <w:rFonts w:ascii="Arial" w:hAnsi="Arial" w:cs="Arial"/>
                          <w:i w:val="0"/>
                          <w:color w:val="000000" w:themeColor="text1"/>
                          <w:sz w:val="24"/>
                          <w:szCs w:val="24"/>
                        </w:rPr>
                        <w:t xml:space="preserve">  </w:t>
                      </w:r>
                    </w:p>
                    <w:p w14:paraId="0027E886" w14:textId="77777777" w:rsidR="00C93BE0" w:rsidRDefault="00C93BE0" w:rsidP="00194172"/>
                  </w:txbxContent>
                </v:textbox>
                <w10:wrap type="square"/>
              </v:shape>
            </w:pict>
          </mc:Fallback>
        </mc:AlternateContent>
      </w:r>
    </w:p>
    <w:p w14:paraId="73A1DD61" w14:textId="77777777" w:rsidR="00F20EF0" w:rsidRDefault="00F771D6" w:rsidP="00F20EF0">
      <w:pPr>
        <w:pStyle w:val="Heading3"/>
        <w:numPr>
          <w:ilvl w:val="2"/>
          <w:numId w:val="7"/>
        </w:numPr>
        <w:rPr>
          <w:rFonts w:ascii="Arial" w:hAnsi="Arial" w:cs="Arial"/>
          <w:b/>
          <w:i/>
          <w:color w:val="000000" w:themeColor="text1"/>
          <w:sz w:val="28"/>
          <w:szCs w:val="28"/>
        </w:rPr>
      </w:pPr>
      <w:bookmarkStart w:id="836" w:name="_Toc11753685"/>
      <w:bookmarkStart w:id="837" w:name="_Toc11926871"/>
      <w:bookmarkStart w:id="838" w:name="_Toc11930137"/>
      <w:bookmarkStart w:id="839" w:name="_Toc16075453"/>
      <w:bookmarkStart w:id="840" w:name="_Toc16237043"/>
      <w:r>
        <w:rPr>
          <w:rFonts w:ascii="Arial" w:hAnsi="Arial" w:cs="Arial"/>
          <w:b/>
          <w:i/>
          <w:color w:val="000000" w:themeColor="text1"/>
          <w:sz w:val="28"/>
          <w:szCs w:val="28"/>
        </w:rPr>
        <w:lastRenderedPageBreak/>
        <w:t>Multivariate</w:t>
      </w:r>
      <w:r w:rsidRPr="00F771D6">
        <w:rPr>
          <w:rFonts w:ascii="Arial" w:hAnsi="Arial" w:cs="Arial"/>
          <w:b/>
          <w:i/>
          <w:color w:val="000000" w:themeColor="text1"/>
          <w:sz w:val="28"/>
          <w:szCs w:val="28"/>
        </w:rPr>
        <w:t>- 3 feature attentional modulation</w:t>
      </w:r>
      <w:bookmarkEnd w:id="836"/>
      <w:bookmarkEnd w:id="837"/>
      <w:bookmarkEnd w:id="838"/>
      <w:bookmarkEnd w:id="839"/>
      <w:bookmarkEnd w:id="840"/>
    </w:p>
    <w:p w14:paraId="23B6C1CF" w14:textId="77777777" w:rsidR="00F05C62" w:rsidRPr="00F05C62" w:rsidRDefault="00F05C62" w:rsidP="00F05C62"/>
    <w:p w14:paraId="3535E782" w14:textId="2EE9867D" w:rsidR="0060072E" w:rsidRPr="00225AB0" w:rsidRDefault="0060072E" w:rsidP="0060072E">
      <w:pPr>
        <w:spacing w:line="480" w:lineRule="auto"/>
        <w:rPr>
          <w:rFonts w:ascii="Arial" w:hAnsi="Arial" w:cs="Arial"/>
        </w:rPr>
      </w:pPr>
      <w:r w:rsidRPr="00225AB0">
        <w:rPr>
          <w:rFonts w:ascii="Arial" w:hAnsi="Arial" w:cs="Arial"/>
        </w:rPr>
        <w:t xml:space="preserve">Using a complex, dynamic, naturalistic stimulus </w:t>
      </w:r>
      <w:r w:rsidR="00D44AC6">
        <w:rPr>
          <w:rFonts w:ascii="Arial" w:hAnsi="Arial" w:cs="Arial"/>
        </w:rPr>
        <w:t>in</w:t>
      </w:r>
      <w:r w:rsidRPr="00225AB0">
        <w:rPr>
          <w:rFonts w:ascii="Arial" w:hAnsi="Arial" w:cs="Arial"/>
        </w:rPr>
        <w:t xml:space="preserve"> this experiment provided a wealth of visual information for our participant</w:t>
      </w:r>
      <w:r w:rsidR="00F05C62">
        <w:rPr>
          <w:rFonts w:ascii="Arial" w:hAnsi="Arial" w:cs="Arial"/>
        </w:rPr>
        <w:t>s</w:t>
      </w:r>
      <w:r w:rsidRPr="00225AB0">
        <w:rPr>
          <w:rFonts w:ascii="Arial" w:hAnsi="Arial" w:cs="Arial"/>
        </w:rPr>
        <w:t xml:space="preserve"> to selectively to attend to. Our univariate analyses revealed however, that we can predominantly only distinguish attention to faces, versus attention to low-level stimulus attributes </w:t>
      </w:r>
      <w:r w:rsidR="00D44AC6">
        <w:rPr>
          <w:rFonts w:ascii="Arial" w:hAnsi="Arial" w:cs="Arial"/>
        </w:rPr>
        <w:t>in</w:t>
      </w:r>
      <w:r w:rsidRPr="00225AB0">
        <w:rPr>
          <w:rFonts w:ascii="Arial" w:hAnsi="Arial" w:cs="Arial"/>
        </w:rPr>
        <w:t xml:space="preserve"> a limited subset of visual ROIs. We therefore asked, as identified </w:t>
      </w:r>
      <w:r w:rsidR="00D44AC6">
        <w:rPr>
          <w:rFonts w:ascii="Arial" w:hAnsi="Arial" w:cs="Arial"/>
        </w:rPr>
        <w:t>in</w:t>
      </w:r>
      <w:r w:rsidRPr="00225AB0">
        <w:rPr>
          <w:rFonts w:ascii="Arial" w:hAnsi="Arial" w:cs="Arial"/>
        </w:rPr>
        <w:t xml:space="preserve"> </w:t>
      </w:r>
      <w:r w:rsidR="00F05C62">
        <w:rPr>
          <w:rFonts w:ascii="Arial" w:hAnsi="Arial" w:cs="Arial"/>
        </w:rPr>
        <w:t>C</w:t>
      </w:r>
      <w:r w:rsidRPr="00225AB0">
        <w:rPr>
          <w:rFonts w:ascii="Arial" w:hAnsi="Arial" w:cs="Arial"/>
        </w:rPr>
        <w:t xml:space="preserve">hapters 4 and 5, if attentional modulation exerts a differential influence on voxel-level patterns of activation </w:t>
      </w:r>
      <w:r w:rsidR="00D44AC6">
        <w:rPr>
          <w:rFonts w:ascii="Arial" w:hAnsi="Arial" w:cs="Arial"/>
        </w:rPr>
        <w:t>in</w:t>
      </w:r>
      <w:r w:rsidRPr="00225AB0">
        <w:rPr>
          <w:rFonts w:ascii="Arial" w:hAnsi="Arial" w:cs="Arial"/>
        </w:rPr>
        <w:t xml:space="preserve"> visual ROIs. </w:t>
      </w:r>
    </w:p>
    <w:p w14:paraId="6FFF40BD" w14:textId="77777777" w:rsidR="0060072E" w:rsidRPr="00225AB0" w:rsidRDefault="0060072E" w:rsidP="0060072E">
      <w:pPr>
        <w:spacing w:line="480" w:lineRule="auto"/>
        <w:rPr>
          <w:rFonts w:ascii="Arial" w:hAnsi="Arial" w:cs="Arial"/>
        </w:rPr>
      </w:pPr>
    </w:p>
    <w:p w14:paraId="2E637CAF" w14:textId="77777777" w:rsidR="0060072E" w:rsidRPr="00225AB0" w:rsidRDefault="0060072E" w:rsidP="0060072E">
      <w:pPr>
        <w:spacing w:line="480" w:lineRule="auto"/>
        <w:rPr>
          <w:rFonts w:ascii="Arial" w:hAnsi="Arial" w:cs="Arial"/>
        </w:rPr>
      </w:pPr>
      <w:r w:rsidRPr="00225AB0">
        <w:rPr>
          <w:rFonts w:ascii="Arial" w:hAnsi="Arial" w:cs="Arial"/>
        </w:rPr>
        <w:t xml:space="preserve">We performed </w:t>
      </w:r>
      <w:r w:rsidR="00F05C62">
        <w:rPr>
          <w:rFonts w:ascii="Arial" w:hAnsi="Arial" w:cs="Arial"/>
        </w:rPr>
        <w:t>weighted f</w:t>
      </w:r>
      <w:r w:rsidRPr="00225AB0">
        <w:rPr>
          <w:rFonts w:ascii="Arial" w:hAnsi="Arial" w:cs="Arial"/>
        </w:rPr>
        <w:t xml:space="preserve">our-way </w:t>
      </w:r>
      <w:r w:rsidR="00F05C62">
        <w:rPr>
          <w:rFonts w:ascii="Arial" w:hAnsi="Arial" w:cs="Arial"/>
        </w:rPr>
        <w:t xml:space="preserve">support vector machine </w:t>
      </w:r>
      <w:r w:rsidRPr="00225AB0">
        <w:rPr>
          <w:rFonts w:ascii="Arial" w:hAnsi="Arial" w:cs="Arial"/>
        </w:rPr>
        <w:t xml:space="preserve">multivariate pattern classification analysis, simultaneously classifying orientation, colour, shape and face attention data. One-sample Wilcoxon signed rank tests versus chance performance (25%), Benjamini-Hochberg corrected for the number of ROIs, revealed attentional state could be decoded at rates significantly greater than chance in almost all ROIs examined (V1: W(11) = 2.67, </w:t>
      </w:r>
      <w:r w:rsidRPr="00225AB0">
        <w:rPr>
          <w:rFonts w:ascii="Arial" w:hAnsi="Arial" w:cs="Arial"/>
          <w:i/>
        </w:rPr>
        <w:t>p</w:t>
      </w:r>
      <w:r w:rsidRPr="00225AB0">
        <w:rPr>
          <w:rFonts w:ascii="Arial" w:hAnsi="Arial" w:cs="Arial"/>
        </w:rPr>
        <w:t xml:space="preserve"> = .032, V3A/B: W(11) = 2.82, </w:t>
      </w:r>
      <w:r w:rsidRPr="00225AB0">
        <w:rPr>
          <w:rFonts w:ascii="Arial" w:hAnsi="Arial" w:cs="Arial"/>
          <w:i/>
        </w:rPr>
        <w:t>p</w:t>
      </w:r>
      <w:r w:rsidRPr="00225AB0">
        <w:rPr>
          <w:rFonts w:ascii="Arial" w:hAnsi="Arial" w:cs="Arial"/>
        </w:rPr>
        <w:t xml:space="preserve"> = .024, hV4: W(11) = 2.51, </w:t>
      </w:r>
      <w:r w:rsidRPr="00225AB0">
        <w:rPr>
          <w:rFonts w:ascii="Arial" w:hAnsi="Arial" w:cs="Arial"/>
          <w:i/>
        </w:rPr>
        <w:t>p</w:t>
      </w:r>
      <w:r w:rsidRPr="00225AB0">
        <w:rPr>
          <w:rFonts w:ascii="Arial" w:hAnsi="Arial" w:cs="Arial"/>
        </w:rPr>
        <w:t xml:space="preserve"> = .044, LO-1: W(11) = 2.94, </w:t>
      </w:r>
      <w:r w:rsidRPr="00225AB0">
        <w:rPr>
          <w:rFonts w:ascii="Arial" w:hAnsi="Arial" w:cs="Arial"/>
          <w:i/>
        </w:rPr>
        <w:t>p</w:t>
      </w:r>
      <w:r w:rsidRPr="00225AB0">
        <w:rPr>
          <w:rFonts w:ascii="Arial" w:hAnsi="Arial" w:cs="Arial"/>
        </w:rPr>
        <w:t xml:space="preserve"> = .023, FFA: W(11) = 3.06, </w:t>
      </w:r>
      <w:r w:rsidRPr="00225AB0">
        <w:rPr>
          <w:rFonts w:ascii="Arial" w:hAnsi="Arial" w:cs="Arial"/>
          <w:i/>
        </w:rPr>
        <w:t>p</w:t>
      </w:r>
      <w:r w:rsidRPr="00225AB0">
        <w:rPr>
          <w:rFonts w:ascii="Arial" w:hAnsi="Arial" w:cs="Arial"/>
        </w:rPr>
        <w:t xml:space="preserve"> = .023, OFA: W(11) = 2.98, </w:t>
      </w:r>
      <w:r w:rsidRPr="00225AB0">
        <w:rPr>
          <w:rFonts w:ascii="Arial" w:hAnsi="Arial" w:cs="Arial"/>
          <w:i/>
        </w:rPr>
        <w:t>p</w:t>
      </w:r>
      <w:r w:rsidRPr="00225AB0">
        <w:rPr>
          <w:rFonts w:ascii="Arial" w:hAnsi="Arial" w:cs="Arial"/>
        </w:rPr>
        <w:t xml:space="preserve"> = .023 and STS: W(11) = 2.90, </w:t>
      </w:r>
      <w:r w:rsidRPr="00225AB0">
        <w:rPr>
          <w:rFonts w:ascii="Arial" w:hAnsi="Arial" w:cs="Arial"/>
          <w:i/>
        </w:rPr>
        <w:t>p</w:t>
      </w:r>
      <w:r w:rsidRPr="00225AB0">
        <w:rPr>
          <w:rFonts w:ascii="Arial" w:hAnsi="Arial" w:cs="Arial"/>
        </w:rPr>
        <w:t xml:space="preserve"> = .023). In LO-2 and A1, classification accuracies did not significantly exceed chance (</w:t>
      </w:r>
      <w:r w:rsidRPr="00225AB0">
        <w:rPr>
          <w:rFonts w:ascii="Arial" w:hAnsi="Arial" w:cs="Arial"/>
          <w:i/>
        </w:rPr>
        <w:t>p</w:t>
      </w:r>
      <w:r w:rsidRPr="00225AB0">
        <w:rPr>
          <w:rFonts w:ascii="Arial" w:hAnsi="Arial" w:cs="Arial"/>
        </w:rPr>
        <w:t xml:space="preserve"> &gt; .05). Mean decoding accuracy across ROIs ranged from 27.86 to 38.91% (see Figure</w:t>
      </w:r>
      <w:r w:rsidR="00F20EF0">
        <w:rPr>
          <w:rFonts w:ascii="Arial" w:hAnsi="Arial" w:cs="Arial"/>
        </w:rPr>
        <w:t xml:space="preserve"> 6.</w:t>
      </w:r>
      <w:r w:rsidRPr="00225AB0">
        <w:rPr>
          <w:rFonts w:ascii="Arial" w:hAnsi="Arial" w:cs="Arial"/>
        </w:rPr>
        <w:t xml:space="preserve">4A). </w:t>
      </w:r>
    </w:p>
    <w:p w14:paraId="39B32050" w14:textId="4D9A6C7F" w:rsidR="0060072E" w:rsidRPr="00225AB0" w:rsidRDefault="00925460" w:rsidP="0060072E">
      <w:pPr>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840512" behindDoc="0" locked="0" layoutInCell="1" allowOverlap="1" wp14:anchorId="384131AF" wp14:editId="76BF1E97">
                <wp:simplePos x="0" y="0"/>
                <wp:positionH relativeFrom="column">
                  <wp:posOffset>-105872</wp:posOffset>
                </wp:positionH>
                <wp:positionV relativeFrom="paragraph">
                  <wp:posOffset>0</wp:posOffset>
                </wp:positionV>
                <wp:extent cx="5402580" cy="5125720"/>
                <wp:effectExtent l="0" t="0" r="7620" b="17780"/>
                <wp:wrapSquare wrapText="bothSides"/>
                <wp:docPr id="118" name="Text Box 118"/>
                <wp:cNvGraphicFramePr/>
                <a:graphic xmlns:a="http://schemas.openxmlformats.org/drawingml/2006/main">
                  <a:graphicData uri="http://schemas.microsoft.com/office/word/2010/wordprocessingShape">
                    <wps:wsp>
                      <wps:cNvSpPr txBox="1"/>
                      <wps:spPr>
                        <a:xfrm>
                          <a:off x="0" y="0"/>
                          <a:ext cx="5402580" cy="5125720"/>
                        </a:xfrm>
                        <a:prstGeom prst="rect">
                          <a:avLst/>
                        </a:prstGeom>
                        <a:solidFill>
                          <a:schemeClr val="bg1"/>
                        </a:solidFill>
                        <a:ln w="6350">
                          <a:solidFill>
                            <a:schemeClr val="bg1"/>
                          </a:solidFill>
                        </a:ln>
                      </wps:spPr>
                      <wps:txbx>
                        <w:txbxContent>
                          <w:p w14:paraId="437CA5AF" w14:textId="77777777" w:rsidR="00C93BE0" w:rsidRDefault="00C93BE0" w:rsidP="00925460">
                            <w:pPr>
                              <w:keepNext/>
                              <w:jc w:val="center"/>
                            </w:pPr>
                            <w:r>
                              <w:rPr>
                                <w:noProof/>
                                <w:lang w:eastAsia="en-GB"/>
                              </w:rPr>
                              <w:drawing>
                                <wp:inline distT="0" distB="0" distL="0" distR="0" wp14:anchorId="28604136" wp14:editId="0FB27E0D">
                                  <wp:extent cx="5283200" cy="3643086"/>
                                  <wp:effectExtent l="0" t="0" r="0" b="1905"/>
                                  <wp:docPr id="56" name="Picture 56"/>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75" cstate="print">
                                            <a:extLst>
                                              <a:ext uri="{28A0092B-C50C-407E-A947-70E740481C1C}">
                                                <a14:useLocalDpi xmlns:a14="http://schemas.microsoft.com/office/drawing/2010/main" val="0"/>
                                              </a:ext>
                                            </a:extLst>
                                          </a:blip>
                                          <a:srcRect l="5462" t="7435" b="5685"/>
                                          <a:stretch/>
                                        </pic:blipFill>
                                        <pic:spPr bwMode="auto">
                                          <a:xfrm>
                                            <a:off x="0" y="0"/>
                                            <a:ext cx="5295407" cy="3651503"/>
                                          </a:xfrm>
                                          <a:prstGeom prst="rect">
                                            <a:avLst/>
                                          </a:prstGeom>
                                          <a:ln>
                                            <a:noFill/>
                                          </a:ln>
                                          <a:extLst>
                                            <a:ext uri="{53640926-AAD7-44D8-BBD7-CCE9431645EC}">
                                              <a14:shadowObscured xmlns:a14="http://schemas.microsoft.com/office/drawing/2010/main"/>
                                            </a:ext>
                                          </a:extLst>
                                        </pic:spPr>
                                      </pic:pic>
                                    </a:graphicData>
                                  </a:graphic>
                                </wp:inline>
                              </w:drawing>
                            </w:r>
                          </w:p>
                          <w:p w14:paraId="1FECF282" w14:textId="43EE3A0C" w:rsidR="00C93BE0" w:rsidRPr="00287C67" w:rsidRDefault="00C93BE0" w:rsidP="00925460">
                            <w:pPr>
                              <w:pStyle w:val="Caption"/>
                              <w:spacing w:line="360" w:lineRule="auto"/>
                              <w:jc w:val="both"/>
                              <w:rPr>
                                <w:rFonts w:ascii="Arial" w:hAnsi="Arial" w:cs="Arial"/>
                                <w:i w:val="0"/>
                                <w:color w:val="000000" w:themeColor="text1"/>
                                <w:sz w:val="24"/>
                                <w:szCs w:val="24"/>
                              </w:rPr>
                            </w:pPr>
                            <w:bookmarkStart w:id="841" w:name="_Toc12363364"/>
                            <w:bookmarkStart w:id="842" w:name="_Toc16242721"/>
                            <w:r w:rsidRPr="00287C67">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sidRPr="00287C67">
                              <w:rPr>
                                <w:rFonts w:ascii="Arial" w:hAnsi="Arial" w:cs="Arial"/>
                                <w:i w:val="0"/>
                                <w:color w:val="000000" w:themeColor="text1"/>
                                <w:sz w:val="24"/>
                                <w:szCs w:val="24"/>
                              </w:rPr>
                              <w:t xml:space="preserve"> Multivariate Support Vector Machine decoding. Simultaneous classification of face, orientation, contrast and shape attention data reveal attentional state can be accurately decoded in almost all visual ROIs examined. Error bars reflect +/- 1 SEM and significance asterisks indicate Benjamini-Hochberg corrected values.</w:t>
                            </w:r>
                            <w:bookmarkEnd w:id="841"/>
                            <w:bookmarkEnd w:id="842"/>
                            <w:r w:rsidRPr="00287C67">
                              <w:rPr>
                                <w:rFonts w:ascii="Arial" w:hAnsi="Arial" w:cs="Arial"/>
                                <w:i w:val="0"/>
                                <w:color w:val="000000" w:themeColor="text1"/>
                                <w:sz w:val="24"/>
                                <w:szCs w:val="24"/>
                              </w:rPr>
                              <w:t xml:space="preserve"> </w:t>
                            </w:r>
                          </w:p>
                          <w:p w14:paraId="60202716" w14:textId="77777777" w:rsidR="00C93BE0" w:rsidRDefault="00C93BE0" w:rsidP="00925460">
                            <w:pPr>
                              <w:jc w:val="center"/>
                            </w:pPr>
                          </w:p>
                          <w:p w14:paraId="4C886A3B" w14:textId="77777777" w:rsidR="00C93BE0" w:rsidRDefault="00C93BE0" w:rsidP="0092546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131AF" id="Text Box 118" o:spid="_x0000_s1065" type="#_x0000_t202" style="position:absolute;margin-left:-8.35pt;margin-top:0;width:425.4pt;height:403.6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" fillcolor="white [3212]" strokecolor="white [3212]" strokeweight=".5pt">
                <v:textbox>
                  <w:txbxContent>
                    <w:p w14:paraId="437CA5AF" w14:textId="77777777" w:rsidR="00C93BE0" w:rsidRDefault="00C93BE0" w:rsidP="00925460">
                      <w:pPr>
                        <w:keepNext/>
                        <w:jc w:val="center"/>
                      </w:pPr>
                      <w:r>
                        <w:rPr>
                          <w:noProof/>
                          <w:lang w:eastAsia="en-GB"/>
                        </w:rPr>
                        <w:drawing>
                          <wp:inline distT="0" distB="0" distL="0" distR="0" wp14:anchorId="28604136" wp14:editId="0FB27E0D">
                            <wp:extent cx="5283200" cy="3643086"/>
                            <wp:effectExtent l="0" t="0" r="0" b="1905"/>
                            <wp:docPr id="56" name="Picture 56"/>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76" cstate="print">
                                      <a:extLst>
                                        <a:ext uri="{28A0092B-C50C-407E-A947-70E740481C1C}">
                                          <a14:useLocalDpi xmlns:a14="http://schemas.microsoft.com/office/drawing/2010/main" val="0"/>
                                        </a:ext>
                                      </a:extLst>
                                    </a:blip>
                                    <a:srcRect l="5462" t="7435" b="5685"/>
                                    <a:stretch/>
                                  </pic:blipFill>
                                  <pic:spPr bwMode="auto">
                                    <a:xfrm>
                                      <a:off x="0" y="0"/>
                                      <a:ext cx="5295407" cy="3651503"/>
                                    </a:xfrm>
                                    <a:prstGeom prst="rect">
                                      <a:avLst/>
                                    </a:prstGeom>
                                    <a:ln>
                                      <a:noFill/>
                                    </a:ln>
                                    <a:extLst>
                                      <a:ext uri="{53640926-AAD7-44D8-BBD7-CCE9431645EC}">
                                        <a14:shadowObscured xmlns:a14="http://schemas.microsoft.com/office/drawing/2010/main"/>
                                      </a:ext>
                                    </a:extLst>
                                  </pic:spPr>
                                </pic:pic>
                              </a:graphicData>
                            </a:graphic>
                          </wp:inline>
                        </w:drawing>
                      </w:r>
                    </w:p>
                    <w:p w14:paraId="1FECF282" w14:textId="43EE3A0C" w:rsidR="00C93BE0" w:rsidRPr="00287C67" w:rsidRDefault="00C93BE0" w:rsidP="00925460">
                      <w:pPr>
                        <w:pStyle w:val="Caption"/>
                        <w:spacing w:line="360" w:lineRule="auto"/>
                        <w:jc w:val="both"/>
                        <w:rPr>
                          <w:rFonts w:ascii="Arial" w:hAnsi="Arial" w:cs="Arial"/>
                          <w:i w:val="0"/>
                          <w:color w:val="000000" w:themeColor="text1"/>
                          <w:sz w:val="24"/>
                          <w:szCs w:val="24"/>
                        </w:rPr>
                      </w:pPr>
                      <w:bookmarkStart w:id="909" w:name="_Toc12363364"/>
                      <w:bookmarkStart w:id="910" w:name="_Toc16242721"/>
                      <w:r w:rsidRPr="00287C67">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4</w:t>
                      </w:r>
                      <w:r>
                        <w:rPr>
                          <w:rFonts w:ascii="Arial" w:hAnsi="Arial" w:cs="Arial"/>
                          <w:b/>
                          <w:i w:val="0"/>
                          <w:color w:val="000000" w:themeColor="text1"/>
                          <w:sz w:val="24"/>
                          <w:szCs w:val="24"/>
                        </w:rPr>
                        <w:fldChar w:fldCharType="end"/>
                      </w:r>
                      <w:r w:rsidRPr="00287C67">
                        <w:rPr>
                          <w:rFonts w:ascii="Arial" w:hAnsi="Arial" w:cs="Arial"/>
                          <w:i w:val="0"/>
                          <w:color w:val="000000" w:themeColor="text1"/>
                          <w:sz w:val="24"/>
                          <w:szCs w:val="24"/>
                        </w:rPr>
                        <w:t xml:space="preserve"> Multivariate Support Vector Machine decoding. Simultaneous classification of face, orientation, contrast and shape attention data reveal attentional state can be accurately decoded in almost all visual ROIs examined. Error bars reflect +/- 1 SEM and significance asterisks indicate Benjamini-Hochberg corrected values.</w:t>
                      </w:r>
                      <w:bookmarkEnd w:id="909"/>
                      <w:bookmarkEnd w:id="910"/>
                      <w:r w:rsidRPr="00287C67">
                        <w:rPr>
                          <w:rFonts w:ascii="Arial" w:hAnsi="Arial" w:cs="Arial"/>
                          <w:i w:val="0"/>
                          <w:color w:val="000000" w:themeColor="text1"/>
                          <w:sz w:val="24"/>
                          <w:szCs w:val="24"/>
                        </w:rPr>
                        <w:t xml:space="preserve"> </w:t>
                      </w:r>
                    </w:p>
                    <w:p w14:paraId="60202716" w14:textId="77777777" w:rsidR="00C93BE0" w:rsidRDefault="00C93BE0" w:rsidP="00925460">
                      <w:pPr>
                        <w:jc w:val="center"/>
                      </w:pPr>
                    </w:p>
                    <w:p w14:paraId="4C886A3B" w14:textId="77777777" w:rsidR="00C93BE0" w:rsidRDefault="00C93BE0" w:rsidP="00925460">
                      <w:pPr>
                        <w:jc w:val="center"/>
                      </w:pPr>
                    </w:p>
                  </w:txbxContent>
                </v:textbox>
                <w10:wrap type="square"/>
              </v:shape>
            </w:pict>
          </mc:Fallback>
        </mc:AlternateContent>
      </w:r>
    </w:p>
    <w:p w14:paraId="0F0C6FCB" w14:textId="77777777" w:rsidR="0060072E" w:rsidRPr="00225AB0" w:rsidRDefault="0060072E" w:rsidP="0060072E">
      <w:pPr>
        <w:rPr>
          <w:rFonts w:ascii="Arial" w:hAnsi="Arial" w:cs="Arial"/>
        </w:rPr>
      </w:pPr>
    </w:p>
    <w:p w14:paraId="49DE6DDF" w14:textId="4FD930BE" w:rsidR="00812C5D" w:rsidRDefault="0060072E" w:rsidP="0060072E">
      <w:pPr>
        <w:spacing w:line="480" w:lineRule="auto"/>
        <w:rPr>
          <w:rFonts w:ascii="Arial" w:hAnsi="Arial" w:cs="Arial"/>
        </w:rPr>
      </w:pPr>
      <w:r w:rsidRPr="00225AB0">
        <w:rPr>
          <w:rFonts w:ascii="Arial" w:hAnsi="Arial" w:cs="Arial"/>
        </w:rPr>
        <w:t xml:space="preserve">In order to identify which attentional conditions specifically were driving these above chance classifications, we then performed multiple pairwise classification analyses, comparing patterns of activation across two attentional conditions at a time. Significance was again assessed using one sample Wilcoxon signed-rank tests versus chance (50%), Benjamini-Hochberg corrected for the number of comparisons across ROIs. </w:t>
      </w:r>
      <w:r w:rsidR="00D44AC6">
        <w:rPr>
          <w:rFonts w:ascii="Arial" w:hAnsi="Arial" w:cs="Arial"/>
        </w:rPr>
        <w:t>In</w:t>
      </w:r>
      <w:r w:rsidRPr="00225AB0">
        <w:rPr>
          <w:rFonts w:ascii="Arial" w:hAnsi="Arial" w:cs="Arial"/>
        </w:rPr>
        <w:t xml:space="preserve"> V1, it was possible to decode attention to faces versus orientation (</w:t>
      </w:r>
      <w:proofErr w:type="gramStart"/>
      <w:r w:rsidRPr="00225AB0">
        <w:rPr>
          <w:rFonts w:ascii="Arial" w:hAnsi="Arial" w:cs="Arial"/>
        </w:rPr>
        <w:t>W(</w:t>
      </w:r>
      <w:proofErr w:type="gramEnd"/>
      <w:r w:rsidRPr="00225AB0">
        <w:rPr>
          <w:rFonts w:ascii="Arial" w:hAnsi="Arial" w:cs="Arial"/>
        </w:rPr>
        <w:t xml:space="preserve">11) = 3.07, </w:t>
      </w:r>
      <w:r w:rsidRPr="00225AB0">
        <w:rPr>
          <w:rFonts w:ascii="Arial" w:hAnsi="Arial" w:cs="Arial"/>
          <w:i/>
        </w:rPr>
        <w:t xml:space="preserve">p </w:t>
      </w:r>
      <w:r w:rsidRPr="00225AB0">
        <w:rPr>
          <w:rFonts w:ascii="Arial" w:hAnsi="Arial" w:cs="Arial"/>
        </w:rPr>
        <w:t xml:space="preserve">= .028) and colour (W(11) = 2.99, </w:t>
      </w:r>
      <w:r w:rsidRPr="00225AB0">
        <w:rPr>
          <w:rFonts w:ascii="Arial" w:hAnsi="Arial" w:cs="Arial"/>
          <w:i/>
        </w:rPr>
        <w:t>p</w:t>
      </w:r>
      <w:r w:rsidRPr="00225AB0">
        <w:rPr>
          <w:rFonts w:ascii="Arial" w:hAnsi="Arial" w:cs="Arial"/>
        </w:rPr>
        <w:t xml:space="preserve"> = .031) at rates significantly above chance</w:t>
      </w:r>
      <w:r w:rsidR="00287C67">
        <w:rPr>
          <w:rFonts w:ascii="Arial" w:hAnsi="Arial" w:cs="Arial"/>
        </w:rPr>
        <w:t xml:space="preserve"> (see Figure 6.5)</w:t>
      </w:r>
      <w:r w:rsidRPr="00225AB0">
        <w:rPr>
          <w:rFonts w:ascii="Arial" w:hAnsi="Arial" w:cs="Arial"/>
        </w:rPr>
        <w:t xml:space="preserve">. </w:t>
      </w:r>
    </w:p>
    <w:p w14:paraId="7C190516" w14:textId="5C351C1F" w:rsidR="006A6E96" w:rsidRDefault="00925460" w:rsidP="0060072E">
      <w:pPr>
        <w:spacing w:line="480" w:lineRule="auto"/>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842560" behindDoc="0" locked="0" layoutInCell="1" allowOverlap="1" wp14:anchorId="7C84B284" wp14:editId="67253830">
                <wp:simplePos x="0" y="0"/>
                <wp:positionH relativeFrom="column">
                  <wp:posOffset>-111760</wp:posOffset>
                </wp:positionH>
                <wp:positionV relativeFrom="paragraph">
                  <wp:posOffset>0</wp:posOffset>
                </wp:positionV>
                <wp:extent cx="5292090" cy="7159625"/>
                <wp:effectExtent l="0" t="0" r="16510" b="15875"/>
                <wp:wrapSquare wrapText="bothSides"/>
                <wp:docPr id="119" name="Text Box 119"/>
                <wp:cNvGraphicFramePr/>
                <a:graphic xmlns:a="http://schemas.openxmlformats.org/drawingml/2006/main">
                  <a:graphicData uri="http://schemas.microsoft.com/office/word/2010/wordprocessingShape">
                    <wps:wsp>
                      <wps:cNvSpPr txBox="1"/>
                      <wps:spPr>
                        <a:xfrm>
                          <a:off x="0" y="0"/>
                          <a:ext cx="5292090" cy="7159625"/>
                        </a:xfrm>
                        <a:prstGeom prst="rect">
                          <a:avLst/>
                        </a:prstGeom>
                        <a:solidFill>
                          <a:schemeClr val="bg1"/>
                        </a:solidFill>
                        <a:ln w="6350">
                          <a:solidFill>
                            <a:schemeClr val="bg1"/>
                          </a:solidFill>
                        </a:ln>
                      </wps:spPr>
                      <wps:txbx>
                        <w:txbxContent>
                          <w:p w14:paraId="47E8D258" w14:textId="30E442B7" w:rsidR="00C93BE0" w:rsidRDefault="00C93BE0" w:rsidP="00925460">
                            <w:pPr>
                              <w:keepNext/>
                              <w:jc w:val="center"/>
                            </w:pPr>
                            <w:r>
                              <w:rPr>
                                <w:noProof/>
                              </w:rPr>
                              <w:drawing>
                                <wp:inline distT="0" distB="0" distL="0" distR="0" wp14:anchorId="1874C706" wp14:editId="2ECEFB47">
                                  <wp:extent cx="5331125" cy="5384197"/>
                                  <wp:effectExtent l="0" t="0" r="3175"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naturalistic_3feature_classification.png"/>
                                          <pic:cNvPicPr/>
                                        </pic:nvPicPr>
                                        <pic:blipFill>
                                          <a:blip r:embed="rId77">
                                            <a:extLst>
                                              <a:ext uri="{28A0092B-C50C-407E-A947-70E740481C1C}">
                                                <a14:useLocalDpi xmlns:a14="http://schemas.microsoft.com/office/drawing/2010/main" val="0"/>
                                              </a:ext>
                                            </a:extLst>
                                          </a:blip>
                                          <a:stretch>
                                            <a:fillRect/>
                                          </a:stretch>
                                        </pic:blipFill>
                                        <pic:spPr>
                                          <a:xfrm>
                                            <a:off x="0" y="0"/>
                                            <a:ext cx="5337662" cy="5390799"/>
                                          </a:xfrm>
                                          <a:prstGeom prst="rect">
                                            <a:avLst/>
                                          </a:prstGeom>
                                        </pic:spPr>
                                      </pic:pic>
                                    </a:graphicData>
                                  </a:graphic>
                                </wp:inline>
                              </w:drawing>
                            </w:r>
                          </w:p>
                          <w:p w14:paraId="49DA54B5" w14:textId="101711A3" w:rsidR="00C93BE0" w:rsidRPr="006A6E96" w:rsidRDefault="00C93BE0" w:rsidP="00925460">
                            <w:pPr>
                              <w:pStyle w:val="Caption"/>
                              <w:spacing w:line="360" w:lineRule="auto"/>
                              <w:jc w:val="both"/>
                              <w:rPr>
                                <w:rFonts w:ascii="Arial" w:hAnsi="Arial" w:cs="Arial"/>
                                <w:i w:val="0"/>
                                <w:color w:val="000000" w:themeColor="text1"/>
                                <w:sz w:val="24"/>
                                <w:szCs w:val="24"/>
                              </w:rPr>
                            </w:pPr>
                            <w:bookmarkStart w:id="843" w:name="_Toc12363365"/>
                            <w:bookmarkStart w:id="844" w:name="_Toc16242722"/>
                            <w:r w:rsidRPr="006A6E96">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sidRPr="006A6E96">
                              <w:rPr>
                                <w:rFonts w:ascii="Arial" w:hAnsi="Arial" w:cs="Arial"/>
                                <w:i w:val="0"/>
                                <w:color w:val="000000" w:themeColor="text1"/>
                                <w:sz w:val="24"/>
                                <w:szCs w:val="24"/>
                              </w:rPr>
                              <w:t xml:space="preserve"> Two-way support vector machine decoding. Within all visual ROIs examined, successful classification was predominantly evident between attention to face and attention to low-level visual feature conditions. Within V3A/B and hV4, voxel patterns differ significantly between attention to orientation and attention to shape conditions. </w:t>
                            </w:r>
                            <w:r>
                              <w:rPr>
                                <w:rFonts w:ascii="Arial" w:hAnsi="Arial" w:cs="Arial"/>
                                <w:i w:val="0"/>
                                <w:color w:val="000000" w:themeColor="text1"/>
                                <w:sz w:val="24"/>
                                <w:szCs w:val="24"/>
                              </w:rPr>
                              <w:t>S</w:t>
                            </w:r>
                            <w:r w:rsidRPr="006A6E96">
                              <w:rPr>
                                <w:rFonts w:ascii="Arial" w:hAnsi="Arial" w:cs="Arial"/>
                                <w:i w:val="0"/>
                                <w:color w:val="000000" w:themeColor="text1"/>
                                <w:sz w:val="24"/>
                                <w:szCs w:val="24"/>
                              </w:rPr>
                              <w:t>ignificance asterisks indicate Benjamini-Hochberg corrected values.</w:t>
                            </w:r>
                            <w:bookmarkEnd w:id="843"/>
                            <w:bookmarkEnd w:id="844"/>
                            <w:r w:rsidRPr="006A6E96">
                              <w:rPr>
                                <w:rFonts w:ascii="Arial" w:hAnsi="Arial" w:cs="Arial"/>
                                <w:i w:val="0"/>
                                <w:color w:val="000000" w:themeColor="text1"/>
                                <w:sz w:val="24"/>
                                <w:szCs w:val="24"/>
                              </w:rPr>
                              <w:t xml:space="preserve"> </w:t>
                            </w:r>
                          </w:p>
                          <w:p w14:paraId="57F07C51" w14:textId="77777777" w:rsidR="00C93BE0" w:rsidRDefault="00C93BE0" w:rsidP="0092546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4B284" id="Text Box 119" o:spid="_x0000_s1066" type="#_x0000_t202" style="position:absolute;margin-left:-8.8pt;margin-top:0;width:416.7pt;height:563.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" fillcolor="white [3212]" strokecolor="white [3212]" strokeweight=".5pt">
                <v:textbox>
                  <w:txbxContent>
                    <w:p w14:paraId="47E8D258" w14:textId="30E442B7" w:rsidR="00C93BE0" w:rsidRDefault="00C93BE0" w:rsidP="00925460">
                      <w:pPr>
                        <w:keepNext/>
                        <w:jc w:val="center"/>
                      </w:pPr>
                      <w:r>
                        <w:rPr>
                          <w:noProof/>
                        </w:rPr>
                        <w:drawing>
                          <wp:inline distT="0" distB="0" distL="0" distR="0" wp14:anchorId="1874C706" wp14:editId="2ECEFB47">
                            <wp:extent cx="5331125" cy="5384197"/>
                            <wp:effectExtent l="0" t="0" r="3175"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naturalistic_3feature_classification.png"/>
                                    <pic:cNvPicPr/>
                                  </pic:nvPicPr>
                                  <pic:blipFill>
                                    <a:blip r:embed="rId78">
                                      <a:extLst>
                                        <a:ext uri="{28A0092B-C50C-407E-A947-70E740481C1C}">
                                          <a14:useLocalDpi xmlns:a14="http://schemas.microsoft.com/office/drawing/2010/main" val="0"/>
                                        </a:ext>
                                      </a:extLst>
                                    </a:blip>
                                    <a:stretch>
                                      <a:fillRect/>
                                    </a:stretch>
                                  </pic:blipFill>
                                  <pic:spPr>
                                    <a:xfrm>
                                      <a:off x="0" y="0"/>
                                      <a:ext cx="5337662" cy="5390799"/>
                                    </a:xfrm>
                                    <a:prstGeom prst="rect">
                                      <a:avLst/>
                                    </a:prstGeom>
                                  </pic:spPr>
                                </pic:pic>
                              </a:graphicData>
                            </a:graphic>
                          </wp:inline>
                        </w:drawing>
                      </w:r>
                    </w:p>
                    <w:p w14:paraId="49DA54B5" w14:textId="101711A3" w:rsidR="00C93BE0" w:rsidRPr="006A6E96" w:rsidRDefault="00C93BE0" w:rsidP="00925460">
                      <w:pPr>
                        <w:pStyle w:val="Caption"/>
                        <w:spacing w:line="360" w:lineRule="auto"/>
                        <w:jc w:val="both"/>
                        <w:rPr>
                          <w:rFonts w:ascii="Arial" w:hAnsi="Arial" w:cs="Arial"/>
                          <w:i w:val="0"/>
                          <w:color w:val="000000" w:themeColor="text1"/>
                          <w:sz w:val="24"/>
                          <w:szCs w:val="24"/>
                        </w:rPr>
                      </w:pPr>
                      <w:bookmarkStart w:id="913" w:name="_Toc12363365"/>
                      <w:bookmarkStart w:id="914" w:name="_Toc16242722"/>
                      <w:r w:rsidRPr="006A6E96">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5</w:t>
                      </w:r>
                      <w:r>
                        <w:rPr>
                          <w:rFonts w:ascii="Arial" w:hAnsi="Arial" w:cs="Arial"/>
                          <w:b/>
                          <w:i w:val="0"/>
                          <w:color w:val="000000" w:themeColor="text1"/>
                          <w:sz w:val="24"/>
                          <w:szCs w:val="24"/>
                        </w:rPr>
                        <w:fldChar w:fldCharType="end"/>
                      </w:r>
                      <w:r w:rsidRPr="006A6E96">
                        <w:rPr>
                          <w:rFonts w:ascii="Arial" w:hAnsi="Arial" w:cs="Arial"/>
                          <w:i w:val="0"/>
                          <w:color w:val="000000" w:themeColor="text1"/>
                          <w:sz w:val="24"/>
                          <w:szCs w:val="24"/>
                        </w:rPr>
                        <w:t xml:space="preserve"> Two-way support vector machine decoding. Within all visual ROIs examined, successful classification was predominantly evident between attention to face and attention to low-level visual feature conditions. Within V3A/B and hV4, voxel patterns differ significantly between attention to orientation and attention to shape conditions. </w:t>
                      </w:r>
                      <w:r>
                        <w:rPr>
                          <w:rFonts w:ascii="Arial" w:hAnsi="Arial" w:cs="Arial"/>
                          <w:i w:val="0"/>
                          <w:color w:val="000000" w:themeColor="text1"/>
                          <w:sz w:val="24"/>
                          <w:szCs w:val="24"/>
                        </w:rPr>
                        <w:t>S</w:t>
                      </w:r>
                      <w:r w:rsidRPr="006A6E96">
                        <w:rPr>
                          <w:rFonts w:ascii="Arial" w:hAnsi="Arial" w:cs="Arial"/>
                          <w:i w:val="0"/>
                          <w:color w:val="000000" w:themeColor="text1"/>
                          <w:sz w:val="24"/>
                          <w:szCs w:val="24"/>
                        </w:rPr>
                        <w:t>ignificance asterisks indicate Benjamini-Hochberg corrected values.</w:t>
                      </w:r>
                      <w:bookmarkEnd w:id="913"/>
                      <w:bookmarkEnd w:id="914"/>
                      <w:r w:rsidRPr="006A6E96">
                        <w:rPr>
                          <w:rFonts w:ascii="Arial" w:hAnsi="Arial" w:cs="Arial"/>
                          <w:i w:val="0"/>
                          <w:color w:val="000000" w:themeColor="text1"/>
                          <w:sz w:val="24"/>
                          <w:szCs w:val="24"/>
                        </w:rPr>
                        <w:t xml:space="preserve"> </w:t>
                      </w:r>
                    </w:p>
                    <w:p w14:paraId="57F07C51" w14:textId="77777777" w:rsidR="00C93BE0" w:rsidRDefault="00C93BE0" w:rsidP="00925460">
                      <w:pPr>
                        <w:jc w:val="center"/>
                      </w:pPr>
                    </w:p>
                  </w:txbxContent>
                </v:textbox>
                <w10:wrap type="square"/>
              </v:shape>
            </w:pict>
          </mc:Fallback>
        </mc:AlternateContent>
      </w:r>
    </w:p>
    <w:p w14:paraId="66E51B52" w14:textId="22F107D4" w:rsidR="0060072E" w:rsidRDefault="00D44AC6" w:rsidP="0060072E">
      <w:pPr>
        <w:spacing w:line="480" w:lineRule="auto"/>
        <w:rPr>
          <w:rFonts w:ascii="Arial" w:hAnsi="Arial" w:cs="Arial"/>
        </w:rPr>
      </w:pPr>
      <w:r>
        <w:rPr>
          <w:rFonts w:ascii="Arial" w:hAnsi="Arial" w:cs="Arial"/>
        </w:rPr>
        <w:t>In</w:t>
      </w:r>
      <w:r w:rsidR="0060072E" w:rsidRPr="00225AB0">
        <w:rPr>
          <w:rFonts w:ascii="Arial" w:hAnsi="Arial" w:cs="Arial"/>
        </w:rPr>
        <w:t xml:space="preserve"> V3A/B, hV4, LO-2, FFA and OFA, successful classification was evident between attention to faces versus orientation, colour and shape respectively</w:t>
      </w:r>
      <w:r w:rsidR="00D4752B">
        <w:rPr>
          <w:rFonts w:ascii="Arial" w:hAnsi="Arial" w:cs="Arial"/>
        </w:rPr>
        <w:t>.</w:t>
      </w:r>
      <w:r w:rsidR="0060072E" w:rsidRPr="00225AB0">
        <w:rPr>
          <w:rFonts w:ascii="Arial" w:hAnsi="Arial" w:cs="Arial"/>
        </w:rPr>
        <w:t xml:space="preserve"> </w:t>
      </w:r>
      <w:r>
        <w:rPr>
          <w:rFonts w:ascii="Arial" w:hAnsi="Arial" w:cs="Arial"/>
        </w:rPr>
        <w:t>In</w:t>
      </w:r>
      <w:r w:rsidR="0060072E" w:rsidRPr="00225AB0">
        <w:rPr>
          <w:rFonts w:ascii="Arial" w:hAnsi="Arial" w:cs="Arial"/>
        </w:rPr>
        <w:t xml:space="preserve"> the STS, successful classification was identified between faces and </w:t>
      </w:r>
      <w:r w:rsidR="0060072E" w:rsidRPr="00225AB0">
        <w:rPr>
          <w:rFonts w:ascii="Arial" w:hAnsi="Arial" w:cs="Arial"/>
        </w:rPr>
        <w:lastRenderedPageBreak/>
        <w:t>orientation</w:t>
      </w:r>
      <w:r w:rsidR="00D4752B">
        <w:rPr>
          <w:rFonts w:ascii="Arial" w:hAnsi="Arial" w:cs="Arial"/>
        </w:rPr>
        <w:t xml:space="preserve"> </w:t>
      </w:r>
      <w:r w:rsidR="0060072E" w:rsidRPr="00225AB0">
        <w:rPr>
          <w:rFonts w:ascii="Arial" w:hAnsi="Arial" w:cs="Arial"/>
        </w:rPr>
        <w:t xml:space="preserve">and faces and </w:t>
      </w:r>
      <w:r w:rsidR="00C93BE0">
        <w:rPr>
          <w:rFonts w:ascii="Arial" w:hAnsi="Arial" w:cs="Arial"/>
        </w:rPr>
        <w:t>colour</w:t>
      </w:r>
      <w:r w:rsidR="00D4752B">
        <w:rPr>
          <w:rFonts w:ascii="Arial" w:hAnsi="Arial" w:cs="Arial"/>
        </w:rPr>
        <w:t xml:space="preserve">. </w:t>
      </w:r>
      <w:r w:rsidR="0060072E" w:rsidRPr="00225AB0">
        <w:rPr>
          <w:rFonts w:ascii="Arial" w:hAnsi="Arial" w:cs="Arial"/>
        </w:rPr>
        <w:t xml:space="preserve">Finally, </w:t>
      </w:r>
      <w:r>
        <w:rPr>
          <w:rFonts w:ascii="Arial" w:hAnsi="Arial" w:cs="Arial"/>
        </w:rPr>
        <w:t>in</w:t>
      </w:r>
      <w:r w:rsidR="0060072E" w:rsidRPr="00225AB0">
        <w:rPr>
          <w:rFonts w:ascii="Arial" w:hAnsi="Arial" w:cs="Arial"/>
        </w:rPr>
        <w:t xml:space="preserve"> both V3A/B and hV4, successful classification was evident between orientation and shape </w:t>
      </w:r>
      <w:r w:rsidR="00D4752B">
        <w:rPr>
          <w:rFonts w:ascii="Arial" w:hAnsi="Arial" w:cs="Arial"/>
        </w:rPr>
        <w:t xml:space="preserve">(see </w:t>
      </w:r>
      <w:r w:rsidR="00D4752B">
        <w:rPr>
          <w:rFonts w:ascii="Arial" w:hAnsi="Arial" w:cs="Arial"/>
          <w:i/>
          <w:noProof/>
          <w:color w:val="0D0D0D" w:themeColor="text1" w:themeTint="F2"/>
        </w:rPr>
        <mc:AlternateContent>
          <mc:Choice Requires="wps">
            <w:drawing>
              <wp:anchor distT="0" distB="0" distL="114300" distR="114300" simplePos="0" relativeHeight="251863040" behindDoc="1" locked="0" layoutInCell="1" allowOverlap="1" wp14:anchorId="50169DEE" wp14:editId="23B5411A">
                <wp:simplePos x="0" y="0"/>
                <wp:positionH relativeFrom="column">
                  <wp:posOffset>-643890</wp:posOffset>
                </wp:positionH>
                <wp:positionV relativeFrom="paragraph">
                  <wp:posOffset>1362075</wp:posOffset>
                </wp:positionV>
                <wp:extent cx="6975475" cy="5723890"/>
                <wp:effectExtent l="0" t="0" r="0" b="0"/>
                <wp:wrapTight wrapText="bothSides">
                  <wp:wrapPolygon edited="0">
                    <wp:start x="21393" y="83"/>
                    <wp:lineTo x="235" y="83"/>
                    <wp:lineTo x="235" y="21505"/>
                    <wp:lineTo x="21393" y="21505"/>
                    <wp:lineTo x="21393" y="83"/>
                  </wp:wrapPolygon>
                </wp:wrapTight>
                <wp:docPr id="32" name="Text Box 32"/>
                <wp:cNvGraphicFramePr/>
                <a:graphic xmlns:a="http://schemas.openxmlformats.org/drawingml/2006/main">
                  <a:graphicData uri="http://schemas.microsoft.com/office/word/2010/wordprocessingShape">
                    <wps:wsp>
                      <wps:cNvSpPr txBox="1"/>
                      <wps:spPr>
                        <a:xfrm rot="16200000">
                          <a:off x="0" y="0"/>
                          <a:ext cx="6975475" cy="5723890"/>
                        </a:xfrm>
                        <a:prstGeom prst="rect">
                          <a:avLst/>
                        </a:prstGeom>
                        <a:noFill/>
                        <a:ln w="6350">
                          <a:noFill/>
                        </a:ln>
                      </wps:spPr>
                      <wps:txbx>
                        <w:txbxContent>
                          <w:p w14:paraId="587A6E84" w14:textId="77777777" w:rsidR="00C93BE0" w:rsidRPr="00A92335" w:rsidRDefault="00C93BE0" w:rsidP="00D4752B">
                            <w:pPr>
                              <w:pStyle w:val="Caption"/>
                              <w:keepNext/>
                              <w:rPr>
                                <w:rFonts w:ascii="Arial" w:hAnsi="Arial" w:cs="Arial"/>
                                <w:i w:val="0"/>
                                <w:iCs w:val="0"/>
                                <w:color w:val="000000" w:themeColor="text1"/>
                                <w:sz w:val="24"/>
                                <w:szCs w:val="24"/>
                              </w:rPr>
                            </w:pPr>
                            <w:r w:rsidRPr="00A92335">
                              <w:rPr>
                                <w:rFonts w:ascii="Arial" w:hAnsi="Arial" w:cs="Arial"/>
                                <w:b/>
                                <w:bCs/>
                                <w:i w:val="0"/>
                                <w:iCs w:val="0"/>
                                <w:color w:val="000000" w:themeColor="text1"/>
                                <w:sz w:val="24"/>
                                <w:szCs w:val="24"/>
                              </w:rPr>
                              <w:t xml:space="preserve">Table </w:t>
                            </w:r>
                            <w:r>
                              <w:rPr>
                                <w:rFonts w:ascii="Arial" w:hAnsi="Arial" w:cs="Arial"/>
                                <w:b/>
                                <w:bCs/>
                                <w:i w:val="0"/>
                                <w:iCs w:val="0"/>
                                <w:color w:val="000000" w:themeColor="text1"/>
                                <w:sz w:val="24"/>
                                <w:szCs w:val="24"/>
                              </w:rPr>
                              <w:t xml:space="preserve">6.2 </w:t>
                            </w:r>
                            <w:r>
                              <w:rPr>
                                <w:rFonts w:ascii="Arial" w:hAnsi="Arial" w:cs="Arial"/>
                                <w:i w:val="0"/>
                                <w:iCs w:val="0"/>
                                <w:color w:val="000000" w:themeColor="text1"/>
                                <w:sz w:val="24"/>
                                <w:szCs w:val="24"/>
                              </w:rPr>
                              <w:t>Above-chance classification is predominantly driven by differences in multivariate patterns of activation between attention to low-level visual features and faces.</w:t>
                            </w:r>
                          </w:p>
                          <w:tbl>
                            <w:tblPr>
                              <w:tblStyle w:val="TableGrid"/>
                              <w:tblW w:w="10490" w:type="dxa"/>
                              <w:tblLayout w:type="fixed"/>
                              <w:tblLook w:val="04A0" w:firstRow="1" w:lastRow="0" w:firstColumn="1" w:lastColumn="0" w:noHBand="0" w:noVBand="1"/>
                            </w:tblPr>
                            <w:tblGrid>
                              <w:gridCol w:w="851"/>
                              <w:gridCol w:w="689"/>
                              <w:gridCol w:w="870"/>
                              <w:gridCol w:w="660"/>
                              <w:gridCol w:w="777"/>
                              <w:gridCol w:w="834"/>
                              <w:gridCol w:w="848"/>
                              <w:gridCol w:w="850"/>
                              <w:gridCol w:w="851"/>
                              <w:gridCol w:w="708"/>
                              <w:gridCol w:w="851"/>
                              <w:gridCol w:w="709"/>
                              <w:gridCol w:w="992"/>
                            </w:tblGrid>
                            <w:tr w:rsidR="00C93BE0" w14:paraId="0A360D5A" w14:textId="77777777" w:rsidTr="00170639">
                              <w:tc>
                                <w:tcPr>
                                  <w:tcW w:w="851" w:type="dxa"/>
                                  <w:tcBorders>
                                    <w:top w:val="single" w:sz="18" w:space="0" w:color="000000"/>
                                    <w:left w:val="nil"/>
                                    <w:bottom w:val="single" w:sz="8" w:space="0" w:color="000000"/>
                                    <w:right w:val="nil"/>
                                  </w:tcBorders>
                                </w:tcPr>
                                <w:p w14:paraId="6BEE9684" w14:textId="77777777" w:rsidR="00C93BE0" w:rsidRPr="006F0EDD" w:rsidRDefault="00C93BE0" w:rsidP="004E41A6">
                                  <w:pPr>
                                    <w:jc w:val="center"/>
                                    <w:rPr>
                                      <w:rFonts w:ascii="Arial" w:hAnsi="Arial" w:cs="Arial"/>
                                    </w:rPr>
                                  </w:pPr>
                                </w:p>
                              </w:tc>
                              <w:tc>
                                <w:tcPr>
                                  <w:tcW w:w="1559" w:type="dxa"/>
                                  <w:gridSpan w:val="2"/>
                                  <w:tcBorders>
                                    <w:top w:val="single" w:sz="18" w:space="0" w:color="000000"/>
                                    <w:left w:val="nil"/>
                                    <w:bottom w:val="single" w:sz="8" w:space="0" w:color="000000"/>
                                    <w:right w:val="nil"/>
                                  </w:tcBorders>
                                </w:tcPr>
                                <w:p w14:paraId="3B113A9E" w14:textId="600C448C" w:rsidR="00C93BE0" w:rsidRPr="006F0EDD" w:rsidRDefault="00C93BE0" w:rsidP="004E41A6">
                                  <w:pPr>
                                    <w:jc w:val="center"/>
                                    <w:rPr>
                                      <w:rFonts w:ascii="Arial" w:hAnsi="Arial" w:cs="Arial"/>
                                    </w:rPr>
                                  </w:pPr>
                                  <w:r w:rsidRPr="006F0EDD">
                                    <w:rPr>
                                      <w:rFonts w:ascii="Arial" w:hAnsi="Arial" w:cs="Arial"/>
                                    </w:rPr>
                                    <w:t xml:space="preserve">Orientation </w:t>
                                  </w:r>
                                  <w:r>
                                    <w:rPr>
                                      <w:rFonts w:ascii="Arial" w:hAnsi="Arial" w:cs="Arial"/>
                                    </w:rPr>
                                    <w:t>vs.</w:t>
                                  </w:r>
                                  <w:r w:rsidRPr="006F0EDD">
                                    <w:rPr>
                                      <w:rFonts w:ascii="Arial" w:hAnsi="Arial" w:cs="Arial"/>
                                    </w:rPr>
                                    <w:t xml:space="preserve"> </w:t>
                                  </w:r>
                                  <w:r>
                                    <w:rPr>
                                      <w:rFonts w:ascii="Arial" w:hAnsi="Arial" w:cs="Arial"/>
                                    </w:rPr>
                                    <w:t>Colour</w:t>
                                  </w:r>
                                </w:p>
                              </w:tc>
                              <w:tc>
                                <w:tcPr>
                                  <w:tcW w:w="1437" w:type="dxa"/>
                                  <w:gridSpan w:val="2"/>
                                  <w:tcBorders>
                                    <w:top w:val="single" w:sz="18" w:space="0" w:color="000000"/>
                                    <w:left w:val="nil"/>
                                    <w:bottom w:val="single" w:sz="8" w:space="0" w:color="000000"/>
                                    <w:right w:val="nil"/>
                                  </w:tcBorders>
                                </w:tcPr>
                                <w:p w14:paraId="1F029232" w14:textId="77777777" w:rsidR="00C93BE0" w:rsidRPr="006F0EDD" w:rsidRDefault="00C93BE0" w:rsidP="004E41A6">
                                  <w:pPr>
                                    <w:jc w:val="center"/>
                                    <w:rPr>
                                      <w:rFonts w:ascii="Arial" w:hAnsi="Arial" w:cs="Arial"/>
                                    </w:rPr>
                                  </w:pPr>
                                  <w:r w:rsidRPr="006F0EDD">
                                    <w:rPr>
                                      <w:rFonts w:ascii="Arial" w:hAnsi="Arial" w:cs="Arial"/>
                                    </w:rPr>
                                    <w:t xml:space="preserve">Orientation </w:t>
                                  </w:r>
                                  <w:r>
                                    <w:rPr>
                                      <w:rFonts w:ascii="Arial" w:hAnsi="Arial" w:cs="Arial"/>
                                    </w:rPr>
                                    <w:t>vs.</w:t>
                                  </w:r>
                                  <w:r w:rsidRPr="006F0EDD">
                                    <w:rPr>
                                      <w:rFonts w:ascii="Arial" w:hAnsi="Arial" w:cs="Arial"/>
                                    </w:rPr>
                                    <w:t xml:space="preserve"> </w:t>
                                  </w:r>
                                  <w:r>
                                    <w:rPr>
                                      <w:rFonts w:ascii="Arial" w:hAnsi="Arial" w:cs="Arial"/>
                                    </w:rPr>
                                    <w:t>Shape</w:t>
                                  </w:r>
                                </w:p>
                              </w:tc>
                              <w:tc>
                                <w:tcPr>
                                  <w:tcW w:w="1682" w:type="dxa"/>
                                  <w:gridSpan w:val="2"/>
                                  <w:tcBorders>
                                    <w:top w:val="single" w:sz="18" w:space="0" w:color="000000"/>
                                    <w:left w:val="nil"/>
                                    <w:bottom w:val="single" w:sz="8" w:space="0" w:color="000000"/>
                                    <w:right w:val="nil"/>
                                  </w:tcBorders>
                                </w:tcPr>
                                <w:p w14:paraId="40AF56FD" w14:textId="77777777" w:rsidR="00C93BE0" w:rsidRPr="006F0EDD" w:rsidRDefault="00C93BE0" w:rsidP="004E41A6">
                                  <w:pPr>
                                    <w:jc w:val="center"/>
                                    <w:rPr>
                                      <w:rFonts w:ascii="Arial" w:hAnsi="Arial" w:cs="Arial"/>
                                    </w:rPr>
                                  </w:pPr>
                                  <w:r>
                                    <w:rPr>
                                      <w:rFonts w:ascii="Arial" w:hAnsi="Arial" w:cs="Arial"/>
                                    </w:rPr>
                                    <w:t>Orientation</w:t>
                                  </w:r>
                                  <w:r w:rsidRPr="006F0EDD">
                                    <w:rPr>
                                      <w:rFonts w:ascii="Arial" w:hAnsi="Arial" w:cs="Arial"/>
                                    </w:rPr>
                                    <w:t xml:space="preserve"> </w:t>
                                  </w:r>
                                  <w:r>
                                    <w:rPr>
                                      <w:rFonts w:ascii="Arial" w:hAnsi="Arial" w:cs="Arial"/>
                                    </w:rPr>
                                    <w:t>vs.</w:t>
                                  </w:r>
                                  <w:r w:rsidRPr="006F0EDD">
                                    <w:rPr>
                                      <w:rFonts w:ascii="Arial" w:hAnsi="Arial" w:cs="Arial"/>
                                    </w:rPr>
                                    <w:t xml:space="preserve"> </w:t>
                                  </w:r>
                                  <w:r>
                                    <w:rPr>
                                      <w:rFonts w:ascii="Arial" w:hAnsi="Arial" w:cs="Arial"/>
                                    </w:rPr>
                                    <w:t>Face</w:t>
                                  </w:r>
                                </w:p>
                              </w:tc>
                              <w:tc>
                                <w:tcPr>
                                  <w:tcW w:w="1701" w:type="dxa"/>
                                  <w:gridSpan w:val="2"/>
                                  <w:tcBorders>
                                    <w:top w:val="single" w:sz="18" w:space="0" w:color="000000"/>
                                    <w:left w:val="nil"/>
                                    <w:bottom w:val="single" w:sz="8" w:space="0" w:color="000000"/>
                                    <w:right w:val="nil"/>
                                  </w:tcBorders>
                                </w:tcPr>
                                <w:p w14:paraId="21A9050C" w14:textId="51AEA0C0" w:rsidR="00C93BE0" w:rsidRDefault="00C93BE0" w:rsidP="004E41A6">
                                  <w:pPr>
                                    <w:jc w:val="center"/>
                                    <w:rPr>
                                      <w:rFonts w:ascii="Arial" w:hAnsi="Arial" w:cs="Arial"/>
                                    </w:rPr>
                                  </w:pPr>
                                  <w:r>
                                    <w:rPr>
                                      <w:rFonts w:ascii="Arial" w:hAnsi="Arial" w:cs="Arial"/>
                                    </w:rPr>
                                    <w:t>Colour vs. Shape</w:t>
                                  </w:r>
                                </w:p>
                              </w:tc>
                              <w:tc>
                                <w:tcPr>
                                  <w:tcW w:w="1559" w:type="dxa"/>
                                  <w:gridSpan w:val="2"/>
                                  <w:tcBorders>
                                    <w:top w:val="single" w:sz="18" w:space="0" w:color="000000"/>
                                    <w:left w:val="nil"/>
                                    <w:bottom w:val="single" w:sz="8" w:space="0" w:color="000000"/>
                                    <w:right w:val="nil"/>
                                  </w:tcBorders>
                                </w:tcPr>
                                <w:p w14:paraId="6C336EBB" w14:textId="3359C330" w:rsidR="00C93BE0" w:rsidRDefault="00C93BE0" w:rsidP="004E41A6">
                                  <w:pPr>
                                    <w:jc w:val="center"/>
                                    <w:rPr>
                                      <w:rFonts w:ascii="Arial" w:hAnsi="Arial" w:cs="Arial"/>
                                    </w:rPr>
                                  </w:pPr>
                                  <w:r>
                                    <w:rPr>
                                      <w:rFonts w:ascii="Arial" w:hAnsi="Arial" w:cs="Arial"/>
                                    </w:rPr>
                                    <w:t>Colour vs. Face</w:t>
                                  </w:r>
                                </w:p>
                              </w:tc>
                              <w:tc>
                                <w:tcPr>
                                  <w:tcW w:w="1701" w:type="dxa"/>
                                  <w:gridSpan w:val="2"/>
                                  <w:tcBorders>
                                    <w:top w:val="single" w:sz="18" w:space="0" w:color="000000"/>
                                    <w:left w:val="nil"/>
                                    <w:bottom w:val="single" w:sz="8" w:space="0" w:color="000000"/>
                                    <w:right w:val="nil"/>
                                  </w:tcBorders>
                                </w:tcPr>
                                <w:p w14:paraId="0C2BDFD1" w14:textId="77777777" w:rsidR="00C93BE0" w:rsidRDefault="00C93BE0" w:rsidP="004E41A6">
                                  <w:pPr>
                                    <w:jc w:val="center"/>
                                    <w:rPr>
                                      <w:rFonts w:ascii="Arial" w:hAnsi="Arial" w:cs="Arial"/>
                                    </w:rPr>
                                  </w:pPr>
                                  <w:r>
                                    <w:rPr>
                                      <w:rFonts w:ascii="Arial" w:hAnsi="Arial" w:cs="Arial"/>
                                    </w:rPr>
                                    <w:t>Shape vs. Face</w:t>
                                  </w:r>
                                </w:p>
                              </w:tc>
                            </w:tr>
                            <w:tr w:rsidR="00C93BE0" w14:paraId="4CDEF674"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Borders>
                                    <w:top w:val="single" w:sz="8" w:space="0" w:color="000000"/>
                                    <w:bottom w:val="single" w:sz="8" w:space="0" w:color="000000"/>
                                  </w:tcBorders>
                                </w:tcPr>
                                <w:p w14:paraId="56AAE08E" w14:textId="77777777" w:rsidR="00C93BE0" w:rsidRPr="006F0EDD" w:rsidRDefault="00C93BE0" w:rsidP="004E41A6">
                                  <w:pPr>
                                    <w:jc w:val="center"/>
                                    <w:rPr>
                                      <w:rFonts w:ascii="Arial" w:hAnsi="Arial" w:cs="Arial"/>
                                    </w:rPr>
                                  </w:pPr>
                                  <w:r>
                                    <w:rPr>
                                      <w:rFonts w:ascii="Arial" w:hAnsi="Arial" w:cs="Arial"/>
                                    </w:rPr>
                                    <w:t>ROI</w:t>
                                  </w:r>
                                </w:p>
                              </w:tc>
                              <w:tc>
                                <w:tcPr>
                                  <w:tcW w:w="689" w:type="dxa"/>
                                  <w:tcBorders>
                                    <w:top w:val="single" w:sz="8" w:space="0" w:color="000000"/>
                                    <w:bottom w:val="single" w:sz="8" w:space="0" w:color="auto"/>
                                  </w:tcBorders>
                                </w:tcPr>
                                <w:p w14:paraId="74757D87" w14:textId="77777777" w:rsidR="00C93BE0" w:rsidRPr="006F0EDD" w:rsidRDefault="00C93BE0" w:rsidP="004E41A6">
                                  <w:pPr>
                                    <w:jc w:val="center"/>
                                    <w:rPr>
                                      <w:rFonts w:ascii="Arial" w:hAnsi="Arial" w:cs="Arial"/>
                                    </w:rPr>
                                  </w:pPr>
                                  <w:r>
                                    <w:rPr>
                                      <w:rFonts w:ascii="Arial" w:hAnsi="Arial" w:cs="Arial"/>
                                    </w:rPr>
                                    <w:t>Z</w:t>
                                  </w:r>
                                </w:p>
                              </w:tc>
                              <w:tc>
                                <w:tcPr>
                                  <w:tcW w:w="870" w:type="dxa"/>
                                  <w:tcBorders>
                                    <w:top w:val="single" w:sz="8" w:space="0" w:color="000000"/>
                                    <w:bottom w:val="single" w:sz="8" w:space="0" w:color="auto"/>
                                  </w:tcBorders>
                                </w:tcPr>
                                <w:p w14:paraId="5A5D8AFE" w14:textId="77777777" w:rsidR="00C93BE0" w:rsidRPr="006F0EDD" w:rsidRDefault="00C93BE0" w:rsidP="004E41A6">
                                  <w:pPr>
                                    <w:jc w:val="center"/>
                                    <w:rPr>
                                      <w:rFonts w:ascii="Arial" w:hAnsi="Arial" w:cs="Arial"/>
                                      <w:i/>
                                      <w:iCs/>
                                    </w:rPr>
                                  </w:pPr>
                                  <w:r>
                                    <w:rPr>
                                      <w:rFonts w:ascii="Arial" w:hAnsi="Arial" w:cs="Arial"/>
                                      <w:i/>
                                      <w:iCs/>
                                    </w:rPr>
                                    <w:t>p</w:t>
                                  </w:r>
                                </w:p>
                              </w:tc>
                              <w:tc>
                                <w:tcPr>
                                  <w:tcW w:w="660" w:type="dxa"/>
                                  <w:tcBorders>
                                    <w:top w:val="single" w:sz="8" w:space="0" w:color="000000"/>
                                    <w:bottom w:val="single" w:sz="8" w:space="0" w:color="auto"/>
                                  </w:tcBorders>
                                </w:tcPr>
                                <w:p w14:paraId="51AA224A" w14:textId="77777777" w:rsidR="00C93BE0" w:rsidRPr="006F0EDD" w:rsidRDefault="00C93BE0" w:rsidP="004E41A6">
                                  <w:pPr>
                                    <w:jc w:val="center"/>
                                    <w:rPr>
                                      <w:rFonts w:ascii="Arial" w:hAnsi="Arial" w:cs="Arial"/>
                                    </w:rPr>
                                  </w:pPr>
                                  <w:r>
                                    <w:rPr>
                                      <w:rFonts w:ascii="Arial" w:hAnsi="Arial" w:cs="Arial"/>
                                    </w:rPr>
                                    <w:t>Z</w:t>
                                  </w:r>
                                </w:p>
                              </w:tc>
                              <w:tc>
                                <w:tcPr>
                                  <w:tcW w:w="777" w:type="dxa"/>
                                  <w:tcBorders>
                                    <w:top w:val="single" w:sz="8" w:space="0" w:color="000000"/>
                                    <w:bottom w:val="single" w:sz="8" w:space="0" w:color="auto"/>
                                  </w:tcBorders>
                                </w:tcPr>
                                <w:p w14:paraId="06F25FEE" w14:textId="77777777" w:rsidR="00C93BE0" w:rsidRPr="006F0EDD" w:rsidRDefault="00C93BE0" w:rsidP="004E41A6">
                                  <w:pPr>
                                    <w:jc w:val="center"/>
                                    <w:rPr>
                                      <w:rFonts w:ascii="Arial" w:hAnsi="Arial" w:cs="Arial"/>
                                      <w:i/>
                                      <w:iCs/>
                                    </w:rPr>
                                  </w:pPr>
                                  <w:r>
                                    <w:rPr>
                                      <w:rFonts w:ascii="Arial" w:hAnsi="Arial" w:cs="Arial"/>
                                      <w:i/>
                                      <w:iCs/>
                                    </w:rPr>
                                    <w:t>p</w:t>
                                  </w:r>
                                </w:p>
                              </w:tc>
                              <w:tc>
                                <w:tcPr>
                                  <w:tcW w:w="834" w:type="dxa"/>
                                  <w:tcBorders>
                                    <w:top w:val="single" w:sz="8" w:space="0" w:color="000000"/>
                                    <w:bottom w:val="single" w:sz="8" w:space="0" w:color="auto"/>
                                  </w:tcBorders>
                                </w:tcPr>
                                <w:p w14:paraId="1B56E848" w14:textId="77777777" w:rsidR="00C93BE0" w:rsidRPr="006F0EDD" w:rsidRDefault="00C93BE0" w:rsidP="004E41A6">
                                  <w:pPr>
                                    <w:jc w:val="center"/>
                                    <w:rPr>
                                      <w:rFonts w:ascii="Arial" w:hAnsi="Arial" w:cs="Arial"/>
                                    </w:rPr>
                                  </w:pPr>
                                  <w:r>
                                    <w:rPr>
                                      <w:rFonts w:ascii="Arial" w:hAnsi="Arial" w:cs="Arial"/>
                                    </w:rPr>
                                    <w:t>Z</w:t>
                                  </w:r>
                                </w:p>
                              </w:tc>
                              <w:tc>
                                <w:tcPr>
                                  <w:tcW w:w="848" w:type="dxa"/>
                                  <w:tcBorders>
                                    <w:top w:val="single" w:sz="8" w:space="0" w:color="000000"/>
                                    <w:bottom w:val="single" w:sz="8" w:space="0" w:color="auto"/>
                                  </w:tcBorders>
                                </w:tcPr>
                                <w:p w14:paraId="7019DC2F" w14:textId="77777777" w:rsidR="00C93BE0" w:rsidRPr="006F0EDD" w:rsidRDefault="00C93BE0" w:rsidP="004E41A6">
                                  <w:pPr>
                                    <w:jc w:val="center"/>
                                    <w:rPr>
                                      <w:rFonts w:ascii="Arial" w:hAnsi="Arial" w:cs="Arial"/>
                                      <w:i/>
                                      <w:iCs/>
                                    </w:rPr>
                                  </w:pPr>
                                  <w:r>
                                    <w:rPr>
                                      <w:rFonts w:ascii="Arial" w:hAnsi="Arial" w:cs="Arial"/>
                                      <w:i/>
                                      <w:iCs/>
                                    </w:rPr>
                                    <w:t>p</w:t>
                                  </w:r>
                                </w:p>
                              </w:tc>
                              <w:tc>
                                <w:tcPr>
                                  <w:tcW w:w="850" w:type="dxa"/>
                                  <w:tcBorders>
                                    <w:top w:val="single" w:sz="8" w:space="0" w:color="000000"/>
                                    <w:bottom w:val="single" w:sz="8" w:space="0" w:color="000000"/>
                                  </w:tcBorders>
                                </w:tcPr>
                                <w:p w14:paraId="2B20E299" w14:textId="77777777" w:rsidR="00C93BE0" w:rsidRDefault="00C93BE0" w:rsidP="004E41A6">
                                  <w:pPr>
                                    <w:jc w:val="center"/>
                                    <w:rPr>
                                      <w:rFonts w:ascii="Arial" w:hAnsi="Arial" w:cs="Arial"/>
                                      <w:i/>
                                      <w:iCs/>
                                    </w:rPr>
                                  </w:pPr>
                                  <w:r>
                                    <w:rPr>
                                      <w:rFonts w:ascii="Arial" w:hAnsi="Arial" w:cs="Arial"/>
                                    </w:rPr>
                                    <w:t>Z</w:t>
                                  </w:r>
                                </w:p>
                              </w:tc>
                              <w:tc>
                                <w:tcPr>
                                  <w:tcW w:w="851" w:type="dxa"/>
                                  <w:tcBorders>
                                    <w:top w:val="single" w:sz="8" w:space="0" w:color="000000"/>
                                    <w:bottom w:val="single" w:sz="8" w:space="0" w:color="000000"/>
                                  </w:tcBorders>
                                </w:tcPr>
                                <w:p w14:paraId="27A1D43C" w14:textId="77777777" w:rsidR="00C93BE0" w:rsidRDefault="00C93BE0" w:rsidP="004E41A6">
                                  <w:pPr>
                                    <w:jc w:val="center"/>
                                    <w:rPr>
                                      <w:rFonts w:ascii="Arial" w:hAnsi="Arial" w:cs="Arial"/>
                                      <w:i/>
                                      <w:iCs/>
                                    </w:rPr>
                                  </w:pPr>
                                  <w:r>
                                    <w:rPr>
                                      <w:rFonts w:ascii="Arial" w:hAnsi="Arial" w:cs="Arial"/>
                                      <w:i/>
                                      <w:iCs/>
                                    </w:rPr>
                                    <w:t>p</w:t>
                                  </w:r>
                                </w:p>
                              </w:tc>
                              <w:tc>
                                <w:tcPr>
                                  <w:tcW w:w="708" w:type="dxa"/>
                                  <w:tcBorders>
                                    <w:top w:val="single" w:sz="8" w:space="0" w:color="000000"/>
                                    <w:bottom w:val="single" w:sz="8" w:space="0" w:color="000000"/>
                                  </w:tcBorders>
                                </w:tcPr>
                                <w:p w14:paraId="0657D4AC" w14:textId="77777777" w:rsidR="00C93BE0" w:rsidRDefault="00C93BE0" w:rsidP="004E41A6">
                                  <w:pPr>
                                    <w:jc w:val="center"/>
                                    <w:rPr>
                                      <w:rFonts w:ascii="Arial" w:hAnsi="Arial" w:cs="Arial"/>
                                      <w:i/>
                                      <w:iCs/>
                                    </w:rPr>
                                  </w:pPr>
                                  <w:r>
                                    <w:rPr>
                                      <w:rFonts w:ascii="Arial" w:hAnsi="Arial" w:cs="Arial"/>
                                    </w:rPr>
                                    <w:t>Z</w:t>
                                  </w:r>
                                </w:p>
                              </w:tc>
                              <w:tc>
                                <w:tcPr>
                                  <w:tcW w:w="851" w:type="dxa"/>
                                  <w:tcBorders>
                                    <w:top w:val="single" w:sz="8" w:space="0" w:color="000000"/>
                                    <w:bottom w:val="single" w:sz="8" w:space="0" w:color="000000"/>
                                  </w:tcBorders>
                                </w:tcPr>
                                <w:p w14:paraId="728679E9" w14:textId="77777777" w:rsidR="00C93BE0" w:rsidRDefault="00C93BE0" w:rsidP="004E41A6">
                                  <w:pPr>
                                    <w:jc w:val="center"/>
                                    <w:rPr>
                                      <w:rFonts w:ascii="Arial" w:hAnsi="Arial" w:cs="Arial"/>
                                      <w:i/>
                                      <w:iCs/>
                                    </w:rPr>
                                  </w:pPr>
                                  <w:r>
                                    <w:rPr>
                                      <w:rFonts w:ascii="Arial" w:hAnsi="Arial" w:cs="Arial"/>
                                      <w:i/>
                                      <w:iCs/>
                                    </w:rPr>
                                    <w:t>p</w:t>
                                  </w:r>
                                </w:p>
                              </w:tc>
                              <w:tc>
                                <w:tcPr>
                                  <w:tcW w:w="709" w:type="dxa"/>
                                  <w:tcBorders>
                                    <w:top w:val="single" w:sz="8" w:space="0" w:color="000000"/>
                                    <w:bottom w:val="single" w:sz="8" w:space="0" w:color="000000"/>
                                  </w:tcBorders>
                                </w:tcPr>
                                <w:p w14:paraId="2BFFDF06" w14:textId="77777777" w:rsidR="00C93BE0" w:rsidRDefault="00C93BE0" w:rsidP="004E41A6">
                                  <w:pPr>
                                    <w:jc w:val="center"/>
                                    <w:rPr>
                                      <w:rFonts w:ascii="Arial" w:hAnsi="Arial" w:cs="Arial"/>
                                      <w:i/>
                                      <w:iCs/>
                                    </w:rPr>
                                  </w:pPr>
                                  <w:r>
                                    <w:rPr>
                                      <w:rFonts w:ascii="Arial" w:hAnsi="Arial" w:cs="Arial"/>
                                    </w:rPr>
                                    <w:t>Z</w:t>
                                  </w:r>
                                </w:p>
                              </w:tc>
                              <w:tc>
                                <w:tcPr>
                                  <w:tcW w:w="992" w:type="dxa"/>
                                  <w:tcBorders>
                                    <w:top w:val="single" w:sz="8" w:space="0" w:color="000000"/>
                                    <w:bottom w:val="single" w:sz="8" w:space="0" w:color="000000"/>
                                  </w:tcBorders>
                                </w:tcPr>
                                <w:p w14:paraId="121BBAEE" w14:textId="77777777" w:rsidR="00C93BE0" w:rsidRDefault="00C93BE0" w:rsidP="004E41A6">
                                  <w:pPr>
                                    <w:jc w:val="center"/>
                                    <w:rPr>
                                      <w:rFonts w:ascii="Arial" w:hAnsi="Arial" w:cs="Arial"/>
                                      <w:i/>
                                      <w:iCs/>
                                    </w:rPr>
                                  </w:pPr>
                                  <w:r>
                                    <w:rPr>
                                      <w:rFonts w:ascii="Arial" w:hAnsi="Arial" w:cs="Arial"/>
                                      <w:i/>
                                      <w:iCs/>
                                    </w:rPr>
                                    <w:t>p</w:t>
                                  </w:r>
                                </w:p>
                              </w:tc>
                            </w:tr>
                            <w:tr w:rsidR="00C93BE0" w14:paraId="0BBAEC51"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Borders>
                                    <w:top w:val="single" w:sz="8" w:space="0" w:color="000000"/>
                                  </w:tcBorders>
                                </w:tcPr>
                                <w:p w14:paraId="20A1B09C" w14:textId="77777777" w:rsidR="00C93BE0" w:rsidRPr="006F0EDD" w:rsidRDefault="00C93BE0" w:rsidP="004E41A6">
                                  <w:pPr>
                                    <w:jc w:val="center"/>
                                    <w:rPr>
                                      <w:rFonts w:ascii="Arial" w:hAnsi="Arial" w:cs="Arial"/>
                                    </w:rPr>
                                  </w:pPr>
                                  <w:r w:rsidRPr="006F0EDD">
                                    <w:rPr>
                                      <w:rFonts w:ascii="Arial" w:hAnsi="Arial" w:cs="Arial"/>
                                    </w:rPr>
                                    <w:t>V1</w:t>
                                  </w:r>
                                </w:p>
                              </w:tc>
                              <w:tc>
                                <w:tcPr>
                                  <w:tcW w:w="689" w:type="dxa"/>
                                  <w:tcBorders>
                                    <w:top w:val="single" w:sz="8" w:space="0" w:color="auto"/>
                                  </w:tcBorders>
                                </w:tcPr>
                                <w:p w14:paraId="76011CCC" w14:textId="77777777" w:rsidR="00C93BE0" w:rsidRPr="00307F06" w:rsidRDefault="00C93BE0" w:rsidP="004E41A6">
                                  <w:pPr>
                                    <w:jc w:val="center"/>
                                    <w:rPr>
                                      <w:rFonts w:ascii="Arial" w:hAnsi="Arial" w:cs="Arial"/>
                                      <w:sz w:val="22"/>
                                      <w:szCs w:val="22"/>
                                    </w:rPr>
                                  </w:pPr>
                                  <w:r w:rsidRPr="00307F06">
                                    <w:rPr>
                                      <w:rFonts w:ascii="Arial" w:hAnsi="Arial" w:cs="Arial"/>
                                      <w:sz w:val="22"/>
                                      <w:szCs w:val="22"/>
                                    </w:rPr>
                                    <w:t>2.40</w:t>
                                  </w:r>
                                </w:p>
                              </w:tc>
                              <w:tc>
                                <w:tcPr>
                                  <w:tcW w:w="870" w:type="dxa"/>
                                  <w:tcBorders>
                                    <w:top w:val="single" w:sz="8" w:space="0" w:color="auto"/>
                                  </w:tcBorders>
                                </w:tcPr>
                                <w:p w14:paraId="23BAACEE" w14:textId="77777777" w:rsidR="00C93BE0" w:rsidRPr="00307F06" w:rsidRDefault="00C93BE0" w:rsidP="004E41A6">
                                  <w:pPr>
                                    <w:jc w:val="center"/>
                                    <w:rPr>
                                      <w:rFonts w:ascii="Arial" w:hAnsi="Arial" w:cs="Arial"/>
                                      <w:sz w:val="22"/>
                                      <w:szCs w:val="22"/>
                                    </w:rPr>
                                  </w:pPr>
                                  <w:r>
                                    <w:rPr>
                                      <w:rFonts w:ascii="Arial" w:hAnsi="Arial" w:cs="Arial"/>
                                      <w:sz w:val="22"/>
                                      <w:szCs w:val="22"/>
                                    </w:rPr>
                                    <w:t>.120</w:t>
                                  </w:r>
                                </w:p>
                              </w:tc>
                              <w:tc>
                                <w:tcPr>
                                  <w:tcW w:w="660" w:type="dxa"/>
                                  <w:tcBorders>
                                    <w:top w:val="single" w:sz="8" w:space="0" w:color="auto"/>
                                  </w:tcBorders>
                                </w:tcPr>
                                <w:p w14:paraId="4B88F2D0" w14:textId="77777777" w:rsidR="00C93BE0" w:rsidRPr="00307F06" w:rsidRDefault="00C93BE0" w:rsidP="004E41A6">
                                  <w:pPr>
                                    <w:jc w:val="center"/>
                                    <w:rPr>
                                      <w:rFonts w:ascii="Arial" w:hAnsi="Arial" w:cs="Arial"/>
                                      <w:sz w:val="22"/>
                                      <w:szCs w:val="22"/>
                                    </w:rPr>
                                  </w:pPr>
                                  <w:r w:rsidRPr="00307F06">
                                    <w:rPr>
                                      <w:rFonts w:ascii="Arial" w:hAnsi="Arial" w:cs="Arial"/>
                                      <w:sz w:val="22"/>
                                      <w:szCs w:val="22"/>
                                    </w:rPr>
                                    <w:t>2.12</w:t>
                                  </w:r>
                                </w:p>
                              </w:tc>
                              <w:tc>
                                <w:tcPr>
                                  <w:tcW w:w="777" w:type="dxa"/>
                                  <w:tcBorders>
                                    <w:top w:val="single" w:sz="8" w:space="0" w:color="auto"/>
                                  </w:tcBorders>
                                </w:tcPr>
                                <w:p w14:paraId="5FD7F2EC" w14:textId="77777777" w:rsidR="00C93BE0" w:rsidRPr="00307F06" w:rsidRDefault="00C93BE0" w:rsidP="004E41A6">
                                  <w:pPr>
                                    <w:jc w:val="center"/>
                                    <w:rPr>
                                      <w:rFonts w:ascii="Arial" w:hAnsi="Arial" w:cs="Arial"/>
                                      <w:sz w:val="22"/>
                                      <w:szCs w:val="22"/>
                                    </w:rPr>
                                  </w:pPr>
                                  <w:r>
                                    <w:rPr>
                                      <w:rFonts w:ascii="Arial" w:hAnsi="Arial" w:cs="Arial"/>
                                      <w:sz w:val="22"/>
                                      <w:szCs w:val="22"/>
                                    </w:rPr>
                                    <w:t>.228</w:t>
                                  </w:r>
                                </w:p>
                              </w:tc>
                              <w:tc>
                                <w:tcPr>
                                  <w:tcW w:w="834" w:type="dxa"/>
                                  <w:tcBorders>
                                    <w:top w:val="single" w:sz="8" w:space="0" w:color="auto"/>
                                  </w:tcBorders>
                                </w:tcPr>
                                <w:p w14:paraId="7A8F2E02" w14:textId="77777777" w:rsidR="00C93BE0" w:rsidRPr="00307F06" w:rsidRDefault="00C93BE0" w:rsidP="004E41A6">
                                  <w:pPr>
                                    <w:jc w:val="center"/>
                                    <w:rPr>
                                      <w:rFonts w:ascii="Arial" w:hAnsi="Arial" w:cs="Arial"/>
                                      <w:sz w:val="22"/>
                                      <w:szCs w:val="22"/>
                                    </w:rPr>
                                  </w:pPr>
                                  <w:r w:rsidRPr="00307F06">
                                    <w:rPr>
                                      <w:rFonts w:ascii="Arial" w:hAnsi="Arial" w:cs="Arial"/>
                                      <w:sz w:val="22"/>
                                      <w:szCs w:val="22"/>
                                    </w:rPr>
                                    <w:t>3.07</w:t>
                                  </w:r>
                                </w:p>
                              </w:tc>
                              <w:tc>
                                <w:tcPr>
                                  <w:tcW w:w="848" w:type="dxa"/>
                                  <w:tcBorders>
                                    <w:top w:val="single" w:sz="8" w:space="0" w:color="auto"/>
                                  </w:tcBorders>
                                </w:tcPr>
                                <w:p w14:paraId="61E5009B"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Borders>
                                    <w:top w:val="single" w:sz="8" w:space="0" w:color="000000"/>
                                  </w:tcBorders>
                                </w:tcPr>
                                <w:p w14:paraId="29551A25" w14:textId="77777777" w:rsidR="00C93BE0" w:rsidRPr="00307F06" w:rsidRDefault="00C93BE0" w:rsidP="004E41A6">
                                  <w:pPr>
                                    <w:jc w:val="center"/>
                                    <w:rPr>
                                      <w:rFonts w:ascii="Arial" w:hAnsi="Arial" w:cs="Arial"/>
                                      <w:sz w:val="22"/>
                                      <w:szCs w:val="22"/>
                                    </w:rPr>
                                  </w:pPr>
                                  <w:r w:rsidRPr="00307F06">
                                    <w:rPr>
                                      <w:rFonts w:ascii="Arial" w:hAnsi="Arial" w:cs="Arial"/>
                                      <w:sz w:val="22"/>
                                      <w:szCs w:val="22"/>
                                    </w:rPr>
                                    <w:t>-0.10</w:t>
                                  </w:r>
                                </w:p>
                              </w:tc>
                              <w:tc>
                                <w:tcPr>
                                  <w:tcW w:w="851" w:type="dxa"/>
                                  <w:tcBorders>
                                    <w:top w:val="single" w:sz="8" w:space="0" w:color="000000"/>
                                  </w:tcBorders>
                                </w:tcPr>
                                <w:p w14:paraId="40D8BD21" w14:textId="77777777" w:rsidR="00C93BE0" w:rsidRPr="00307F06" w:rsidRDefault="00C93BE0" w:rsidP="004E41A6">
                                  <w:pPr>
                                    <w:jc w:val="center"/>
                                    <w:rPr>
                                      <w:rFonts w:ascii="Arial" w:hAnsi="Arial" w:cs="Arial"/>
                                      <w:sz w:val="22"/>
                                      <w:szCs w:val="22"/>
                                    </w:rPr>
                                  </w:pPr>
                                  <w:r>
                                    <w:rPr>
                                      <w:rFonts w:ascii="Arial" w:hAnsi="Arial" w:cs="Arial"/>
                                      <w:sz w:val="22"/>
                                      <w:szCs w:val="22"/>
                                    </w:rPr>
                                    <w:t>4.10</w:t>
                                  </w:r>
                                </w:p>
                              </w:tc>
                              <w:tc>
                                <w:tcPr>
                                  <w:tcW w:w="708" w:type="dxa"/>
                                  <w:tcBorders>
                                    <w:top w:val="single" w:sz="8" w:space="0" w:color="000000"/>
                                  </w:tcBorders>
                                </w:tcPr>
                                <w:p w14:paraId="55DC83F6" w14:textId="77777777" w:rsidR="00C93BE0" w:rsidRPr="00307F06" w:rsidRDefault="00C93BE0" w:rsidP="004E41A6">
                                  <w:pPr>
                                    <w:jc w:val="center"/>
                                    <w:rPr>
                                      <w:rFonts w:ascii="Arial" w:hAnsi="Arial" w:cs="Arial"/>
                                      <w:sz w:val="22"/>
                                      <w:szCs w:val="22"/>
                                    </w:rPr>
                                  </w:pPr>
                                  <w:r w:rsidRPr="00307F06">
                                    <w:rPr>
                                      <w:rFonts w:ascii="Arial" w:hAnsi="Arial" w:cs="Arial"/>
                                      <w:sz w:val="22"/>
                                      <w:szCs w:val="22"/>
                                    </w:rPr>
                                    <w:t>2</w:t>
                                  </w:r>
                                  <w:r>
                                    <w:rPr>
                                      <w:rFonts w:ascii="Arial" w:hAnsi="Arial" w:cs="Arial"/>
                                      <w:sz w:val="22"/>
                                      <w:szCs w:val="22"/>
                                    </w:rPr>
                                    <w:t>.</w:t>
                                  </w:r>
                                  <w:r w:rsidRPr="00307F06">
                                    <w:rPr>
                                      <w:rFonts w:ascii="Arial" w:hAnsi="Arial" w:cs="Arial"/>
                                      <w:sz w:val="22"/>
                                      <w:szCs w:val="22"/>
                                    </w:rPr>
                                    <w:t>99</w:t>
                                  </w:r>
                                </w:p>
                              </w:tc>
                              <w:tc>
                                <w:tcPr>
                                  <w:tcW w:w="851" w:type="dxa"/>
                                  <w:tcBorders>
                                    <w:top w:val="single" w:sz="8" w:space="0" w:color="000000"/>
                                  </w:tcBorders>
                                </w:tcPr>
                                <w:p w14:paraId="07BF6091" w14:textId="77777777" w:rsidR="00C93BE0" w:rsidRPr="00307F06" w:rsidRDefault="00C93BE0" w:rsidP="004E41A6">
                                  <w:pPr>
                                    <w:jc w:val="center"/>
                                    <w:rPr>
                                      <w:rFonts w:ascii="Arial" w:hAnsi="Arial" w:cs="Arial"/>
                                      <w:sz w:val="22"/>
                                      <w:szCs w:val="22"/>
                                    </w:rPr>
                                  </w:pPr>
                                  <w:r>
                                    <w:rPr>
                                      <w:rFonts w:ascii="Arial" w:hAnsi="Arial" w:cs="Arial"/>
                                      <w:sz w:val="22"/>
                                      <w:szCs w:val="22"/>
                                    </w:rPr>
                                    <w:t>.031*</w:t>
                                  </w:r>
                                </w:p>
                              </w:tc>
                              <w:tc>
                                <w:tcPr>
                                  <w:tcW w:w="709" w:type="dxa"/>
                                  <w:tcBorders>
                                    <w:top w:val="single" w:sz="8" w:space="0" w:color="000000"/>
                                  </w:tcBorders>
                                </w:tcPr>
                                <w:p w14:paraId="53E8593D" w14:textId="77777777" w:rsidR="00C93BE0" w:rsidRPr="00307F06" w:rsidRDefault="00C93BE0" w:rsidP="004E41A6">
                                  <w:pPr>
                                    <w:jc w:val="center"/>
                                    <w:rPr>
                                      <w:rFonts w:ascii="Arial" w:hAnsi="Arial" w:cs="Arial"/>
                                      <w:sz w:val="22"/>
                                      <w:szCs w:val="22"/>
                                    </w:rPr>
                                  </w:pPr>
                                  <w:r w:rsidRPr="00307F06">
                                    <w:rPr>
                                      <w:rFonts w:ascii="Arial" w:hAnsi="Arial" w:cs="Arial"/>
                                      <w:sz w:val="22"/>
                                      <w:szCs w:val="22"/>
                                    </w:rPr>
                                    <w:t>2.67</w:t>
                                  </w:r>
                                </w:p>
                              </w:tc>
                              <w:tc>
                                <w:tcPr>
                                  <w:tcW w:w="992" w:type="dxa"/>
                                  <w:tcBorders>
                                    <w:top w:val="single" w:sz="8" w:space="0" w:color="000000"/>
                                  </w:tcBorders>
                                </w:tcPr>
                                <w:p w14:paraId="13B46CB4" w14:textId="77777777" w:rsidR="00C93BE0" w:rsidRPr="00307F06" w:rsidRDefault="00C93BE0" w:rsidP="004E41A6">
                                  <w:pPr>
                                    <w:jc w:val="center"/>
                                    <w:rPr>
                                      <w:rFonts w:ascii="Arial" w:hAnsi="Arial" w:cs="Arial"/>
                                      <w:sz w:val="22"/>
                                      <w:szCs w:val="22"/>
                                    </w:rPr>
                                  </w:pPr>
                                  <w:r>
                                    <w:rPr>
                                      <w:rFonts w:ascii="Arial" w:hAnsi="Arial" w:cs="Arial"/>
                                      <w:sz w:val="22"/>
                                      <w:szCs w:val="22"/>
                                    </w:rPr>
                                    <w:t>.062</w:t>
                                  </w:r>
                                </w:p>
                              </w:tc>
                            </w:tr>
                            <w:tr w:rsidR="00C93BE0" w14:paraId="301C12BA"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Pr>
                                <w:p w14:paraId="1D089860" w14:textId="1D7DF1F1" w:rsidR="00C93BE0" w:rsidRPr="00170639" w:rsidRDefault="00C93BE0" w:rsidP="004E41A6">
                                  <w:pPr>
                                    <w:jc w:val="center"/>
                                    <w:rPr>
                                      <w:rFonts w:ascii="Arial" w:hAnsi="Arial" w:cs="Arial"/>
                                      <w:sz w:val="22"/>
                                      <w:szCs w:val="22"/>
                                    </w:rPr>
                                  </w:pPr>
                                  <w:r w:rsidRPr="00170639">
                                    <w:rPr>
                                      <w:rFonts w:ascii="Arial" w:hAnsi="Arial" w:cs="Arial"/>
                                      <w:sz w:val="22"/>
                                      <w:szCs w:val="22"/>
                                    </w:rPr>
                                    <w:t>V3A/B</w:t>
                                  </w:r>
                                </w:p>
                              </w:tc>
                              <w:tc>
                                <w:tcPr>
                                  <w:tcW w:w="689" w:type="dxa"/>
                                </w:tcPr>
                                <w:p w14:paraId="6DCA5026" w14:textId="77777777" w:rsidR="00C93BE0" w:rsidRPr="00307F06" w:rsidRDefault="00C93BE0" w:rsidP="004E41A6">
                                  <w:pPr>
                                    <w:jc w:val="center"/>
                                    <w:rPr>
                                      <w:rFonts w:ascii="Arial" w:hAnsi="Arial" w:cs="Arial"/>
                                      <w:sz w:val="22"/>
                                      <w:szCs w:val="22"/>
                                    </w:rPr>
                                  </w:pPr>
                                  <w:r>
                                    <w:rPr>
                                      <w:rFonts w:ascii="Arial" w:hAnsi="Arial" w:cs="Arial"/>
                                      <w:sz w:val="22"/>
                                      <w:szCs w:val="22"/>
                                    </w:rPr>
                                    <w:t>1.73</w:t>
                                  </w:r>
                                </w:p>
                              </w:tc>
                              <w:tc>
                                <w:tcPr>
                                  <w:tcW w:w="870" w:type="dxa"/>
                                </w:tcPr>
                                <w:p w14:paraId="0571A144" w14:textId="77777777" w:rsidR="00C93BE0" w:rsidRPr="00307F06" w:rsidRDefault="00C93BE0" w:rsidP="004E41A6">
                                  <w:pPr>
                                    <w:jc w:val="center"/>
                                    <w:rPr>
                                      <w:rFonts w:ascii="Arial" w:hAnsi="Arial" w:cs="Arial"/>
                                      <w:sz w:val="22"/>
                                      <w:szCs w:val="22"/>
                                    </w:rPr>
                                  </w:pPr>
                                  <w:r>
                                    <w:rPr>
                                      <w:rFonts w:ascii="Arial" w:hAnsi="Arial" w:cs="Arial"/>
                                      <w:sz w:val="22"/>
                                      <w:szCs w:val="22"/>
                                    </w:rPr>
                                    <w:t>.048*</w:t>
                                  </w:r>
                                </w:p>
                              </w:tc>
                              <w:tc>
                                <w:tcPr>
                                  <w:tcW w:w="660" w:type="dxa"/>
                                </w:tcPr>
                                <w:p w14:paraId="73447110" w14:textId="77777777" w:rsidR="00C93BE0" w:rsidRPr="00307F06" w:rsidRDefault="00C93BE0" w:rsidP="004E41A6">
                                  <w:pPr>
                                    <w:jc w:val="center"/>
                                    <w:rPr>
                                      <w:rFonts w:ascii="Arial" w:hAnsi="Arial" w:cs="Arial"/>
                                      <w:sz w:val="22"/>
                                      <w:szCs w:val="22"/>
                                    </w:rPr>
                                  </w:pPr>
                                  <w:r>
                                    <w:rPr>
                                      <w:rFonts w:ascii="Arial" w:hAnsi="Arial" w:cs="Arial"/>
                                      <w:sz w:val="22"/>
                                      <w:szCs w:val="22"/>
                                    </w:rPr>
                                    <w:t>2.90</w:t>
                                  </w:r>
                                </w:p>
                              </w:tc>
                              <w:tc>
                                <w:tcPr>
                                  <w:tcW w:w="777" w:type="dxa"/>
                                </w:tcPr>
                                <w:p w14:paraId="23B257F8" w14:textId="77777777" w:rsidR="00C93BE0" w:rsidRPr="00307F06" w:rsidRDefault="00C93BE0" w:rsidP="004E41A6">
                                  <w:pPr>
                                    <w:jc w:val="center"/>
                                    <w:rPr>
                                      <w:rFonts w:ascii="Arial" w:hAnsi="Arial" w:cs="Arial"/>
                                      <w:sz w:val="22"/>
                                      <w:szCs w:val="22"/>
                                    </w:rPr>
                                  </w:pPr>
                                  <w:r>
                                    <w:rPr>
                                      <w:rFonts w:ascii="Arial" w:hAnsi="Arial" w:cs="Arial"/>
                                      <w:sz w:val="22"/>
                                      <w:szCs w:val="22"/>
                                    </w:rPr>
                                    <w:t>.036*</w:t>
                                  </w:r>
                                </w:p>
                              </w:tc>
                              <w:tc>
                                <w:tcPr>
                                  <w:tcW w:w="834" w:type="dxa"/>
                                </w:tcPr>
                                <w:p w14:paraId="0BE580F7" w14:textId="77777777" w:rsidR="00C93BE0" w:rsidRPr="00307F06" w:rsidRDefault="00C93BE0" w:rsidP="004E41A6">
                                  <w:pPr>
                                    <w:jc w:val="center"/>
                                    <w:rPr>
                                      <w:rFonts w:ascii="Arial" w:hAnsi="Arial" w:cs="Arial"/>
                                      <w:sz w:val="22"/>
                                      <w:szCs w:val="22"/>
                                    </w:rPr>
                                  </w:pPr>
                                  <w:r>
                                    <w:rPr>
                                      <w:rFonts w:ascii="Arial" w:hAnsi="Arial" w:cs="Arial"/>
                                      <w:sz w:val="22"/>
                                      <w:szCs w:val="22"/>
                                    </w:rPr>
                                    <w:t>3.07</w:t>
                                  </w:r>
                                </w:p>
                              </w:tc>
                              <w:tc>
                                <w:tcPr>
                                  <w:tcW w:w="848" w:type="dxa"/>
                                </w:tcPr>
                                <w:p w14:paraId="7E913C39"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Pr>
                                <w:p w14:paraId="24C05543" w14:textId="77777777" w:rsidR="00C93BE0" w:rsidRPr="00307F06" w:rsidRDefault="00C93BE0" w:rsidP="004E41A6">
                                  <w:pPr>
                                    <w:jc w:val="center"/>
                                    <w:rPr>
                                      <w:rFonts w:ascii="Arial" w:hAnsi="Arial" w:cs="Arial"/>
                                      <w:sz w:val="22"/>
                                      <w:szCs w:val="22"/>
                                    </w:rPr>
                                  </w:pPr>
                                  <w:r>
                                    <w:rPr>
                                      <w:rFonts w:ascii="Arial" w:hAnsi="Arial" w:cs="Arial"/>
                                      <w:sz w:val="22"/>
                                      <w:szCs w:val="22"/>
                                    </w:rPr>
                                    <w:t>0.94</w:t>
                                  </w:r>
                                </w:p>
                              </w:tc>
                              <w:tc>
                                <w:tcPr>
                                  <w:tcW w:w="851" w:type="dxa"/>
                                </w:tcPr>
                                <w:p w14:paraId="0193BD3E" w14:textId="77777777" w:rsidR="00C93BE0" w:rsidRPr="00307F06" w:rsidRDefault="00C93BE0" w:rsidP="004E41A6">
                                  <w:pPr>
                                    <w:jc w:val="center"/>
                                    <w:rPr>
                                      <w:rFonts w:ascii="Arial" w:hAnsi="Arial" w:cs="Arial"/>
                                      <w:sz w:val="22"/>
                                      <w:szCs w:val="22"/>
                                    </w:rPr>
                                  </w:pPr>
                                  <w:r>
                                    <w:rPr>
                                      <w:rFonts w:ascii="Arial" w:hAnsi="Arial" w:cs="Arial"/>
                                      <w:sz w:val="22"/>
                                      <w:szCs w:val="22"/>
                                    </w:rPr>
                                    <w:t>1.65</w:t>
                                  </w:r>
                                </w:p>
                              </w:tc>
                              <w:tc>
                                <w:tcPr>
                                  <w:tcW w:w="708" w:type="dxa"/>
                                </w:tcPr>
                                <w:p w14:paraId="1BCF9518" w14:textId="77777777" w:rsidR="00C93BE0" w:rsidRPr="00307F06" w:rsidRDefault="00C93BE0" w:rsidP="004E41A6">
                                  <w:pPr>
                                    <w:jc w:val="center"/>
                                    <w:rPr>
                                      <w:rFonts w:ascii="Arial" w:hAnsi="Arial" w:cs="Arial"/>
                                      <w:sz w:val="22"/>
                                      <w:szCs w:val="22"/>
                                    </w:rPr>
                                  </w:pPr>
                                  <w:r>
                                    <w:rPr>
                                      <w:rFonts w:ascii="Arial" w:hAnsi="Arial" w:cs="Arial"/>
                                      <w:sz w:val="22"/>
                                      <w:szCs w:val="22"/>
                                    </w:rPr>
                                    <w:t>3.06</w:t>
                                  </w:r>
                                </w:p>
                              </w:tc>
                              <w:tc>
                                <w:tcPr>
                                  <w:tcW w:w="851" w:type="dxa"/>
                                </w:tcPr>
                                <w:p w14:paraId="05977B96"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709" w:type="dxa"/>
                                </w:tcPr>
                                <w:p w14:paraId="1F6CDB82" w14:textId="77777777" w:rsidR="00C93BE0" w:rsidRPr="00307F06" w:rsidRDefault="00C93BE0" w:rsidP="004E41A6">
                                  <w:pPr>
                                    <w:jc w:val="center"/>
                                    <w:rPr>
                                      <w:rFonts w:ascii="Arial" w:hAnsi="Arial" w:cs="Arial"/>
                                      <w:sz w:val="22"/>
                                      <w:szCs w:val="22"/>
                                    </w:rPr>
                                  </w:pPr>
                                  <w:r>
                                    <w:rPr>
                                      <w:rFonts w:ascii="Arial" w:hAnsi="Arial" w:cs="Arial"/>
                                      <w:sz w:val="22"/>
                                      <w:szCs w:val="22"/>
                                    </w:rPr>
                                    <w:t>3.06</w:t>
                                  </w:r>
                                </w:p>
                              </w:tc>
                              <w:tc>
                                <w:tcPr>
                                  <w:tcW w:w="992" w:type="dxa"/>
                                </w:tcPr>
                                <w:p w14:paraId="2E2DDA4A"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r>
                            <w:tr w:rsidR="00C93BE0" w14:paraId="7F35996F"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Pr>
                                <w:p w14:paraId="4007307E" w14:textId="77777777" w:rsidR="00C93BE0" w:rsidRPr="006F0EDD" w:rsidRDefault="00C93BE0" w:rsidP="004E41A6">
                                  <w:pPr>
                                    <w:jc w:val="center"/>
                                    <w:rPr>
                                      <w:rFonts w:ascii="Arial" w:hAnsi="Arial" w:cs="Arial"/>
                                    </w:rPr>
                                  </w:pPr>
                                  <w:r w:rsidRPr="006F0EDD">
                                    <w:rPr>
                                      <w:rFonts w:ascii="Arial" w:hAnsi="Arial" w:cs="Arial"/>
                                    </w:rPr>
                                    <w:t>hV4</w:t>
                                  </w:r>
                                </w:p>
                              </w:tc>
                              <w:tc>
                                <w:tcPr>
                                  <w:tcW w:w="689" w:type="dxa"/>
                                </w:tcPr>
                                <w:p w14:paraId="6EDC1578" w14:textId="77777777" w:rsidR="00C93BE0" w:rsidRPr="00307F06" w:rsidRDefault="00C93BE0" w:rsidP="004E41A6">
                                  <w:pPr>
                                    <w:jc w:val="center"/>
                                    <w:rPr>
                                      <w:rFonts w:ascii="Arial" w:hAnsi="Arial" w:cs="Arial"/>
                                      <w:sz w:val="22"/>
                                      <w:szCs w:val="22"/>
                                    </w:rPr>
                                  </w:pPr>
                                  <w:r>
                                    <w:rPr>
                                      <w:rFonts w:ascii="Arial" w:hAnsi="Arial" w:cs="Arial"/>
                                      <w:sz w:val="22"/>
                                      <w:szCs w:val="22"/>
                                    </w:rPr>
                                    <w:t>1.65</w:t>
                                  </w:r>
                                </w:p>
                              </w:tc>
                              <w:tc>
                                <w:tcPr>
                                  <w:tcW w:w="870" w:type="dxa"/>
                                </w:tcPr>
                                <w:p w14:paraId="0C308DE4" w14:textId="77777777" w:rsidR="00C93BE0" w:rsidRPr="00307F06" w:rsidRDefault="00C93BE0" w:rsidP="004E41A6">
                                  <w:pPr>
                                    <w:jc w:val="center"/>
                                    <w:rPr>
                                      <w:rFonts w:ascii="Arial" w:hAnsi="Arial" w:cs="Arial"/>
                                      <w:sz w:val="22"/>
                                      <w:szCs w:val="22"/>
                                    </w:rPr>
                                  </w:pPr>
                                  <w:r>
                                    <w:rPr>
                                      <w:rFonts w:ascii="Arial" w:hAnsi="Arial" w:cs="Arial"/>
                                      <w:sz w:val="22"/>
                                      <w:szCs w:val="22"/>
                                    </w:rPr>
                                    <w:t>.560</w:t>
                                  </w:r>
                                </w:p>
                              </w:tc>
                              <w:tc>
                                <w:tcPr>
                                  <w:tcW w:w="660" w:type="dxa"/>
                                </w:tcPr>
                                <w:p w14:paraId="3DC00984" w14:textId="77777777" w:rsidR="00C93BE0" w:rsidRPr="00307F06" w:rsidRDefault="00C93BE0" w:rsidP="004E41A6">
                                  <w:pPr>
                                    <w:jc w:val="center"/>
                                    <w:rPr>
                                      <w:rFonts w:ascii="Arial" w:hAnsi="Arial" w:cs="Arial"/>
                                      <w:sz w:val="22"/>
                                      <w:szCs w:val="22"/>
                                    </w:rPr>
                                  </w:pPr>
                                  <w:r>
                                    <w:rPr>
                                      <w:rFonts w:ascii="Arial" w:hAnsi="Arial" w:cs="Arial"/>
                                      <w:sz w:val="22"/>
                                      <w:szCs w:val="22"/>
                                    </w:rPr>
                                    <w:t>2.79</w:t>
                                  </w:r>
                                </w:p>
                              </w:tc>
                              <w:tc>
                                <w:tcPr>
                                  <w:tcW w:w="777" w:type="dxa"/>
                                </w:tcPr>
                                <w:p w14:paraId="0B39F4CF" w14:textId="77777777" w:rsidR="00C93BE0" w:rsidRPr="00307F06" w:rsidRDefault="00C93BE0" w:rsidP="004E41A6">
                                  <w:pPr>
                                    <w:jc w:val="center"/>
                                    <w:rPr>
                                      <w:rFonts w:ascii="Arial" w:hAnsi="Arial" w:cs="Arial"/>
                                      <w:sz w:val="22"/>
                                      <w:szCs w:val="22"/>
                                    </w:rPr>
                                  </w:pPr>
                                  <w:r>
                                    <w:rPr>
                                      <w:rFonts w:ascii="Arial" w:hAnsi="Arial" w:cs="Arial"/>
                                      <w:sz w:val="22"/>
                                      <w:szCs w:val="22"/>
                                    </w:rPr>
                                    <w:t>.047*</w:t>
                                  </w:r>
                                </w:p>
                              </w:tc>
                              <w:tc>
                                <w:tcPr>
                                  <w:tcW w:w="834" w:type="dxa"/>
                                </w:tcPr>
                                <w:p w14:paraId="4971533C" w14:textId="77777777" w:rsidR="00C93BE0" w:rsidRPr="00307F06" w:rsidRDefault="00C93BE0" w:rsidP="004E41A6">
                                  <w:pPr>
                                    <w:jc w:val="center"/>
                                    <w:rPr>
                                      <w:rFonts w:ascii="Arial" w:hAnsi="Arial" w:cs="Arial"/>
                                      <w:sz w:val="22"/>
                                      <w:szCs w:val="22"/>
                                    </w:rPr>
                                  </w:pPr>
                                  <w:r>
                                    <w:rPr>
                                      <w:rFonts w:ascii="Arial" w:hAnsi="Arial" w:cs="Arial"/>
                                      <w:sz w:val="22"/>
                                      <w:szCs w:val="22"/>
                                    </w:rPr>
                                    <w:t>3.07</w:t>
                                  </w:r>
                                </w:p>
                              </w:tc>
                              <w:tc>
                                <w:tcPr>
                                  <w:tcW w:w="848" w:type="dxa"/>
                                </w:tcPr>
                                <w:p w14:paraId="1B92FAD1"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Pr>
                                <w:p w14:paraId="70ACEB7B" w14:textId="77777777" w:rsidR="00C93BE0" w:rsidRPr="00307F06" w:rsidRDefault="00C93BE0" w:rsidP="004E41A6">
                                  <w:pPr>
                                    <w:jc w:val="center"/>
                                    <w:rPr>
                                      <w:rFonts w:ascii="Arial" w:hAnsi="Arial" w:cs="Arial"/>
                                      <w:sz w:val="22"/>
                                      <w:szCs w:val="22"/>
                                    </w:rPr>
                                  </w:pPr>
                                  <w:r>
                                    <w:rPr>
                                      <w:rFonts w:ascii="Arial" w:hAnsi="Arial" w:cs="Arial"/>
                                      <w:sz w:val="22"/>
                                      <w:szCs w:val="22"/>
                                    </w:rPr>
                                    <w:t>1.48</w:t>
                                  </w:r>
                                </w:p>
                              </w:tc>
                              <w:tc>
                                <w:tcPr>
                                  <w:tcW w:w="851" w:type="dxa"/>
                                </w:tcPr>
                                <w:p w14:paraId="34D2B96E" w14:textId="77777777" w:rsidR="00C93BE0" w:rsidRPr="00307F06" w:rsidRDefault="00C93BE0" w:rsidP="004E41A6">
                                  <w:pPr>
                                    <w:jc w:val="center"/>
                                    <w:rPr>
                                      <w:rFonts w:ascii="Arial" w:hAnsi="Arial" w:cs="Arial"/>
                                      <w:sz w:val="22"/>
                                      <w:szCs w:val="22"/>
                                    </w:rPr>
                                  </w:pPr>
                                  <w:r>
                                    <w:rPr>
                                      <w:rFonts w:ascii="Arial" w:hAnsi="Arial" w:cs="Arial"/>
                                      <w:sz w:val="22"/>
                                      <w:szCs w:val="22"/>
                                    </w:rPr>
                                    <w:t>.752</w:t>
                                  </w:r>
                                </w:p>
                              </w:tc>
                              <w:tc>
                                <w:tcPr>
                                  <w:tcW w:w="708" w:type="dxa"/>
                                </w:tcPr>
                                <w:p w14:paraId="13209298" w14:textId="77777777" w:rsidR="00C93BE0" w:rsidRPr="00307F06" w:rsidRDefault="00C93BE0" w:rsidP="004E41A6">
                                  <w:pPr>
                                    <w:jc w:val="center"/>
                                    <w:rPr>
                                      <w:rFonts w:ascii="Arial" w:hAnsi="Arial" w:cs="Arial"/>
                                      <w:sz w:val="22"/>
                                      <w:szCs w:val="22"/>
                                    </w:rPr>
                                  </w:pPr>
                                  <w:r>
                                    <w:rPr>
                                      <w:rFonts w:ascii="Arial" w:hAnsi="Arial" w:cs="Arial"/>
                                      <w:sz w:val="22"/>
                                      <w:szCs w:val="22"/>
                                    </w:rPr>
                                    <w:t>2.98</w:t>
                                  </w:r>
                                </w:p>
                              </w:tc>
                              <w:tc>
                                <w:tcPr>
                                  <w:tcW w:w="851" w:type="dxa"/>
                                </w:tcPr>
                                <w:p w14:paraId="63A49EB1" w14:textId="77777777" w:rsidR="00C93BE0" w:rsidRPr="00307F06" w:rsidRDefault="00C93BE0" w:rsidP="004E41A6">
                                  <w:pPr>
                                    <w:jc w:val="center"/>
                                    <w:rPr>
                                      <w:rFonts w:ascii="Arial" w:hAnsi="Arial" w:cs="Arial"/>
                                      <w:sz w:val="22"/>
                                      <w:szCs w:val="22"/>
                                    </w:rPr>
                                  </w:pPr>
                                  <w:r>
                                    <w:rPr>
                                      <w:rFonts w:ascii="Arial" w:hAnsi="Arial" w:cs="Arial"/>
                                      <w:sz w:val="22"/>
                                      <w:szCs w:val="22"/>
                                    </w:rPr>
                                    <w:t>.031*</w:t>
                                  </w:r>
                                </w:p>
                              </w:tc>
                              <w:tc>
                                <w:tcPr>
                                  <w:tcW w:w="709" w:type="dxa"/>
                                </w:tcPr>
                                <w:p w14:paraId="3D68E576" w14:textId="77777777" w:rsidR="00C93BE0" w:rsidRPr="00307F06" w:rsidRDefault="00C93BE0" w:rsidP="004E41A6">
                                  <w:pPr>
                                    <w:jc w:val="center"/>
                                    <w:rPr>
                                      <w:rFonts w:ascii="Arial" w:hAnsi="Arial" w:cs="Arial"/>
                                      <w:sz w:val="22"/>
                                      <w:szCs w:val="22"/>
                                    </w:rPr>
                                  </w:pPr>
                                  <w:r>
                                    <w:rPr>
                                      <w:rFonts w:ascii="Arial" w:hAnsi="Arial" w:cs="Arial"/>
                                      <w:sz w:val="22"/>
                                      <w:szCs w:val="22"/>
                                    </w:rPr>
                                    <w:t>2.98</w:t>
                                  </w:r>
                                </w:p>
                              </w:tc>
                              <w:tc>
                                <w:tcPr>
                                  <w:tcW w:w="992" w:type="dxa"/>
                                </w:tcPr>
                                <w:p w14:paraId="7C37AEB0" w14:textId="77777777" w:rsidR="00C93BE0" w:rsidRPr="00307F06" w:rsidRDefault="00C93BE0" w:rsidP="004E41A6">
                                  <w:pPr>
                                    <w:jc w:val="center"/>
                                    <w:rPr>
                                      <w:rFonts w:ascii="Arial" w:hAnsi="Arial" w:cs="Arial"/>
                                      <w:sz w:val="22"/>
                                      <w:szCs w:val="22"/>
                                    </w:rPr>
                                  </w:pPr>
                                  <w:r>
                                    <w:rPr>
                                      <w:rFonts w:ascii="Arial" w:hAnsi="Arial" w:cs="Arial"/>
                                      <w:sz w:val="22"/>
                                      <w:szCs w:val="22"/>
                                    </w:rPr>
                                    <w:t>.031*</w:t>
                                  </w:r>
                                </w:p>
                              </w:tc>
                            </w:tr>
                            <w:tr w:rsidR="00C93BE0" w14:paraId="28051F04"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1"/>
                              </w:trPr>
                              <w:tc>
                                <w:tcPr>
                                  <w:tcW w:w="851" w:type="dxa"/>
                                </w:tcPr>
                                <w:p w14:paraId="464C2F22" w14:textId="77777777" w:rsidR="00C93BE0" w:rsidRPr="006F0EDD" w:rsidRDefault="00C93BE0" w:rsidP="004E41A6">
                                  <w:pPr>
                                    <w:jc w:val="center"/>
                                    <w:rPr>
                                      <w:rFonts w:ascii="Arial" w:hAnsi="Arial" w:cs="Arial"/>
                                    </w:rPr>
                                  </w:pPr>
                                  <w:r w:rsidRPr="006F0EDD">
                                    <w:rPr>
                                      <w:rFonts w:ascii="Arial" w:hAnsi="Arial" w:cs="Arial"/>
                                    </w:rPr>
                                    <w:t>LO-1</w:t>
                                  </w:r>
                                </w:p>
                              </w:tc>
                              <w:tc>
                                <w:tcPr>
                                  <w:tcW w:w="689" w:type="dxa"/>
                                </w:tcPr>
                                <w:p w14:paraId="73B91645" w14:textId="77777777" w:rsidR="00C93BE0" w:rsidRPr="00307F06" w:rsidRDefault="00C93BE0" w:rsidP="004E41A6">
                                  <w:pPr>
                                    <w:jc w:val="center"/>
                                    <w:rPr>
                                      <w:rFonts w:ascii="Arial" w:hAnsi="Arial" w:cs="Arial"/>
                                      <w:sz w:val="22"/>
                                      <w:szCs w:val="22"/>
                                    </w:rPr>
                                  </w:pPr>
                                  <w:r>
                                    <w:rPr>
                                      <w:rFonts w:ascii="Arial" w:hAnsi="Arial" w:cs="Arial"/>
                                      <w:sz w:val="22"/>
                                      <w:szCs w:val="22"/>
                                    </w:rPr>
                                    <w:t>2.59</w:t>
                                  </w:r>
                                </w:p>
                              </w:tc>
                              <w:tc>
                                <w:tcPr>
                                  <w:tcW w:w="870" w:type="dxa"/>
                                </w:tcPr>
                                <w:p w14:paraId="1E985CFD" w14:textId="77777777" w:rsidR="00C93BE0" w:rsidRPr="00307F06" w:rsidRDefault="00C93BE0" w:rsidP="004E41A6">
                                  <w:pPr>
                                    <w:jc w:val="center"/>
                                    <w:rPr>
                                      <w:rFonts w:ascii="Arial" w:hAnsi="Arial" w:cs="Arial"/>
                                      <w:sz w:val="22"/>
                                      <w:szCs w:val="22"/>
                                    </w:rPr>
                                  </w:pPr>
                                  <w:r>
                                    <w:rPr>
                                      <w:rFonts w:ascii="Arial" w:hAnsi="Arial" w:cs="Arial"/>
                                      <w:sz w:val="22"/>
                                      <w:szCs w:val="22"/>
                                    </w:rPr>
                                    <w:t>.076</w:t>
                                  </w:r>
                                </w:p>
                              </w:tc>
                              <w:tc>
                                <w:tcPr>
                                  <w:tcW w:w="660" w:type="dxa"/>
                                </w:tcPr>
                                <w:p w14:paraId="56341C91" w14:textId="77777777" w:rsidR="00C93BE0" w:rsidRPr="00307F06" w:rsidRDefault="00C93BE0" w:rsidP="004E41A6">
                                  <w:pPr>
                                    <w:jc w:val="center"/>
                                    <w:rPr>
                                      <w:rFonts w:ascii="Arial" w:hAnsi="Arial" w:cs="Arial"/>
                                      <w:sz w:val="22"/>
                                      <w:szCs w:val="22"/>
                                    </w:rPr>
                                  </w:pPr>
                                  <w:r>
                                    <w:rPr>
                                      <w:rFonts w:ascii="Arial" w:hAnsi="Arial" w:cs="Arial"/>
                                      <w:sz w:val="22"/>
                                      <w:szCs w:val="22"/>
                                    </w:rPr>
                                    <w:t>1.14</w:t>
                                  </w:r>
                                </w:p>
                              </w:tc>
                              <w:tc>
                                <w:tcPr>
                                  <w:tcW w:w="777" w:type="dxa"/>
                                </w:tcPr>
                                <w:p w14:paraId="2838CB88" w14:textId="77777777" w:rsidR="00C93BE0" w:rsidRPr="00307F06" w:rsidRDefault="00C93BE0" w:rsidP="004E41A6">
                                  <w:pPr>
                                    <w:jc w:val="center"/>
                                    <w:rPr>
                                      <w:rFonts w:ascii="Arial" w:hAnsi="Arial" w:cs="Arial"/>
                                      <w:sz w:val="22"/>
                                      <w:szCs w:val="22"/>
                                    </w:rPr>
                                  </w:pPr>
                                  <w:r>
                                    <w:rPr>
                                      <w:rFonts w:ascii="Arial" w:hAnsi="Arial" w:cs="Arial"/>
                                      <w:sz w:val="22"/>
                                      <w:szCs w:val="22"/>
                                    </w:rPr>
                                    <w:t>1.24</w:t>
                                  </w:r>
                                </w:p>
                              </w:tc>
                              <w:tc>
                                <w:tcPr>
                                  <w:tcW w:w="834" w:type="dxa"/>
                                </w:tcPr>
                                <w:p w14:paraId="25E4E69E" w14:textId="77777777" w:rsidR="00C93BE0" w:rsidRPr="00307F06" w:rsidRDefault="00C93BE0" w:rsidP="004E41A6">
                                  <w:pPr>
                                    <w:jc w:val="center"/>
                                    <w:rPr>
                                      <w:rFonts w:ascii="Arial" w:hAnsi="Arial" w:cs="Arial"/>
                                      <w:sz w:val="22"/>
                                      <w:szCs w:val="22"/>
                                    </w:rPr>
                                  </w:pPr>
                                  <w:r>
                                    <w:rPr>
                                      <w:rFonts w:ascii="Arial" w:hAnsi="Arial" w:cs="Arial"/>
                                      <w:sz w:val="22"/>
                                      <w:szCs w:val="22"/>
                                    </w:rPr>
                                    <w:t>3.06</w:t>
                                  </w:r>
                                </w:p>
                              </w:tc>
                              <w:tc>
                                <w:tcPr>
                                  <w:tcW w:w="848" w:type="dxa"/>
                                </w:tcPr>
                                <w:p w14:paraId="596FF671"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Pr>
                                <w:p w14:paraId="374E2BFC" w14:textId="77777777" w:rsidR="00C93BE0" w:rsidRPr="00307F06" w:rsidRDefault="00C93BE0" w:rsidP="004E41A6">
                                  <w:pPr>
                                    <w:jc w:val="center"/>
                                    <w:rPr>
                                      <w:rFonts w:ascii="Arial" w:hAnsi="Arial" w:cs="Arial"/>
                                      <w:sz w:val="22"/>
                                      <w:szCs w:val="22"/>
                                    </w:rPr>
                                  </w:pPr>
                                  <w:r>
                                    <w:rPr>
                                      <w:rFonts w:ascii="Arial" w:hAnsi="Arial" w:cs="Arial"/>
                                      <w:sz w:val="22"/>
                                      <w:szCs w:val="22"/>
                                    </w:rPr>
                                    <w:t>.075</w:t>
                                  </w:r>
                                </w:p>
                              </w:tc>
                              <w:tc>
                                <w:tcPr>
                                  <w:tcW w:w="851" w:type="dxa"/>
                                </w:tcPr>
                                <w:p w14:paraId="4CFA41B5" w14:textId="77777777" w:rsidR="00C93BE0" w:rsidRPr="00307F06" w:rsidRDefault="00C93BE0" w:rsidP="004E41A6">
                                  <w:pPr>
                                    <w:jc w:val="center"/>
                                    <w:rPr>
                                      <w:rFonts w:ascii="Arial" w:hAnsi="Arial" w:cs="Arial"/>
                                      <w:sz w:val="22"/>
                                      <w:szCs w:val="22"/>
                                    </w:rPr>
                                  </w:pPr>
                                  <w:r>
                                    <w:rPr>
                                      <w:rFonts w:ascii="Arial" w:hAnsi="Arial" w:cs="Arial"/>
                                      <w:sz w:val="22"/>
                                      <w:szCs w:val="22"/>
                                    </w:rPr>
                                    <w:t>2.117</w:t>
                                  </w:r>
                                </w:p>
                              </w:tc>
                              <w:tc>
                                <w:tcPr>
                                  <w:tcW w:w="708" w:type="dxa"/>
                                </w:tcPr>
                                <w:p w14:paraId="37B78A75" w14:textId="77777777" w:rsidR="00C93BE0" w:rsidRPr="00307F06" w:rsidRDefault="00C93BE0" w:rsidP="004E41A6">
                                  <w:pPr>
                                    <w:jc w:val="center"/>
                                    <w:rPr>
                                      <w:rFonts w:ascii="Arial" w:hAnsi="Arial" w:cs="Arial"/>
                                      <w:sz w:val="22"/>
                                      <w:szCs w:val="22"/>
                                    </w:rPr>
                                  </w:pPr>
                                  <w:r>
                                    <w:rPr>
                                      <w:rFonts w:ascii="Arial" w:hAnsi="Arial" w:cs="Arial"/>
                                      <w:sz w:val="22"/>
                                      <w:szCs w:val="22"/>
                                    </w:rPr>
                                    <w:t>3.07</w:t>
                                  </w:r>
                                </w:p>
                              </w:tc>
                              <w:tc>
                                <w:tcPr>
                                  <w:tcW w:w="851" w:type="dxa"/>
                                </w:tcPr>
                                <w:p w14:paraId="17476BD8"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709" w:type="dxa"/>
                                </w:tcPr>
                                <w:p w14:paraId="2A00FFEF" w14:textId="77777777" w:rsidR="00C93BE0" w:rsidRPr="00307F06" w:rsidRDefault="00C93BE0" w:rsidP="004E41A6">
                                  <w:pPr>
                                    <w:jc w:val="center"/>
                                    <w:rPr>
                                      <w:rFonts w:ascii="Arial" w:hAnsi="Arial" w:cs="Arial"/>
                                      <w:sz w:val="22"/>
                                      <w:szCs w:val="22"/>
                                    </w:rPr>
                                  </w:pPr>
                                  <w:r>
                                    <w:rPr>
                                      <w:rFonts w:ascii="Arial" w:hAnsi="Arial" w:cs="Arial"/>
                                      <w:sz w:val="22"/>
                                      <w:szCs w:val="22"/>
                                    </w:rPr>
                                    <w:t>2.95</w:t>
                                  </w:r>
                                </w:p>
                              </w:tc>
                              <w:tc>
                                <w:tcPr>
                                  <w:tcW w:w="992" w:type="dxa"/>
                                </w:tcPr>
                                <w:p w14:paraId="03672BBA" w14:textId="77777777" w:rsidR="00C93BE0" w:rsidRPr="00307F06" w:rsidRDefault="00C93BE0" w:rsidP="004E41A6">
                                  <w:pPr>
                                    <w:jc w:val="center"/>
                                    <w:rPr>
                                      <w:rFonts w:ascii="Arial" w:hAnsi="Arial" w:cs="Arial"/>
                                      <w:sz w:val="22"/>
                                      <w:szCs w:val="22"/>
                                    </w:rPr>
                                  </w:pPr>
                                  <w:r>
                                    <w:rPr>
                                      <w:rFonts w:ascii="Arial" w:hAnsi="Arial" w:cs="Arial"/>
                                      <w:sz w:val="22"/>
                                      <w:szCs w:val="22"/>
                                    </w:rPr>
                                    <w:t>.033*</w:t>
                                  </w:r>
                                </w:p>
                              </w:tc>
                            </w:tr>
                            <w:tr w:rsidR="00C93BE0" w14:paraId="2BB2B125"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Pr>
                                <w:p w14:paraId="6783A8E1" w14:textId="77777777" w:rsidR="00C93BE0" w:rsidRPr="006F0EDD" w:rsidRDefault="00C93BE0" w:rsidP="004E41A6">
                                  <w:pPr>
                                    <w:jc w:val="center"/>
                                    <w:rPr>
                                      <w:rFonts w:ascii="Arial" w:hAnsi="Arial" w:cs="Arial"/>
                                    </w:rPr>
                                  </w:pPr>
                                  <w:r w:rsidRPr="006F0EDD">
                                    <w:rPr>
                                      <w:rFonts w:ascii="Arial" w:hAnsi="Arial" w:cs="Arial"/>
                                    </w:rPr>
                                    <w:t>LO-2</w:t>
                                  </w:r>
                                </w:p>
                              </w:tc>
                              <w:tc>
                                <w:tcPr>
                                  <w:tcW w:w="689" w:type="dxa"/>
                                </w:tcPr>
                                <w:p w14:paraId="40F2A411" w14:textId="77777777" w:rsidR="00C93BE0" w:rsidRPr="00307F06" w:rsidRDefault="00C93BE0" w:rsidP="004E41A6">
                                  <w:pPr>
                                    <w:jc w:val="center"/>
                                    <w:rPr>
                                      <w:rFonts w:ascii="Arial" w:hAnsi="Arial" w:cs="Arial"/>
                                      <w:sz w:val="22"/>
                                      <w:szCs w:val="22"/>
                                    </w:rPr>
                                  </w:pPr>
                                  <w:r>
                                    <w:rPr>
                                      <w:rFonts w:ascii="Arial" w:hAnsi="Arial" w:cs="Arial"/>
                                      <w:sz w:val="22"/>
                                      <w:szCs w:val="22"/>
                                    </w:rPr>
                                    <w:t>0.53</w:t>
                                  </w:r>
                                </w:p>
                              </w:tc>
                              <w:tc>
                                <w:tcPr>
                                  <w:tcW w:w="870" w:type="dxa"/>
                                </w:tcPr>
                                <w:p w14:paraId="378D0255" w14:textId="77777777" w:rsidR="00C93BE0" w:rsidRPr="00307F06" w:rsidRDefault="00C93BE0" w:rsidP="004E41A6">
                                  <w:pPr>
                                    <w:jc w:val="center"/>
                                    <w:rPr>
                                      <w:rFonts w:ascii="Arial" w:hAnsi="Arial" w:cs="Arial"/>
                                      <w:sz w:val="22"/>
                                      <w:szCs w:val="22"/>
                                    </w:rPr>
                                  </w:pPr>
                                  <w:r>
                                    <w:rPr>
                                      <w:rFonts w:ascii="Arial" w:hAnsi="Arial" w:cs="Arial"/>
                                      <w:sz w:val="22"/>
                                      <w:szCs w:val="22"/>
                                    </w:rPr>
                                    <w:t>2.702</w:t>
                                  </w:r>
                                </w:p>
                              </w:tc>
                              <w:tc>
                                <w:tcPr>
                                  <w:tcW w:w="660" w:type="dxa"/>
                                </w:tcPr>
                                <w:p w14:paraId="379F4EC5" w14:textId="77777777" w:rsidR="00C93BE0" w:rsidRPr="00307F06" w:rsidRDefault="00C93BE0" w:rsidP="004E41A6">
                                  <w:pPr>
                                    <w:jc w:val="center"/>
                                    <w:rPr>
                                      <w:rFonts w:ascii="Arial" w:hAnsi="Arial" w:cs="Arial"/>
                                      <w:sz w:val="22"/>
                                      <w:szCs w:val="22"/>
                                    </w:rPr>
                                  </w:pPr>
                                  <w:r>
                                    <w:rPr>
                                      <w:rFonts w:ascii="Arial" w:hAnsi="Arial" w:cs="Arial"/>
                                      <w:sz w:val="22"/>
                                      <w:szCs w:val="22"/>
                                    </w:rPr>
                                    <w:t>1.83</w:t>
                                  </w:r>
                                </w:p>
                              </w:tc>
                              <w:tc>
                                <w:tcPr>
                                  <w:tcW w:w="777" w:type="dxa"/>
                                </w:tcPr>
                                <w:p w14:paraId="759DB7E0" w14:textId="77777777" w:rsidR="00C93BE0" w:rsidRPr="00307F06" w:rsidRDefault="00C93BE0" w:rsidP="004E41A6">
                                  <w:pPr>
                                    <w:jc w:val="center"/>
                                    <w:rPr>
                                      <w:rFonts w:ascii="Arial" w:hAnsi="Arial" w:cs="Arial"/>
                                      <w:sz w:val="22"/>
                                      <w:szCs w:val="22"/>
                                    </w:rPr>
                                  </w:pPr>
                                  <w:r>
                                    <w:rPr>
                                      <w:rFonts w:ascii="Arial" w:hAnsi="Arial" w:cs="Arial"/>
                                      <w:sz w:val="22"/>
                                      <w:szCs w:val="22"/>
                                    </w:rPr>
                                    <w:t>.417</w:t>
                                  </w:r>
                                </w:p>
                              </w:tc>
                              <w:tc>
                                <w:tcPr>
                                  <w:tcW w:w="834" w:type="dxa"/>
                                </w:tcPr>
                                <w:p w14:paraId="3EA40430" w14:textId="77777777" w:rsidR="00C93BE0" w:rsidRPr="00307F06" w:rsidRDefault="00C93BE0" w:rsidP="004E41A6">
                                  <w:pPr>
                                    <w:jc w:val="center"/>
                                    <w:rPr>
                                      <w:rFonts w:ascii="Arial" w:hAnsi="Arial" w:cs="Arial"/>
                                      <w:sz w:val="22"/>
                                      <w:szCs w:val="22"/>
                                    </w:rPr>
                                  </w:pPr>
                                  <w:r>
                                    <w:rPr>
                                      <w:rFonts w:ascii="Arial" w:hAnsi="Arial" w:cs="Arial"/>
                                      <w:sz w:val="22"/>
                                      <w:szCs w:val="22"/>
                                    </w:rPr>
                                    <w:t>3.07</w:t>
                                  </w:r>
                                </w:p>
                              </w:tc>
                              <w:tc>
                                <w:tcPr>
                                  <w:tcW w:w="848" w:type="dxa"/>
                                </w:tcPr>
                                <w:p w14:paraId="354169FF"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Pr>
                                <w:p w14:paraId="298C3D32" w14:textId="77777777" w:rsidR="00C93BE0" w:rsidRPr="00307F06" w:rsidRDefault="00C93BE0" w:rsidP="004E41A6">
                                  <w:pPr>
                                    <w:jc w:val="center"/>
                                    <w:rPr>
                                      <w:rFonts w:ascii="Arial" w:hAnsi="Arial" w:cs="Arial"/>
                                      <w:sz w:val="22"/>
                                      <w:szCs w:val="22"/>
                                    </w:rPr>
                                  </w:pPr>
                                  <w:r>
                                    <w:rPr>
                                      <w:rFonts w:ascii="Arial" w:hAnsi="Arial" w:cs="Arial"/>
                                      <w:sz w:val="22"/>
                                      <w:szCs w:val="22"/>
                                    </w:rPr>
                                    <w:t>1.58</w:t>
                                  </w:r>
                                </w:p>
                              </w:tc>
                              <w:tc>
                                <w:tcPr>
                                  <w:tcW w:w="851" w:type="dxa"/>
                                </w:tcPr>
                                <w:p w14:paraId="04146DAD" w14:textId="77777777" w:rsidR="00C93BE0" w:rsidRPr="00307F06" w:rsidRDefault="00C93BE0" w:rsidP="004E41A6">
                                  <w:pPr>
                                    <w:jc w:val="center"/>
                                    <w:rPr>
                                      <w:rFonts w:ascii="Arial" w:hAnsi="Arial" w:cs="Arial"/>
                                      <w:sz w:val="22"/>
                                      <w:szCs w:val="22"/>
                                    </w:rPr>
                                  </w:pPr>
                                  <w:r>
                                    <w:rPr>
                                      <w:rFonts w:ascii="Arial" w:hAnsi="Arial" w:cs="Arial"/>
                                      <w:sz w:val="22"/>
                                      <w:szCs w:val="22"/>
                                    </w:rPr>
                                    <w:t>.608</w:t>
                                  </w:r>
                                </w:p>
                              </w:tc>
                              <w:tc>
                                <w:tcPr>
                                  <w:tcW w:w="708" w:type="dxa"/>
                                </w:tcPr>
                                <w:p w14:paraId="1EC03667" w14:textId="77777777" w:rsidR="00C93BE0" w:rsidRPr="00307F06" w:rsidRDefault="00C93BE0" w:rsidP="004E41A6">
                                  <w:pPr>
                                    <w:jc w:val="center"/>
                                    <w:rPr>
                                      <w:rFonts w:ascii="Arial" w:hAnsi="Arial" w:cs="Arial"/>
                                      <w:sz w:val="22"/>
                                      <w:szCs w:val="22"/>
                                    </w:rPr>
                                  </w:pPr>
                                  <w:r>
                                    <w:rPr>
                                      <w:rFonts w:ascii="Arial" w:hAnsi="Arial" w:cs="Arial"/>
                                      <w:sz w:val="22"/>
                                      <w:szCs w:val="22"/>
                                    </w:rPr>
                                    <w:t>3.06</w:t>
                                  </w:r>
                                </w:p>
                              </w:tc>
                              <w:tc>
                                <w:tcPr>
                                  <w:tcW w:w="851" w:type="dxa"/>
                                </w:tcPr>
                                <w:p w14:paraId="4EF3DBDE"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709" w:type="dxa"/>
                                </w:tcPr>
                                <w:p w14:paraId="7C46B44D" w14:textId="77777777" w:rsidR="00C93BE0" w:rsidRPr="00307F06" w:rsidRDefault="00C93BE0" w:rsidP="004E41A6">
                                  <w:pPr>
                                    <w:jc w:val="center"/>
                                    <w:rPr>
                                      <w:rFonts w:ascii="Arial" w:hAnsi="Arial" w:cs="Arial"/>
                                      <w:sz w:val="22"/>
                                      <w:szCs w:val="22"/>
                                    </w:rPr>
                                  </w:pPr>
                                  <w:r>
                                    <w:rPr>
                                      <w:rFonts w:ascii="Arial" w:hAnsi="Arial" w:cs="Arial"/>
                                      <w:sz w:val="22"/>
                                      <w:szCs w:val="22"/>
                                    </w:rPr>
                                    <w:t>2.83</w:t>
                                  </w:r>
                                </w:p>
                              </w:tc>
                              <w:tc>
                                <w:tcPr>
                                  <w:tcW w:w="992" w:type="dxa"/>
                                </w:tcPr>
                                <w:p w14:paraId="3F7FFA50" w14:textId="77777777" w:rsidR="00C93BE0" w:rsidRPr="00307F06" w:rsidRDefault="00C93BE0" w:rsidP="004E41A6">
                                  <w:pPr>
                                    <w:jc w:val="center"/>
                                    <w:rPr>
                                      <w:rFonts w:ascii="Arial" w:hAnsi="Arial" w:cs="Arial"/>
                                      <w:sz w:val="22"/>
                                      <w:szCs w:val="22"/>
                                    </w:rPr>
                                  </w:pPr>
                                  <w:r>
                                    <w:rPr>
                                      <w:rFonts w:ascii="Arial" w:hAnsi="Arial" w:cs="Arial"/>
                                      <w:sz w:val="22"/>
                                      <w:szCs w:val="22"/>
                                    </w:rPr>
                                    <w:t>.044*</w:t>
                                  </w:r>
                                </w:p>
                              </w:tc>
                            </w:tr>
                            <w:tr w:rsidR="00C93BE0" w14:paraId="156B332D"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Pr>
                                <w:p w14:paraId="0142A95E" w14:textId="77777777" w:rsidR="00C93BE0" w:rsidRPr="006F0EDD" w:rsidRDefault="00C93BE0" w:rsidP="004E41A6">
                                  <w:pPr>
                                    <w:jc w:val="center"/>
                                    <w:rPr>
                                      <w:rFonts w:ascii="Arial" w:hAnsi="Arial" w:cs="Arial"/>
                                    </w:rPr>
                                  </w:pPr>
                                  <w:r>
                                    <w:rPr>
                                      <w:rFonts w:ascii="Arial" w:hAnsi="Arial" w:cs="Arial"/>
                                    </w:rPr>
                                    <w:t>FFA</w:t>
                                  </w:r>
                                </w:p>
                              </w:tc>
                              <w:tc>
                                <w:tcPr>
                                  <w:tcW w:w="689" w:type="dxa"/>
                                </w:tcPr>
                                <w:p w14:paraId="75683537" w14:textId="77777777" w:rsidR="00C93BE0" w:rsidRDefault="00C93BE0" w:rsidP="004E41A6">
                                  <w:pPr>
                                    <w:jc w:val="center"/>
                                    <w:rPr>
                                      <w:rFonts w:ascii="Arial" w:hAnsi="Arial" w:cs="Arial"/>
                                      <w:sz w:val="22"/>
                                      <w:szCs w:val="22"/>
                                    </w:rPr>
                                  </w:pPr>
                                  <w:r>
                                    <w:rPr>
                                      <w:rFonts w:ascii="Arial" w:hAnsi="Arial" w:cs="Arial"/>
                                      <w:sz w:val="22"/>
                                      <w:szCs w:val="22"/>
                                    </w:rPr>
                                    <w:t>2.04</w:t>
                                  </w:r>
                                </w:p>
                              </w:tc>
                              <w:tc>
                                <w:tcPr>
                                  <w:tcW w:w="870" w:type="dxa"/>
                                </w:tcPr>
                                <w:p w14:paraId="39CE766B" w14:textId="77777777" w:rsidR="00C93BE0" w:rsidRPr="00307F06" w:rsidRDefault="00C93BE0" w:rsidP="004E41A6">
                                  <w:pPr>
                                    <w:jc w:val="center"/>
                                    <w:rPr>
                                      <w:rFonts w:ascii="Arial" w:hAnsi="Arial" w:cs="Arial"/>
                                      <w:sz w:val="22"/>
                                      <w:szCs w:val="22"/>
                                    </w:rPr>
                                  </w:pPr>
                                  <w:r>
                                    <w:rPr>
                                      <w:rFonts w:ascii="Arial" w:hAnsi="Arial" w:cs="Arial"/>
                                      <w:sz w:val="22"/>
                                      <w:szCs w:val="22"/>
                                    </w:rPr>
                                    <w:t>.268</w:t>
                                  </w:r>
                                </w:p>
                              </w:tc>
                              <w:tc>
                                <w:tcPr>
                                  <w:tcW w:w="660" w:type="dxa"/>
                                </w:tcPr>
                                <w:p w14:paraId="40A1BA6B" w14:textId="77777777" w:rsidR="00C93BE0" w:rsidRDefault="00C93BE0" w:rsidP="004E41A6">
                                  <w:pPr>
                                    <w:jc w:val="center"/>
                                    <w:rPr>
                                      <w:rFonts w:ascii="Arial" w:hAnsi="Arial" w:cs="Arial"/>
                                      <w:sz w:val="22"/>
                                      <w:szCs w:val="22"/>
                                    </w:rPr>
                                  </w:pPr>
                                  <w:r>
                                    <w:rPr>
                                      <w:rFonts w:ascii="Arial" w:hAnsi="Arial" w:cs="Arial"/>
                                      <w:sz w:val="22"/>
                                      <w:szCs w:val="22"/>
                                    </w:rPr>
                                    <w:t>1.81</w:t>
                                  </w:r>
                                </w:p>
                              </w:tc>
                              <w:tc>
                                <w:tcPr>
                                  <w:tcW w:w="777" w:type="dxa"/>
                                </w:tcPr>
                                <w:p w14:paraId="177962A8" w14:textId="77777777" w:rsidR="00C93BE0" w:rsidRPr="00307F06" w:rsidRDefault="00C93BE0" w:rsidP="004E41A6">
                                  <w:pPr>
                                    <w:jc w:val="center"/>
                                    <w:rPr>
                                      <w:rFonts w:ascii="Arial" w:hAnsi="Arial" w:cs="Arial"/>
                                      <w:sz w:val="22"/>
                                      <w:szCs w:val="22"/>
                                    </w:rPr>
                                  </w:pPr>
                                  <w:r>
                                    <w:rPr>
                                      <w:rFonts w:ascii="Arial" w:hAnsi="Arial" w:cs="Arial"/>
                                      <w:sz w:val="22"/>
                                      <w:szCs w:val="22"/>
                                    </w:rPr>
                                    <w:t>.417</w:t>
                                  </w:r>
                                </w:p>
                              </w:tc>
                              <w:tc>
                                <w:tcPr>
                                  <w:tcW w:w="834" w:type="dxa"/>
                                </w:tcPr>
                                <w:p w14:paraId="26CA7AF5" w14:textId="77777777" w:rsidR="00C93BE0" w:rsidRDefault="00C93BE0" w:rsidP="004E41A6">
                                  <w:pPr>
                                    <w:jc w:val="center"/>
                                    <w:rPr>
                                      <w:rFonts w:ascii="Arial" w:hAnsi="Arial" w:cs="Arial"/>
                                      <w:sz w:val="22"/>
                                      <w:szCs w:val="22"/>
                                    </w:rPr>
                                  </w:pPr>
                                  <w:r>
                                    <w:rPr>
                                      <w:rFonts w:ascii="Arial" w:hAnsi="Arial" w:cs="Arial"/>
                                      <w:sz w:val="22"/>
                                      <w:szCs w:val="22"/>
                                    </w:rPr>
                                    <w:t>3.07</w:t>
                                  </w:r>
                                </w:p>
                              </w:tc>
                              <w:tc>
                                <w:tcPr>
                                  <w:tcW w:w="848" w:type="dxa"/>
                                </w:tcPr>
                                <w:p w14:paraId="40DBDE1F"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Pr>
                                <w:p w14:paraId="4DE5324A" w14:textId="77777777" w:rsidR="00C93BE0" w:rsidRDefault="00C93BE0" w:rsidP="004E41A6">
                                  <w:pPr>
                                    <w:jc w:val="center"/>
                                    <w:rPr>
                                      <w:rFonts w:ascii="Arial" w:hAnsi="Arial" w:cs="Arial"/>
                                      <w:sz w:val="22"/>
                                      <w:szCs w:val="22"/>
                                    </w:rPr>
                                  </w:pPr>
                                  <w:r>
                                    <w:rPr>
                                      <w:rFonts w:ascii="Arial" w:hAnsi="Arial" w:cs="Arial"/>
                                      <w:sz w:val="22"/>
                                      <w:szCs w:val="22"/>
                                    </w:rPr>
                                    <w:t>1.82</w:t>
                                  </w:r>
                                </w:p>
                              </w:tc>
                              <w:tc>
                                <w:tcPr>
                                  <w:tcW w:w="851" w:type="dxa"/>
                                </w:tcPr>
                                <w:p w14:paraId="6CC7115A" w14:textId="77777777" w:rsidR="00C93BE0" w:rsidRPr="00307F06" w:rsidRDefault="00C93BE0" w:rsidP="004E41A6">
                                  <w:pPr>
                                    <w:jc w:val="center"/>
                                    <w:rPr>
                                      <w:rFonts w:ascii="Arial" w:hAnsi="Arial" w:cs="Arial"/>
                                      <w:sz w:val="22"/>
                                      <w:szCs w:val="22"/>
                                    </w:rPr>
                                  </w:pPr>
                                  <w:r>
                                    <w:rPr>
                                      <w:rFonts w:ascii="Arial" w:hAnsi="Arial" w:cs="Arial"/>
                                      <w:sz w:val="22"/>
                                      <w:szCs w:val="22"/>
                                    </w:rPr>
                                    <w:t>.417</w:t>
                                  </w:r>
                                </w:p>
                              </w:tc>
                              <w:tc>
                                <w:tcPr>
                                  <w:tcW w:w="708" w:type="dxa"/>
                                </w:tcPr>
                                <w:p w14:paraId="2BF1AD0C" w14:textId="77777777" w:rsidR="00C93BE0" w:rsidRDefault="00C93BE0" w:rsidP="004E41A6">
                                  <w:pPr>
                                    <w:jc w:val="center"/>
                                    <w:rPr>
                                      <w:rFonts w:ascii="Arial" w:hAnsi="Arial" w:cs="Arial"/>
                                      <w:sz w:val="22"/>
                                      <w:szCs w:val="22"/>
                                    </w:rPr>
                                  </w:pPr>
                                  <w:r>
                                    <w:rPr>
                                      <w:rFonts w:ascii="Arial" w:hAnsi="Arial" w:cs="Arial"/>
                                      <w:sz w:val="22"/>
                                      <w:szCs w:val="22"/>
                                    </w:rPr>
                                    <w:t>3.07</w:t>
                                  </w:r>
                                </w:p>
                              </w:tc>
                              <w:tc>
                                <w:tcPr>
                                  <w:tcW w:w="851" w:type="dxa"/>
                                </w:tcPr>
                                <w:p w14:paraId="718868DE"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709" w:type="dxa"/>
                                </w:tcPr>
                                <w:p w14:paraId="192BFFBE" w14:textId="77777777" w:rsidR="00C93BE0" w:rsidRDefault="00C93BE0" w:rsidP="004E41A6">
                                  <w:pPr>
                                    <w:jc w:val="center"/>
                                    <w:rPr>
                                      <w:rFonts w:ascii="Arial" w:hAnsi="Arial" w:cs="Arial"/>
                                      <w:sz w:val="22"/>
                                      <w:szCs w:val="22"/>
                                    </w:rPr>
                                  </w:pPr>
                                  <w:r>
                                    <w:rPr>
                                      <w:rFonts w:ascii="Arial" w:hAnsi="Arial" w:cs="Arial"/>
                                      <w:sz w:val="22"/>
                                      <w:szCs w:val="22"/>
                                    </w:rPr>
                                    <w:t>3.07</w:t>
                                  </w:r>
                                </w:p>
                              </w:tc>
                              <w:tc>
                                <w:tcPr>
                                  <w:tcW w:w="992" w:type="dxa"/>
                                </w:tcPr>
                                <w:p w14:paraId="47FECF80"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r>
                            <w:tr w:rsidR="00C93BE0" w14:paraId="1194D542"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Pr>
                                <w:p w14:paraId="4C96F860" w14:textId="77777777" w:rsidR="00C93BE0" w:rsidRPr="006F0EDD" w:rsidRDefault="00C93BE0" w:rsidP="004E41A6">
                                  <w:pPr>
                                    <w:jc w:val="center"/>
                                    <w:rPr>
                                      <w:rFonts w:ascii="Arial" w:hAnsi="Arial" w:cs="Arial"/>
                                    </w:rPr>
                                  </w:pPr>
                                  <w:r>
                                    <w:rPr>
                                      <w:rFonts w:ascii="Arial" w:hAnsi="Arial" w:cs="Arial"/>
                                    </w:rPr>
                                    <w:t>OFA</w:t>
                                  </w:r>
                                </w:p>
                              </w:tc>
                              <w:tc>
                                <w:tcPr>
                                  <w:tcW w:w="689" w:type="dxa"/>
                                </w:tcPr>
                                <w:p w14:paraId="56C34919" w14:textId="77777777" w:rsidR="00C93BE0" w:rsidRDefault="00C93BE0" w:rsidP="004E41A6">
                                  <w:pPr>
                                    <w:jc w:val="center"/>
                                    <w:rPr>
                                      <w:rFonts w:ascii="Arial" w:hAnsi="Arial" w:cs="Arial"/>
                                      <w:sz w:val="22"/>
                                      <w:szCs w:val="22"/>
                                    </w:rPr>
                                  </w:pPr>
                                  <w:r>
                                    <w:rPr>
                                      <w:rFonts w:ascii="Arial" w:hAnsi="Arial" w:cs="Arial"/>
                                      <w:sz w:val="22"/>
                                      <w:szCs w:val="22"/>
                                    </w:rPr>
                                    <w:t>2.20</w:t>
                                  </w:r>
                                </w:p>
                              </w:tc>
                              <w:tc>
                                <w:tcPr>
                                  <w:tcW w:w="870" w:type="dxa"/>
                                </w:tcPr>
                                <w:p w14:paraId="1CD83633" w14:textId="77777777" w:rsidR="00C93BE0" w:rsidRPr="00307F06" w:rsidRDefault="00C93BE0" w:rsidP="004E41A6">
                                  <w:pPr>
                                    <w:jc w:val="center"/>
                                    <w:rPr>
                                      <w:rFonts w:ascii="Arial" w:hAnsi="Arial" w:cs="Arial"/>
                                      <w:sz w:val="22"/>
                                      <w:szCs w:val="22"/>
                                    </w:rPr>
                                  </w:pPr>
                                  <w:r>
                                    <w:rPr>
                                      <w:rFonts w:ascii="Arial" w:hAnsi="Arial" w:cs="Arial"/>
                                      <w:sz w:val="22"/>
                                      <w:szCs w:val="22"/>
                                    </w:rPr>
                                    <w:t>.199</w:t>
                                  </w:r>
                                </w:p>
                              </w:tc>
                              <w:tc>
                                <w:tcPr>
                                  <w:tcW w:w="660" w:type="dxa"/>
                                </w:tcPr>
                                <w:p w14:paraId="2DA40E82" w14:textId="77777777" w:rsidR="00C93BE0" w:rsidRDefault="00C93BE0" w:rsidP="004E41A6">
                                  <w:pPr>
                                    <w:jc w:val="center"/>
                                    <w:rPr>
                                      <w:rFonts w:ascii="Arial" w:hAnsi="Arial" w:cs="Arial"/>
                                      <w:sz w:val="22"/>
                                      <w:szCs w:val="22"/>
                                    </w:rPr>
                                  </w:pPr>
                                  <w:r>
                                    <w:rPr>
                                      <w:rFonts w:ascii="Arial" w:hAnsi="Arial" w:cs="Arial"/>
                                      <w:sz w:val="22"/>
                                      <w:szCs w:val="22"/>
                                    </w:rPr>
                                    <w:t>2.75</w:t>
                                  </w:r>
                                </w:p>
                              </w:tc>
                              <w:tc>
                                <w:tcPr>
                                  <w:tcW w:w="777" w:type="dxa"/>
                                </w:tcPr>
                                <w:p w14:paraId="09CD4BC0" w14:textId="77777777" w:rsidR="00C93BE0" w:rsidRPr="00307F06" w:rsidRDefault="00C93BE0" w:rsidP="004E41A6">
                                  <w:pPr>
                                    <w:jc w:val="center"/>
                                    <w:rPr>
                                      <w:rFonts w:ascii="Arial" w:hAnsi="Arial" w:cs="Arial"/>
                                      <w:sz w:val="22"/>
                                      <w:szCs w:val="22"/>
                                    </w:rPr>
                                  </w:pPr>
                                  <w:r>
                                    <w:rPr>
                                      <w:rFonts w:ascii="Arial" w:hAnsi="Arial" w:cs="Arial"/>
                                      <w:sz w:val="22"/>
                                      <w:szCs w:val="22"/>
                                    </w:rPr>
                                    <w:t>.052</w:t>
                                  </w:r>
                                </w:p>
                              </w:tc>
                              <w:tc>
                                <w:tcPr>
                                  <w:tcW w:w="834" w:type="dxa"/>
                                </w:tcPr>
                                <w:p w14:paraId="23DFB2E8" w14:textId="77777777" w:rsidR="00C93BE0" w:rsidRDefault="00C93BE0" w:rsidP="004E41A6">
                                  <w:pPr>
                                    <w:jc w:val="center"/>
                                    <w:rPr>
                                      <w:rFonts w:ascii="Arial" w:hAnsi="Arial" w:cs="Arial"/>
                                      <w:sz w:val="22"/>
                                      <w:szCs w:val="22"/>
                                    </w:rPr>
                                  </w:pPr>
                                  <w:r>
                                    <w:rPr>
                                      <w:rFonts w:ascii="Arial" w:hAnsi="Arial" w:cs="Arial"/>
                                      <w:sz w:val="22"/>
                                      <w:szCs w:val="22"/>
                                    </w:rPr>
                                    <w:t>3.06</w:t>
                                  </w:r>
                                </w:p>
                              </w:tc>
                              <w:tc>
                                <w:tcPr>
                                  <w:tcW w:w="848" w:type="dxa"/>
                                </w:tcPr>
                                <w:p w14:paraId="57DF43EC"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Pr>
                                <w:p w14:paraId="2B3DA62D" w14:textId="77777777" w:rsidR="00C93BE0" w:rsidRDefault="00C93BE0" w:rsidP="004E41A6">
                                  <w:pPr>
                                    <w:jc w:val="center"/>
                                    <w:rPr>
                                      <w:rFonts w:ascii="Arial" w:hAnsi="Arial" w:cs="Arial"/>
                                      <w:sz w:val="22"/>
                                      <w:szCs w:val="22"/>
                                    </w:rPr>
                                  </w:pPr>
                                  <w:r>
                                    <w:rPr>
                                      <w:rFonts w:ascii="Arial" w:hAnsi="Arial" w:cs="Arial"/>
                                      <w:sz w:val="22"/>
                                      <w:szCs w:val="22"/>
                                    </w:rPr>
                                    <w:t>1.22</w:t>
                                  </w:r>
                                </w:p>
                              </w:tc>
                              <w:tc>
                                <w:tcPr>
                                  <w:tcW w:w="851" w:type="dxa"/>
                                </w:tcPr>
                                <w:p w14:paraId="771CE655" w14:textId="77777777" w:rsidR="00C93BE0" w:rsidRPr="00307F06" w:rsidRDefault="00C93BE0" w:rsidP="004E41A6">
                                  <w:pPr>
                                    <w:jc w:val="center"/>
                                    <w:rPr>
                                      <w:rFonts w:ascii="Arial" w:hAnsi="Arial" w:cs="Arial"/>
                                      <w:sz w:val="22"/>
                                      <w:szCs w:val="22"/>
                                    </w:rPr>
                                  </w:pPr>
                                  <w:r>
                                    <w:rPr>
                                      <w:rFonts w:ascii="Arial" w:hAnsi="Arial" w:cs="Arial"/>
                                      <w:sz w:val="22"/>
                                      <w:szCs w:val="22"/>
                                    </w:rPr>
                                    <w:t>1.114</w:t>
                                  </w:r>
                                </w:p>
                              </w:tc>
                              <w:tc>
                                <w:tcPr>
                                  <w:tcW w:w="708" w:type="dxa"/>
                                </w:tcPr>
                                <w:p w14:paraId="2ABD50DA" w14:textId="77777777" w:rsidR="00C93BE0" w:rsidRDefault="00C93BE0" w:rsidP="004E41A6">
                                  <w:pPr>
                                    <w:jc w:val="center"/>
                                    <w:rPr>
                                      <w:rFonts w:ascii="Arial" w:hAnsi="Arial" w:cs="Arial"/>
                                      <w:sz w:val="22"/>
                                      <w:szCs w:val="22"/>
                                    </w:rPr>
                                  </w:pPr>
                                  <w:r>
                                    <w:rPr>
                                      <w:rFonts w:ascii="Arial" w:hAnsi="Arial" w:cs="Arial"/>
                                      <w:sz w:val="22"/>
                                      <w:szCs w:val="22"/>
                                    </w:rPr>
                                    <w:t>3.06</w:t>
                                  </w:r>
                                </w:p>
                              </w:tc>
                              <w:tc>
                                <w:tcPr>
                                  <w:tcW w:w="851" w:type="dxa"/>
                                </w:tcPr>
                                <w:p w14:paraId="3BD38C58"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709" w:type="dxa"/>
                                </w:tcPr>
                                <w:p w14:paraId="3DBBDAF2" w14:textId="77777777" w:rsidR="00C93BE0" w:rsidRDefault="00C93BE0" w:rsidP="004E41A6">
                                  <w:pPr>
                                    <w:jc w:val="center"/>
                                    <w:rPr>
                                      <w:rFonts w:ascii="Arial" w:hAnsi="Arial" w:cs="Arial"/>
                                      <w:sz w:val="22"/>
                                      <w:szCs w:val="22"/>
                                    </w:rPr>
                                  </w:pPr>
                                  <w:r>
                                    <w:rPr>
                                      <w:rFonts w:ascii="Arial" w:hAnsi="Arial" w:cs="Arial"/>
                                      <w:sz w:val="22"/>
                                      <w:szCs w:val="22"/>
                                    </w:rPr>
                                    <w:t>3.06</w:t>
                                  </w:r>
                                </w:p>
                              </w:tc>
                              <w:tc>
                                <w:tcPr>
                                  <w:tcW w:w="992" w:type="dxa"/>
                                </w:tcPr>
                                <w:p w14:paraId="6ACB3A9F"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r>
                            <w:tr w:rsidR="00C93BE0" w14:paraId="444CC408"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Borders>
                                    <w:bottom w:val="single" w:sz="8" w:space="0" w:color="000000"/>
                                  </w:tcBorders>
                                </w:tcPr>
                                <w:p w14:paraId="15C6033F" w14:textId="77777777" w:rsidR="00C93BE0" w:rsidRPr="006F0EDD" w:rsidRDefault="00C93BE0" w:rsidP="004E41A6">
                                  <w:pPr>
                                    <w:jc w:val="center"/>
                                    <w:rPr>
                                      <w:rFonts w:ascii="Arial" w:hAnsi="Arial" w:cs="Arial"/>
                                    </w:rPr>
                                  </w:pPr>
                                  <w:r>
                                    <w:rPr>
                                      <w:rFonts w:ascii="Arial" w:hAnsi="Arial" w:cs="Arial"/>
                                    </w:rPr>
                                    <w:t>STS</w:t>
                                  </w:r>
                                </w:p>
                              </w:tc>
                              <w:tc>
                                <w:tcPr>
                                  <w:tcW w:w="689" w:type="dxa"/>
                                  <w:tcBorders>
                                    <w:bottom w:val="single" w:sz="8" w:space="0" w:color="000000"/>
                                  </w:tcBorders>
                                </w:tcPr>
                                <w:p w14:paraId="68773930" w14:textId="77777777" w:rsidR="00C93BE0" w:rsidRDefault="00C93BE0" w:rsidP="004E41A6">
                                  <w:pPr>
                                    <w:jc w:val="center"/>
                                    <w:rPr>
                                      <w:rFonts w:ascii="Arial" w:hAnsi="Arial" w:cs="Arial"/>
                                      <w:sz w:val="22"/>
                                      <w:szCs w:val="22"/>
                                    </w:rPr>
                                  </w:pPr>
                                  <w:r>
                                    <w:rPr>
                                      <w:rFonts w:ascii="Arial" w:hAnsi="Arial" w:cs="Arial"/>
                                      <w:sz w:val="22"/>
                                      <w:szCs w:val="22"/>
                                    </w:rPr>
                                    <w:t>1.37</w:t>
                                  </w:r>
                                </w:p>
                              </w:tc>
                              <w:tc>
                                <w:tcPr>
                                  <w:tcW w:w="870" w:type="dxa"/>
                                  <w:tcBorders>
                                    <w:bottom w:val="single" w:sz="8" w:space="0" w:color="000000"/>
                                  </w:tcBorders>
                                </w:tcPr>
                                <w:p w14:paraId="40D9D435" w14:textId="77777777" w:rsidR="00C93BE0" w:rsidRPr="00307F06" w:rsidRDefault="00C93BE0" w:rsidP="004E41A6">
                                  <w:pPr>
                                    <w:jc w:val="center"/>
                                    <w:rPr>
                                      <w:rFonts w:ascii="Arial" w:hAnsi="Arial" w:cs="Arial"/>
                                      <w:sz w:val="22"/>
                                      <w:szCs w:val="22"/>
                                    </w:rPr>
                                  </w:pPr>
                                  <w:r>
                                    <w:rPr>
                                      <w:rFonts w:ascii="Arial" w:hAnsi="Arial" w:cs="Arial"/>
                                      <w:sz w:val="22"/>
                                      <w:szCs w:val="22"/>
                                    </w:rPr>
                                    <w:t>.865</w:t>
                                  </w:r>
                                </w:p>
                              </w:tc>
                              <w:tc>
                                <w:tcPr>
                                  <w:tcW w:w="660" w:type="dxa"/>
                                  <w:tcBorders>
                                    <w:bottom w:val="single" w:sz="8" w:space="0" w:color="000000"/>
                                  </w:tcBorders>
                                </w:tcPr>
                                <w:p w14:paraId="7FAED310" w14:textId="77777777" w:rsidR="00C93BE0" w:rsidRDefault="00C93BE0" w:rsidP="004E41A6">
                                  <w:pPr>
                                    <w:jc w:val="center"/>
                                    <w:rPr>
                                      <w:rFonts w:ascii="Arial" w:hAnsi="Arial" w:cs="Arial"/>
                                      <w:sz w:val="22"/>
                                      <w:szCs w:val="22"/>
                                    </w:rPr>
                                  </w:pPr>
                                  <w:r>
                                    <w:rPr>
                                      <w:rFonts w:ascii="Arial" w:hAnsi="Arial" w:cs="Arial"/>
                                      <w:sz w:val="22"/>
                                      <w:szCs w:val="22"/>
                                    </w:rPr>
                                    <w:t>1.58</w:t>
                                  </w:r>
                                </w:p>
                              </w:tc>
                              <w:tc>
                                <w:tcPr>
                                  <w:tcW w:w="777" w:type="dxa"/>
                                  <w:tcBorders>
                                    <w:bottom w:val="single" w:sz="8" w:space="0" w:color="000000"/>
                                  </w:tcBorders>
                                </w:tcPr>
                                <w:p w14:paraId="70E3F689" w14:textId="77777777" w:rsidR="00C93BE0" w:rsidRPr="00307F06" w:rsidRDefault="00C93BE0" w:rsidP="004E41A6">
                                  <w:pPr>
                                    <w:jc w:val="center"/>
                                    <w:rPr>
                                      <w:rFonts w:ascii="Arial" w:hAnsi="Arial" w:cs="Arial"/>
                                      <w:sz w:val="22"/>
                                      <w:szCs w:val="22"/>
                                    </w:rPr>
                                  </w:pPr>
                                  <w:r>
                                    <w:rPr>
                                      <w:rFonts w:ascii="Arial" w:hAnsi="Arial" w:cs="Arial"/>
                                      <w:sz w:val="22"/>
                                      <w:szCs w:val="22"/>
                                    </w:rPr>
                                    <w:t>.608</w:t>
                                  </w:r>
                                </w:p>
                              </w:tc>
                              <w:tc>
                                <w:tcPr>
                                  <w:tcW w:w="834" w:type="dxa"/>
                                  <w:tcBorders>
                                    <w:bottom w:val="single" w:sz="8" w:space="0" w:color="000000"/>
                                  </w:tcBorders>
                                </w:tcPr>
                                <w:p w14:paraId="7475CAFF" w14:textId="77777777" w:rsidR="00C93BE0" w:rsidRDefault="00C93BE0" w:rsidP="004E41A6">
                                  <w:pPr>
                                    <w:jc w:val="center"/>
                                    <w:rPr>
                                      <w:rFonts w:ascii="Arial" w:hAnsi="Arial" w:cs="Arial"/>
                                      <w:sz w:val="22"/>
                                      <w:szCs w:val="22"/>
                                    </w:rPr>
                                  </w:pPr>
                                  <w:r>
                                    <w:rPr>
                                      <w:rFonts w:ascii="Arial" w:hAnsi="Arial" w:cs="Arial"/>
                                      <w:sz w:val="22"/>
                                      <w:szCs w:val="22"/>
                                    </w:rPr>
                                    <w:t>3.06</w:t>
                                  </w:r>
                                </w:p>
                              </w:tc>
                              <w:tc>
                                <w:tcPr>
                                  <w:tcW w:w="848" w:type="dxa"/>
                                  <w:tcBorders>
                                    <w:bottom w:val="single" w:sz="8" w:space="0" w:color="000000"/>
                                  </w:tcBorders>
                                </w:tcPr>
                                <w:p w14:paraId="65F981C2"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Borders>
                                    <w:bottom w:val="single" w:sz="8" w:space="0" w:color="000000"/>
                                  </w:tcBorders>
                                </w:tcPr>
                                <w:p w14:paraId="2FF3E9B0" w14:textId="77777777" w:rsidR="00C93BE0" w:rsidRDefault="00C93BE0" w:rsidP="004E41A6">
                                  <w:pPr>
                                    <w:jc w:val="center"/>
                                    <w:rPr>
                                      <w:rFonts w:ascii="Arial" w:hAnsi="Arial" w:cs="Arial"/>
                                      <w:sz w:val="22"/>
                                      <w:szCs w:val="22"/>
                                    </w:rPr>
                                  </w:pPr>
                                  <w:r>
                                    <w:rPr>
                                      <w:rFonts w:ascii="Arial" w:hAnsi="Arial" w:cs="Arial"/>
                                      <w:sz w:val="22"/>
                                      <w:szCs w:val="22"/>
                                    </w:rPr>
                                    <w:t>2.12</w:t>
                                  </w:r>
                                </w:p>
                              </w:tc>
                              <w:tc>
                                <w:tcPr>
                                  <w:tcW w:w="851" w:type="dxa"/>
                                  <w:tcBorders>
                                    <w:bottom w:val="single" w:sz="8" w:space="0" w:color="000000"/>
                                  </w:tcBorders>
                                </w:tcPr>
                                <w:p w14:paraId="3B58C23B" w14:textId="77777777" w:rsidR="00C93BE0" w:rsidRPr="00307F06" w:rsidRDefault="00C93BE0" w:rsidP="004E41A6">
                                  <w:pPr>
                                    <w:jc w:val="center"/>
                                    <w:rPr>
                                      <w:rFonts w:ascii="Arial" w:hAnsi="Arial" w:cs="Arial"/>
                                      <w:sz w:val="22"/>
                                      <w:szCs w:val="22"/>
                                    </w:rPr>
                                  </w:pPr>
                                  <w:r>
                                    <w:rPr>
                                      <w:rFonts w:ascii="Arial" w:hAnsi="Arial" w:cs="Arial"/>
                                      <w:sz w:val="22"/>
                                      <w:szCs w:val="22"/>
                                    </w:rPr>
                                    <w:t>.228</w:t>
                                  </w:r>
                                </w:p>
                              </w:tc>
                              <w:tc>
                                <w:tcPr>
                                  <w:tcW w:w="708" w:type="dxa"/>
                                  <w:tcBorders>
                                    <w:bottom w:val="single" w:sz="8" w:space="0" w:color="000000"/>
                                  </w:tcBorders>
                                </w:tcPr>
                                <w:p w14:paraId="57201B3D" w14:textId="77777777" w:rsidR="00C93BE0" w:rsidRDefault="00C93BE0" w:rsidP="004E41A6">
                                  <w:pPr>
                                    <w:jc w:val="center"/>
                                    <w:rPr>
                                      <w:rFonts w:ascii="Arial" w:hAnsi="Arial" w:cs="Arial"/>
                                      <w:sz w:val="22"/>
                                      <w:szCs w:val="22"/>
                                    </w:rPr>
                                  </w:pPr>
                                  <w:r>
                                    <w:rPr>
                                      <w:rFonts w:ascii="Arial" w:hAnsi="Arial" w:cs="Arial"/>
                                      <w:sz w:val="22"/>
                                      <w:szCs w:val="22"/>
                                    </w:rPr>
                                    <w:t>3.06</w:t>
                                  </w:r>
                                </w:p>
                              </w:tc>
                              <w:tc>
                                <w:tcPr>
                                  <w:tcW w:w="851" w:type="dxa"/>
                                  <w:tcBorders>
                                    <w:bottom w:val="single" w:sz="8" w:space="0" w:color="000000"/>
                                  </w:tcBorders>
                                </w:tcPr>
                                <w:p w14:paraId="05C1C9C8"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709" w:type="dxa"/>
                                  <w:tcBorders>
                                    <w:bottom w:val="single" w:sz="8" w:space="0" w:color="000000"/>
                                  </w:tcBorders>
                                </w:tcPr>
                                <w:p w14:paraId="7666B03B" w14:textId="77777777" w:rsidR="00C93BE0" w:rsidRDefault="00C93BE0" w:rsidP="004E41A6">
                                  <w:pPr>
                                    <w:jc w:val="center"/>
                                    <w:rPr>
                                      <w:rFonts w:ascii="Arial" w:hAnsi="Arial" w:cs="Arial"/>
                                      <w:sz w:val="22"/>
                                      <w:szCs w:val="22"/>
                                    </w:rPr>
                                  </w:pPr>
                                  <w:r>
                                    <w:rPr>
                                      <w:rFonts w:ascii="Arial" w:hAnsi="Arial" w:cs="Arial"/>
                                      <w:sz w:val="22"/>
                                      <w:szCs w:val="22"/>
                                    </w:rPr>
                                    <w:t>2.51</w:t>
                                  </w:r>
                                </w:p>
                              </w:tc>
                              <w:tc>
                                <w:tcPr>
                                  <w:tcW w:w="992" w:type="dxa"/>
                                  <w:tcBorders>
                                    <w:bottom w:val="single" w:sz="8" w:space="0" w:color="000000"/>
                                  </w:tcBorders>
                                </w:tcPr>
                                <w:p w14:paraId="5C83B893" w14:textId="77777777" w:rsidR="00C93BE0" w:rsidRPr="00307F06" w:rsidRDefault="00C93BE0" w:rsidP="004E41A6">
                                  <w:pPr>
                                    <w:jc w:val="center"/>
                                    <w:rPr>
                                      <w:rFonts w:ascii="Arial" w:hAnsi="Arial" w:cs="Arial"/>
                                      <w:sz w:val="22"/>
                                      <w:szCs w:val="22"/>
                                    </w:rPr>
                                  </w:pPr>
                                  <w:r>
                                    <w:rPr>
                                      <w:rFonts w:ascii="Arial" w:hAnsi="Arial" w:cs="Arial"/>
                                      <w:sz w:val="22"/>
                                      <w:szCs w:val="22"/>
                                    </w:rPr>
                                    <w:t>.092</w:t>
                                  </w:r>
                                </w:p>
                              </w:tc>
                            </w:tr>
                          </w:tbl>
                          <w:p w14:paraId="50093E92" w14:textId="77777777" w:rsidR="00C93BE0" w:rsidRPr="006F0EDD" w:rsidRDefault="00C93BE0" w:rsidP="00D4752B">
                            <w:pPr>
                              <w:rPr>
                                <w:rFonts w:ascii="Arial" w:hAnsi="Arial" w:cs="Arial"/>
                                <w:i/>
                                <w:iCs/>
                              </w:rPr>
                            </w:pPr>
                            <w:r w:rsidRPr="006F0EDD">
                              <w:rPr>
                                <w:rFonts w:ascii="Arial" w:hAnsi="Arial" w:cs="Arial"/>
                                <w:i/>
                                <w:iCs/>
                              </w:rPr>
                              <w:t>*</w:t>
                            </w:r>
                            <w:r>
                              <w:rPr>
                                <w:rFonts w:ascii="Arial" w:hAnsi="Arial" w:cs="Arial"/>
                                <w:i/>
                                <w:iCs/>
                              </w:rPr>
                              <w:t xml:space="preserve"> p &lt;.05, ** p&lt;.01, *** p&lt;.001</w:t>
                            </w:r>
                          </w:p>
                          <w:p w14:paraId="0DB254D0" w14:textId="77777777" w:rsidR="00C93BE0" w:rsidRDefault="00C93BE0" w:rsidP="00D4752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69DEE" id="Text Box 32" o:spid="_x0000_s1067" type="#_x0000_t202" style="position:absolute;margin-left:-50.7pt;margin-top:107.25pt;width:549.25pt;height:450.7pt;rotation:-90;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" filled="f" stroked="f" strokeweight=".5pt">
                <v:textbox>
                  <w:txbxContent>
                    <w:p w14:paraId="587A6E84" w14:textId="77777777" w:rsidR="00C93BE0" w:rsidRPr="00A92335" w:rsidRDefault="00C93BE0" w:rsidP="00D4752B">
                      <w:pPr>
                        <w:pStyle w:val="Caption"/>
                        <w:keepNext/>
                        <w:rPr>
                          <w:rFonts w:ascii="Arial" w:hAnsi="Arial" w:cs="Arial"/>
                          <w:i w:val="0"/>
                          <w:iCs w:val="0"/>
                          <w:color w:val="000000" w:themeColor="text1"/>
                          <w:sz w:val="24"/>
                          <w:szCs w:val="24"/>
                        </w:rPr>
                      </w:pPr>
                      <w:r w:rsidRPr="00A92335">
                        <w:rPr>
                          <w:rFonts w:ascii="Arial" w:hAnsi="Arial" w:cs="Arial"/>
                          <w:b/>
                          <w:bCs/>
                          <w:i w:val="0"/>
                          <w:iCs w:val="0"/>
                          <w:color w:val="000000" w:themeColor="text1"/>
                          <w:sz w:val="24"/>
                          <w:szCs w:val="24"/>
                        </w:rPr>
                        <w:t xml:space="preserve">Table </w:t>
                      </w:r>
                      <w:r>
                        <w:rPr>
                          <w:rFonts w:ascii="Arial" w:hAnsi="Arial" w:cs="Arial"/>
                          <w:b/>
                          <w:bCs/>
                          <w:i w:val="0"/>
                          <w:iCs w:val="0"/>
                          <w:color w:val="000000" w:themeColor="text1"/>
                          <w:sz w:val="24"/>
                          <w:szCs w:val="24"/>
                        </w:rPr>
                        <w:t xml:space="preserve">6.2 </w:t>
                      </w:r>
                      <w:r>
                        <w:rPr>
                          <w:rFonts w:ascii="Arial" w:hAnsi="Arial" w:cs="Arial"/>
                          <w:i w:val="0"/>
                          <w:iCs w:val="0"/>
                          <w:color w:val="000000" w:themeColor="text1"/>
                          <w:sz w:val="24"/>
                          <w:szCs w:val="24"/>
                        </w:rPr>
                        <w:t>Above-chance classification is predominantly driven by differences in multivariate patterns of activation between attention to low-level visual features and faces.</w:t>
                      </w:r>
                    </w:p>
                    <w:tbl>
                      <w:tblPr>
                        <w:tblStyle w:val="TableGrid"/>
                        <w:tblW w:w="10490" w:type="dxa"/>
                        <w:tblLayout w:type="fixed"/>
                        <w:tblLook w:val="04A0" w:firstRow="1" w:lastRow="0" w:firstColumn="1" w:lastColumn="0" w:noHBand="0" w:noVBand="1"/>
                      </w:tblPr>
                      <w:tblGrid>
                        <w:gridCol w:w="851"/>
                        <w:gridCol w:w="689"/>
                        <w:gridCol w:w="870"/>
                        <w:gridCol w:w="660"/>
                        <w:gridCol w:w="777"/>
                        <w:gridCol w:w="834"/>
                        <w:gridCol w:w="848"/>
                        <w:gridCol w:w="850"/>
                        <w:gridCol w:w="851"/>
                        <w:gridCol w:w="708"/>
                        <w:gridCol w:w="851"/>
                        <w:gridCol w:w="709"/>
                        <w:gridCol w:w="992"/>
                      </w:tblGrid>
                      <w:tr w:rsidR="00C93BE0" w14:paraId="0A360D5A" w14:textId="77777777" w:rsidTr="00170639">
                        <w:tc>
                          <w:tcPr>
                            <w:tcW w:w="851" w:type="dxa"/>
                            <w:tcBorders>
                              <w:top w:val="single" w:sz="18" w:space="0" w:color="000000"/>
                              <w:left w:val="nil"/>
                              <w:bottom w:val="single" w:sz="8" w:space="0" w:color="000000"/>
                              <w:right w:val="nil"/>
                            </w:tcBorders>
                          </w:tcPr>
                          <w:p w14:paraId="6BEE9684" w14:textId="77777777" w:rsidR="00C93BE0" w:rsidRPr="006F0EDD" w:rsidRDefault="00C93BE0" w:rsidP="004E41A6">
                            <w:pPr>
                              <w:jc w:val="center"/>
                              <w:rPr>
                                <w:rFonts w:ascii="Arial" w:hAnsi="Arial" w:cs="Arial"/>
                              </w:rPr>
                            </w:pPr>
                          </w:p>
                        </w:tc>
                        <w:tc>
                          <w:tcPr>
                            <w:tcW w:w="1559" w:type="dxa"/>
                            <w:gridSpan w:val="2"/>
                            <w:tcBorders>
                              <w:top w:val="single" w:sz="18" w:space="0" w:color="000000"/>
                              <w:left w:val="nil"/>
                              <w:bottom w:val="single" w:sz="8" w:space="0" w:color="000000"/>
                              <w:right w:val="nil"/>
                            </w:tcBorders>
                          </w:tcPr>
                          <w:p w14:paraId="3B113A9E" w14:textId="600C448C" w:rsidR="00C93BE0" w:rsidRPr="006F0EDD" w:rsidRDefault="00C93BE0" w:rsidP="004E41A6">
                            <w:pPr>
                              <w:jc w:val="center"/>
                              <w:rPr>
                                <w:rFonts w:ascii="Arial" w:hAnsi="Arial" w:cs="Arial"/>
                              </w:rPr>
                            </w:pPr>
                            <w:r w:rsidRPr="006F0EDD">
                              <w:rPr>
                                <w:rFonts w:ascii="Arial" w:hAnsi="Arial" w:cs="Arial"/>
                              </w:rPr>
                              <w:t xml:space="preserve">Orientation </w:t>
                            </w:r>
                            <w:r>
                              <w:rPr>
                                <w:rFonts w:ascii="Arial" w:hAnsi="Arial" w:cs="Arial"/>
                              </w:rPr>
                              <w:t>vs.</w:t>
                            </w:r>
                            <w:r w:rsidRPr="006F0EDD">
                              <w:rPr>
                                <w:rFonts w:ascii="Arial" w:hAnsi="Arial" w:cs="Arial"/>
                              </w:rPr>
                              <w:t xml:space="preserve"> </w:t>
                            </w:r>
                            <w:r>
                              <w:rPr>
                                <w:rFonts w:ascii="Arial" w:hAnsi="Arial" w:cs="Arial"/>
                              </w:rPr>
                              <w:t>Colour</w:t>
                            </w:r>
                          </w:p>
                        </w:tc>
                        <w:tc>
                          <w:tcPr>
                            <w:tcW w:w="1437" w:type="dxa"/>
                            <w:gridSpan w:val="2"/>
                            <w:tcBorders>
                              <w:top w:val="single" w:sz="18" w:space="0" w:color="000000"/>
                              <w:left w:val="nil"/>
                              <w:bottom w:val="single" w:sz="8" w:space="0" w:color="000000"/>
                              <w:right w:val="nil"/>
                            </w:tcBorders>
                          </w:tcPr>
                          <w:p w14:paraId="1F029232" w14:textId="77777777" w:rsidR="00C93BE0" w:rsidRPr="006F0EDD" w:rsidRDefault="00C93BE0" w:rsidP="004E41A6">
                            <w:pPr>
                              <w:jc w:val="center"/>
                              <w:rPr>
                                <w:rFonts w:ascii="Arial" w:hAnsi="Arial" w:cs="Arial"/>
                              </w:rPr>
                            </w:pPr>
                            <w:r w:rsidRPr="006F0EDD">
                              <w:rPr>
                                <w:rFonts w:ascii="Arial" w:hAnsi="Arial" w:cs="Arial"/>
                              </w:rPr>
                              <w:t xml:space="preserve">Orientation </w:t>
                            </w:r>
                            <w:r>
                              <w:rPr>
                                <w:rFonts w:ascii="Arial" w:hAnsi="Arial" w:cs="Arial"/>
                              </w:rPr>
                              <w:t>vs.</w:t>
                            </w:r>
                            <w:r w:rsidRPr="006F0EDD">
                              <w:rPr>
                                <w:rFonts w:ascii="Arial" w:hAnsi="Arial" w:cs="Arial"/>
                              </w:rPr>
                              <w:t xml:space="preserve"> </w:t>
                            </w:r>
                            <w:r>
                              <w:rPr>
                                <w:rFonts w:ascii="Arial" w:hAnsi="Arial" w:cs="Arial"/>
                              </w:rPr>
                              <w:t>Shape</w:t>
                            </w:r>
                          </w:p>
                        </w:tc>
                        <w:tc>
                          <w:tcPr>
                            <w:tcW w:w="1682" w:type="dxa"/>
                            <w:gridSpan w:val="2"/>
                            <w:tcBorders>
                              <w:top w:val="single" w:sz="18" w:space="0" w:color="000000"/>
                              <w:left w:val="nil"/>
                              <w:bottom w:val="single" w:sz="8" w:space="0" w:color="000000"/>
                              <w:right w:val="nil"/>
                            </w:tcBorders>
                          </w:tcPr>
                          <w:p w14:paraId="40AF56FD" w14:textId="77777777" w:rsidR="00C93BE0" w:rsidRPr="006F0EDD" w:rsidRDefault="00C93BE0" w:rsidP="004E41A6">
                            <w:pPr>
                              <w:jc w:val="center"/>
                              <w:rPr>
                                <w:rFonts w:ascii="Arial" w:hAnsi="Arial" w:cs="Arial"/>
                              </w:rPr>
                            </w:pPr>
                            <w:r>
                              <w:rPr>
                                <w:rFonts w:ascii="Arial" w:hAnsi="Arial" w:cs="Arial"/>
                              </w:rPr>
                              <w:t>Orientation</w:t>
                            </w:r>
                            <w:r w:rsidRPr="006F0EDD">
                              <w:rPr>
                                <w:rFonts w:ascii="Arial" w:hAnsi="Arial" w:cs="Arial"/>
                              </w:rPr>
                              <w:t xml:space="preserve"> </w:t>
                            </w:r>
                            <w:r>
                              <w:rPr>
                                <w:rFonts w:ascii="Arial" w:hAnsi="Arial" w:cs="Arial"/>
                              </w:rPr>
                              <w:t>vs.</w:t>
                            </w:r>
                            <w:r w:rsidRPr="006F0EDD">
                              <w:rPr>
                                <w:rFonts w:ascii="Arial" w:hAnsi="Arial" w:cs="Arial"/>
                              </w:rPr>
                              <w:t xml:space="preserve"> </w:t>
                            </w:r>
                            <w:r>
                              <w:rPr>
                                <w:rFonts w:ascii="Arial" w:hAnsi="Arial" w:cs="Arial"/>
                              </w:rPr>
                              <w:t>Face</w:t>
                            </w:r>
                          </w:p>
                        </w:tc>
                        <w:tc>
                          <w:tcPr>
                            <w:tcW w:w="1701" w:type="dxa"/>
                            <w:gridSpan w:val="2"/>
                            <w:tcBorders>
                              <w:top w:val="single" w:sz="18" w:space="0" w:color="000000"/>
                              <w:left w:val="nil"/>
                              <w:bottom w:val="single" w:sz="8" w:space="0" w:color="000000"/>
                              <w:right w:val="nil"/>
                            </w:tcBorders>
                          </w:tcPr>
                          <w:p w14:paraId="21A9050C" w14:textId="51AEA0C0" w:rsidR="00C93BE0" w:rsidRDefault="00C93BE0" w:rsidP="004E41A6">
                            <w:pPr>
                              <w:jc w:val="center"/>
                              <w:rPr>
                                <w:rFonts w:ascii="Arial" w:hAnsi="Arial" w:cs="Arial"/>
                              </w:rPr>
                            </w:pPr>
                            <w:r>
                              <w:rPr>
                                <w:rFonts w:ascii="Arial" w:hAnsi="Arial" w:cs="Arial"/>
                              </w:rPr>
                              <w:t>Colour vs. Shape</w:t>
                            </w:r>
                          </w:p>
                        </w:tc>
                        <w:tc>
                          <w:tcPr>
                            <w:tcW w:w="1559" w:type="dxa"/>
                            <w:gridSpan w:val="2"/>
                            <w:tcBorders>
                              <w:top w:val="single" w:sz="18" w:space="0" w:color="000000"/>
                              <w:left w:val="nil"/>
                              <w:bottom w:val="single" w:sz="8" w:space="0" w:color="000000"/>
                              <w:right w:val="nil"/>
                            </w:tcBorders>
                          </w:tcPr>
                          <w:p w14:paraId="6C336EBB" w14:textId="3359C330" w:rsidR="00C93BE0" w:rsidRDefault="00C93BE0" w:rsidP="004E41A6">
                            <w:pPr>
                              <w:jc w:val="center"/>
                              <w:rPr>
                                <w:rFonts w:ascii="Arial" w:hAnsi="Arial" w:cs="Arial"/>
                              </w:rPr>
                            </w:pPr>
                            <w:r>
                              <w:rPr>
                                <w:rFonts w:ascii="Arial" w:hAnsi="Arial" w:cs="Arial"/>
                              </w:rPr>
                              <w:t>Colour vs. Face</w:t>
                            </w:r>
                          </w:p>
                        </w:tc>
                        <w:tc>
                          <w:tcPr>
                            <w:tcW w:w="1701" w:type="dxa"/>
                            <w:gridSpan w:val="2"/>
                            <w:tcBorders>
                              <w:top w:val="single" w:sz="18" w:space="0" w:color="000000"/>
                              <w:left w:val="nil"/>
                              <w:bottom w:val="single" w:sz="8" w:space="0" w:color="000000"/>
                              <w:right w:val="nil"/>
                            </w:tcBorders>
                          </w:tcPr>
                          <w:p w14:paraId="0C2BDFD1" w14:textId="77777777" w:rsidR="00C93BE0" w:rsidRDefault="00C93BE0" w:rsidP="004E41A6">
                            <w:pPr>
                              <w:jc w:val="center"/>
                              <w:rPr>
                                <w:rFonts w:ascii="Arial" w:hAnsi="Arial" w:cs="Arial"/>
                              </w:rPr>
                            </w:pPr>
                            <w:r>
                              <w:rPr>
                                <w:rFonts w:ascii="Arial" w:hAnsi="Arial" w:cs="Arial"/>
                              </w:rPr>
                              <w:t>Shape vs. Face</w:t>
                            </w:r>
                          </w:p>
                        </w:tc>
                      </w:tr>
                      <w:tr w:rsidR="00C93BE0" w14:paraId="4CDEF674"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Borders>
                              <w:top w:val="single" w:sz="8" w:space="0" w:color="000000"/>
                              <w:bottom w:val="single" w:sz="8" w:space="0" w:color="000000"/>
                            </w:tcBorders>
                          </w:tcPr>
                          <w:p w14:paraId="56AAE08E" w14:textId="77777777" w:rsidR="00C93BE0" w:rsidRPr="006F0EDD" w:rsidRDefault="00C93BE0" w:rsidP="004E41A6">
                            <w:pPr>
                              <w:jc w:val="center"/>
                              <w:rPr>
                                <w:rFonts w:ascii="Arial" w:hAnsi="Arial" w:cs="Arial"/>
                              </w:rPr>
                            </w:pPr>
                            <w:r>
                              <w:rPr>
                                <w:rFonts w:ascii="Arial" w:hAnsi="Arial" w:cs="Arial"/>
                              </w:rPr>
                              <w:t>ROI</w:t>
                            </w:r>
                          </w:p>
                        </w:tc>
                        <w:tc>
                          <w:tcPr>
                            <w:tcW w:w="689" w:type="dxa"/>
                            <w:tcBorders>
                              <w:top w:val="single" w:sz="8" w:space="0" w:color="000000"/>
                              <w:bottom w:val="single" w:sz="8" w:space="0" w:color="auto"/>
                            </w:tcBorders>
                          </w:tcPr>
                          <w:p w14:paraId="74757D87" w14:textId="77777777" w:rsidR="00C93BE0" w:rsidRPr="006F0EDD" w:rsidRDefault="00C93BE0" w:rsidP="004E41A6">
                            <w:pPr>
                              <w:jc w:val="center"/>
                              <w:rPr>
                                <w:rFonts w:ascii="Arial" w:hAnsi="Arial" w:cs="Arial"/>
                              </w:rPr>
                            </w:pPr>
                            <w:r>
                              <w:rPr>
                                <w:rFonts w:ascii="Arial" w:hAnsi="Arial" w:cs="Arial"/>
                              </w:rPr>
                              <w:t>Z</w:t>
                            </w:r>
                          </w:p>
                        </w:tc>
                        <w:tc>
                          <w:tcPr>
                            <w:tcW w:w="870" w:type="dxa"/>
                            <w:tcBorders>
                              <w:top w:val="single" w:sz="8" w:space="0" w:color="000000"/>
                              <w:bottom w:val="single" w:sz="8" w:space="0" w:color="auto"/>
                            </w:tcBorders>
                          </w:tcPr>
                          <w:p w14:paraId="5A5D8AFE" w14:textId="77777777" w:rsidR="00C93BE0" w:rsidRPr="006F0EDD" w:rsidRDefault="00C93BE0" w:rsidP="004E41A6">
                            <w:pPr>
                              <w:jc w:val="center"/>
                              <w:rPr>
                                <w:rFonts w:ascii="Arial" w:hAnsi="Arial" w:cs="Arial"/>
                                <w:i/>
                                <w:iCs/>
                              </w:rPr>
                            </w:pPr>
                            <w:r>
                              <w:rPr>
                                <w:rFonts w:ascii="Arial" w:hAnsi="Arial" w:cs="Arial"/>
                                <w:i/>
                                <w:iCs/>
                              </w:rPr>
                              <w:t>p</w:t>
                            </w:r>
                          </w:p>
                        </w:tc>
                        <w:tc>
                          <w:tcPr>
                            <w:tcW w:w="660" w:type="dxa"/>
                            <w:tcBorders>
                              <w:top w:val="single" w:sz="8" w:space="0" w:color="000000"/>
                              <w:bottom w:val="single" w:sz="8" w:space="0" w:color="auto"/>
                            </w:tcBorders>
                          </w:tcPr>
                          <w:p w14:paraId="51AA224A" w14:textId="77777777" w:rsidR="00C93BE0" w:rsidRPr="006F0EDD" w:rsidRDefault="00C93BE0" w:rsidP="004E41A6">
                            <w:pPr>
                              <w:jc w:val="center"/>
                              <w:rPr>
                                <w:rFonts w:ascii="Arial" w:hAnsi="Arial" w:cs="Arial"/>
                              </w:rPr>
                            </w:pPr>
                            <w:r>
                              <w:rPr>
                                <w:rFonts w:ascii="Arial" w:hAnsi="Arial" w:cs="Arial"/>
                              </w:rPr>
                              <w:t>Z</w:t>
                            </w:r>
                          </w:p>
                        </w:tc>
                        <w:tc>
                          <w:tcPr>
                            <w:tcW w:w="777" w:type="dxa"/>
                            <w:tcBorders>
                              <w:top w:val="single" w:sz="8" w:space="0" w:color="000000"/>
                              <w:bottom w:val="single" w:sz="8" w:space="0" w:color="auto"/>
                            </w:tcBorders>
                          </w:tcPr>
                          <w:p w14:paraId="06F25FEE" w14:textId="77777777" w:rsidR="00C93BE0" w:rsidRPr="006F0EDD" w:rsidRDefault="00C93BE0" w:rsidP="004E41A6">
                            <w:pPr>
                              <w:jc w:val="center"/>
                              <w:rPr>
                                <w:rFonts w:ascii="Arial" w:hAnsi="Arial" w:cs="Arial"/>
                                <w:i/>
                                <w:iCs/>
                              </w:rPr>
                            </w:pPr>
                            <w:r>
                              <w:rPr>
                                <w:rFonts w:ascii="Arial" w:hAnsi="Arial" w:cs="Arial"/>
                                <w:i/>
                                <w:iCs/>
                              </w:rPr>
                              <w:t>p</w:t>
                            </w:r>
                          </w:p>
                        </w:tc>
                        <w:tc>
                          <w:tcPr>
                            <w:tcW w:w="834" w:type="dxa"/>
                            <w:tcBorders>
                              <w:top w:val="single" w:sz="8" w:space="0" w:color="000000"/>
                              <w:bottom w:val="single" w:sz="8" w:space="0" w:color="auto"/>
                            </w:tcBorders>
                          </w:tcPr>
                          <w:p w14:paraId="1B56E848" w14:textId="77777777" w:rsidR="00C93BE0" w:rsidRPr="006F0EDD" w:rsidRDefault="00C93BE0" w:rsidP="004E41A6">
                            <w:pPr>
                              <w:jc w:val="center"/>
                              <w:rPr>
                                <w:rFonts w:ascii="Arial" w:hAnsi="Arial" w:cs="Arial"/>
                              </w:rPr>
                            </w:pPr>
                            <w:r>
                              <w:rPr>
                                <w:rFonts w:ascii="Arial" w:hAnsi="Arial" w:cs="Arial"/>
                              </w:rPr>
                              <w:t>Z</w:t>
                            </w:r>
                          </w:p>
                        </w:tc>
                        <w:tc>
                          <w:tcPr>
                            <w:tcW w:w="848" w:type="dxa"/>
                            <w:tcBorders>
                              <w:top w:val="single" w:sz="8" w:space="0" w:color="000000"/>
                              <w:bottom w:val="single" w:sz="8" w:space="0" w:color="auto"/>
                            </w:tcBorders>
                          </w:tcPr>
                          <w:p w14:paraId="7019DC2F" w14:textId="77777777" w:rsidR="00C93BE0" w:rsidRPr="006F0EDD" w:rsidRDefault="00C93BE0" w:rsidP="004E41A6">
                            <w:pPr>
                              <w:jc w:val="center"/>
                              <w:rPr>
                                <w:rFonts w:ascii="Arial" w:hAnsi="Arial" w:cs="Arial"/>
                                <w:i/>
                                <w:iCs/>
                              </w:rPr>
                            </w:pPr>
                            <w:r>
                              <w:rPr>
                                <w:rFonts w:ascii="Arial" w:hAnsi="Arial" w:cs="Arial"/>
                                <w:i/>
                                <w:iCs/>
                              </w:rPr>
                              <w:t>p</w:t>
                            </w:r>
                          </w:p>
                        </w:tc>
                        <w:tc>
                          <w:tcPr>
                            <w:tcW w:w="850" w:type="dxa"/>
                            <w:tcBorders>
                              <w:top w:val="single" w:sz="8" w:space="0" w:color="000000"/>
                              <w:bottom w:val="single" w:sz="8" w:space="0" w:color="000000"/>
                            </w:tcBorders>
                          </w:tcPr>
                          <w:p w14:paraId="2B20E299" w14:textId="77777777" w:rsidR="00C93BE0" w:rsidRDefault="00C93BE0" w:rsidP="004E41A6">
                            <w:pPr>
                              <w:jc w:val="center"/>
                              <w:rPr>
                                <w:rFonts w:ascii="Arial" w:hAnsi="Arial" w:cs="Arial"/>
                                <w:i/>
                                <w:iCs/>
                              </w:rPr>
                            </w:pPr>
                            <w:r>
                              <w:rPr>
                                <w:rFonts w:ascii="Arial" w:hAnsi="Arial" w:cs="Arial"/>
                              </w:rPr>
                              <w:t>Z</w:t>
                            </w:r>
                          </w:p>
                        </w:tc>
                        <w:tc>
                          <w:tcPr>
                            <w:tcW w:w="851" w:type="dxa"/>
                            <w:tcBorders>
                              <w:top w:val="single" w:sz="8" w:space="0" w:color="000000"/>
                              <w:bottom w:val="single" w:sz="8" w:space="0" w:color="000000"/>
                            </w:tcBorders>
                          </w:tcPr>
                          <w:p w14:paraId="27A1D43C" w14:textId="77777777" w:rsidR="00C93BE0" w:rsidRDefault="00C93BE0" w:rsidP="004E41A6">
                            <w:pPr>
                              <w:jc w:val="center"/>
                              <w:rPr>
                                <w:rFonts w:ascii="Arial" w:hAnsi="Arial" w:cs="Arial"/>
                                <w:i/>
                                <w:iCs/>
                              </w:rPr>
                            </w:pPr>
                            <w:r>
                              <w:rPr>
                                <w:rFonts w:ascii="Arial" w:hAnsi="Arial" w:cs="Arial"/>
                                <w:i/>
                                <w:iCs/>
                              </w:rPr>
                              <w:t>p</w:t>
                            </w:r>
                          </w:p>
                        </w:tc>
                        <w:tc>
                          <w:tcPr>
                            <w:tcW w:w="708" w:type="dxa"/>
                            <w:tcBorders>
                              <w:top w:val="single" w:sz="8" w:space="0" w:color="000000"/>
                              <w:bottom w:val="single" w:sz="8" w:space="0" w:color="000000"/>
                            </w:tcBorders>
                          </w:tcPr>
                          <w:p w14:paraId="0657D4AC" w14:textId="77777777" w:rsidR="00C93BE0" w:rsidRDefault="00C93BE0" w:rsidP="004E41A6">
                            <w:pPr>
                              <w:jc w:val="center"/>
                              <w:rPr>
                                <w:rFonts w:ascii="Arial" w:hAnsi="Arial" w:cs="Arial"/>
                                <w:i/>
                                <w:iCs/>
                              </w:rPr>
                            </w:pPr>
                            <w:r>
                              <w:rPr>
                                <w:rFonts w:ascii="Arial" w:hAnsi="Arial" w:cs="Arial"/>
                              </w:rPr>
                              <w:t>Z</w:t>
                            </w:r>
                          </w:p>
                        </w:tc>
                        <w:tc>
                          <w:tcPr>
                            <w:tcW w:w="851" w:type="dxa"/>
                            <w:tcBorders>
                              <w:top w:val="single" w:sz="8" w:space="0" w:color="000000"/>
                              <w:bottom w:val="single" w:sz="8" w:space="0" w:color="000000"/>
                            </w:tcBorders>
                          </w:tcPr>
                          <w:p w14:paraId="728679E9" w14:textId="77777777" w:rsidR="00C93BE0" w:rsidRDefault="00C93BE0" w:rsidP="004E41A6">
                            <w:pPr>
                              <w:jc w:val="center"/>
                              <w:rPr>
                                <w:rFonts w:ascii="Arial" w:hAnsi="Arial" w:cs="Arial"/>
                                <w:i/>
                                <w:iCs/>
                              </w:rPr>
                            </w:pPr>
                            <w:r>
                              <w:rPr>
                                <w:rFonts w:ascii="Arial" w:hAnsi="Arial" w:cs="Arial"/>
                                <w:i/>
                                <w:iCs/>
                              </w:rPr>
                              <w:t>p</w:t>
                            </w:r>
                          </w:p>
                        </w:tc>
                        <w:tc>
                          <w:tcPr>
                            <w:tcW w:w="709" w:type="dxa"/>
                            <w:tcBorders>
                              <w:top w:val="single" w:sz="8" w:space="0" w:color="000000"/>
                              <w:bottom w:val="single" w:sz="8" w:space="0" w:color="000000"/>
                            </w:tcBorders>
                          </w:tcPr>
                          <w:p w14:paraId="2BFFDF06" w14:textId="77777777" w:rsidR="00C93BE0" w:rsidRDefault="00C93BE0" w:rsidP="004E41A6">
                            <w:pPr>
                              <w:jc w:val="center"/>
                              <w:rPr>
                                <w:rFonts w:ascii="Arial" w:hAnsi="Arial" w:cs="Arial"/>
                                <w:i/>
                                <w:iCs/>
                              </w:rPr>
                            </w:pPr>
                            <w:r>
                              <w:rPr>
                                <w:rFonts w:ascii="Arial" w:hAnsi="Arial" w:cs="Arial"/>
                              </w:rPr>
                              <w:t>Z</w:t>
                            </w:r>
                          </w:p>
                        </w:tc>
                        <w:tc>
                          <w:tcPr>
                            <w:tcW w:w="992" w:type="dxa"/>
                            <w:tcBorders>
                              <w:top w:val="single" w:sz="8" w:space="0" w:color="000000"/>
                              <w:bottom w:val="single" w:sz="8" w:space="0" w:color="000000"/>
                            </w:tcBorders>
                          </w:tcPr>
                          <w:p w14:paraId="121BBAEE" w14:textId="77777777" w:rsidR="00C93BE0" w:rsidRDefault="00C93BE0" w:rsidP="004E41A6">
                            <w:pPr>
                              <w:jc w:val="center"/>
                              <w:rPr>
                                <w:rFonts w:ascii="Arial" w:hAnsi="Arial" w:cs="Arial"/>
                                <w:i/>
                                <w:iCs/>
                              </w:rPr>
                            </w:pPr>
                            <w:r>
                              <w:rPr>
                                <w:rFonts w:ascii="Arial" w:hAnsi="Arial" w:cs="Arial"/>
                                <w:i/>
                                <w:iCs/>
                              </w:rPr>
                              <w:t>p</w:t>
                            </w:r>
                          </w:p>
                        </w:tc>
                      </w:tr>
                      <w:tr w:rsidR="00C93BE0" w14:paraId="0BBAEC51"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Borders>
                              <w:top w:val="single" w:sz="8" w:space="0" w:color="000000"/>
                            </w:tcBorders>
                          </w:tcPr>
                          <w:p w14:paraId="20A1B09C" w14:textId="77777777" w:rsidR="00C93BE0" w:rsidRPr="006F0EDD" w:rsidRDefault="00C93BE0" w:rsidP="004E41A6">
                            <w:pPr>
                              <w:jc w:val="center"/>
                              <w:rPr>
                                <w:rFonts w:ascii="Arial" w:hAnsi="Arial" w:cs="Arial"/>
                              </w:rPr>
                            </w:pPr>
                            <w:r w:rsidRPr="006F0EDD">
                              <w:rPr>
                                <w:rFonts w:ascii="Arial" w:hAnsi="Arial" w:cs="Arial"/>
                              </w:rPr>
                              <w:t>V1</w:t>
                            </w:r>
                          </w:p>
                        </w:tc>
                        <w:tc>
                          <w:tcPr>
                            <w:tcW w:w="689" w:type="dxa"/>
                            <w:tcBorders>
                              <w:top w:val="single" w:sz="8" w:space="0" w:color="auto"/>
                            </w:tcBorders>
                          </w:tcPr>
                          <w:p w14:paraId="76011CCC" w14:textId="77777777" w:rsidR="00C93BE0" w:rsidRPr="00307F06" w:rsidRDefault="00C93BE0" w:rsidP="004E41A6">
                            <w:pPr>
                              <w:jc w:val="center"/>
                              <w:rPr>
                                <w:rFonts w:ascii="Arial" w:hAnsi="Arial" w:cs="Arial"/>
                                <w:sz w:val="22"/>
                                <w:szCs w:val="22"/>
                              </w:rPr>
                            </w:pPr>
                            <w:r w:rsidRPr="00307F06">
                              <w:rPr>
                                <w:rFonts w:ascii="Arial" w:hAnsi="Arial" w:cs="Arial"/>
                                <w:sz w:val="22"/>
                                <w:szCs w:val="22"/>
                              </w:rPr>
                              <w:t>2.40</w:t>
                            </w:r>
                          </w:p>
                        </w:tc>
                        <w:tc>
                          <w:tcPr>
                            <w:tcW w:w="870" w:type="dxa"/>
                            <w:tcBorders>
                              <w:top w:val="single" w:sz="8" w:space="0" w:color="auto"/>
                            </w:tcBorders>
                          </w:tcPr>
                          <w:p w14:paraId="23BAACEE" w14:textId="77777777" w:rsidR="00C93BE0" w:rsidRPr="00307F06" w:rsidRDefault="00C93BE0" w:rsidP="004E41A6">
                            <w:pPr>
                              <w:jc w:val="center"/>
                              <w:rPr>
                                <w:rFonts w:ascii="Arial" w:hAnsi="Arial" w:cs="Arial"/>
                                <w:sz w:val="22"/>
                                <w:szCs w:val="22"/>
                              </w:rPr>
                            </w:pPr>
                            <w:r>
                              <w:rPr>
                                <w:rFonts w:ascii="Arial" w:hAnsi="Arial" w:cs="Arial"/>
                                <w:sz w:val="22"/>
                                <w:szCs w:val="22"/>
                              </w:rPr>
                              <w:t>.120</w:t>
                            </w:r>
                          </w:p>
                        </w:tc>
                        <w:tc>
                          <w:tcPr>
                            <w:tcW w:w="660" w:type="dxa"/>
                            <w:tcBorders>
                              <w:top w:val="single" w:sz="8" w:space="0" w:color="auto"/>
                            </w:tcBorders>
                          </w:tcPr>
                          <w:p w14:paraId="4B88F2D0" w14:textId="77777777" w:rsidR="00C93BE0" w:rsidRPr="00307F06" w:rsidRDefault="00C93BE0" w:rsidP="004E41A6">
                            <w:pPr>
                              <w:jc w:val="center"/>
                              <w:rPr>
                                <w:rFonts w:ascii="Arial" w:hAnsi="Arial" w:cs="Arial"/>
                                <w:sz w:val="22"/>
                                <w:szCs w:val="22"/>
                              </w:rPr>
                            </w:pPr>
                            <w:r w:rsidRPr="00307F06">
                              <w:rPr>
                                <w:rFonts w:ascii="Arial" w:hAnsi="Arial" w:cs="Arial"/>
                                <w:sz w:val="22"/>
                                <w:szCs w:val="22"/>
                              </w:rPr>
                              <w:t>2.12</w:t>
                            </w:r>
                          </w:p>
                        </w:tc>
                        <w:tc>
                          <w:tcPr>
                            <w:tcW w:w="777" w:type="dxa"/>
                            <w:tcBorders>
                              <w:top w:val="single" w:sz="8" w:space="0" w:color="auto"/>
                            </w:tcBorders>
                          </w:tcPr>
                          <w:p w14:paraId="5FD7F2EC" w14:textId="77777777" w:rsidR="00C93BE0" w:rsidRPr="00307F06" w:rsidRDefault="00C93BE0" w:rsidP="004E41A6">
                            <w:pPr>
                              <w:jc w:val="center"/>
                              <w:rPr>
                                <w:rFonts w:ascii="Arial" w:hAnsi="Arial" w:cs="Arial"/>
                                <w:sz w:val="22"/>
                                <w:szCs w:val="22"/>
                              </w:rPr>
                            </w:pPr>
                            <w:r>
                              <w:rPr>
                                <w:rFonts w:ascii="Arial" w:hAnsi="Arial" w:cs="Arial"/>
                                <w:sz w:val="22"/>
                                <w:szCs w:val="22"/>
                              </w:rPr>
                              <w:t>.228</w:t>
                            </w:r>
                          </w:p>
                        </w:tc>
                        <w:tc>
                          <w:tcPr>
                            <w:tcW w:w="834" w:type="dxa"/>
                            <w:tcBorders>
                              <w:top w:val="single" w:sz="8" w:space="0" w:color="auto"/>
                            </w:tcBorders>
                          </w:tcPr>
                          <w:p w14:paraId="7A8F2E02" w14:textId="77777777" w:rsidR="00C93BE0" w:rsidRPr="00307F06" w:rsidRDefault="00C93BE0" w:rsidP="004E41A6">
                            <w:pPr>
                              <w:jc w:val="center"/>
                              <w:rPr>
                                <w:rFonts w:ascii="Arial" w:hAnsi="Arial" w:cs="Arial"/>
                                <w:sz w:val="22"/>
                                <w:szCs w:val="22"/>
                              </w:rPr>
                            </w:pPr>
                            <w:r w:rsidRPr="00307F06">
                              <w:rPr>
                                <w:rFonts w:ascii="Arial" w:hAnsi="Arial" w:cs="Arial"/>
                                <w:sz w:val="22"/>
                                <w:szCs w:val="22"/>
                              </w:rPr>
                              <w:t>3.07</w:t>
                            </w:r>
                          </w:p>
                        </w:tc>
                        <w:tc>
                          <w:tcPr>
                            <w:tcW w:w="848" w:type="dxa"/>
                            <w:tcBorders>
                              <w:top w:val="single" w:sz="8" w:space="0" w:color="auto"/>
                            </w:tcBorders>
                          </w:tcPr>
                          <w:p w14:paraId="61E5009B"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Borders>
                              <w:top w:val="single" w:sz="8" w:space="0" w:color="000000"/>
                            </w:tcBorders>
                          </w:tcPr>
                          <w:p w14:paraId="29551A25" w14:textId="77777777" w:rsidR="00C93BE0" w:rsidRPr="00307F06" w:rsidRDefault="00C93BE0" w:rsidP="004E41A6">
                            <w:pPr>
                              <w:jc w:val="center"/>
                              <w:rPr>
                                <w:rFonts w:ascii="Arial" w:hAnsi="Arial" w:cs="Arial"/>
                                <w:sz w:val="22"/>
                                <w:szCs w:val="22"/>
                              </w:rPr>
                            </w:pPr>
                            <w:r w:rsidRPr="00307F06">
                              <w:rPr>
                                <w:rFonts w:ascii="Arial" w:hAnsi="Arial" w:cs="Arial"/>
                                <w:sz w:val="22"/>
                                <w:szCs w:val="22"/>
                              </w:rPr>
                              <w:t>-0.10</w:t>
                            </w:r>
                          </w:p>
                        </w:tc>
                        <w:tc>
                          <w:tcPr>
                            <w:tcW w:w="851" w:type="dxa"/>
                            <w:tcBorders>
                              <w:top w:val="single" w:sz="8" w:space="0" w:color="000000"/>
                            </w:tcBorders>
                          </w:tcPr>
                          <w:p w14:paraId="40D8BD21" w14:textId="77777777" w:rsidR="00C93BE0" w:rsidRPr="00307F06" w:rsidRDefault="00C93BE0" w:rsidP="004E41A6">
                            <w:pPr>
                              <w:jc w:val="center"/>
                              <w:rPr>
                                <w:rFonts w:ascii="Arial" w:hAnsi="Arial" w:cs="Arial"/>
                                <w:sz w:val="22"/>
                                <w:szCs w:val="22"/>
                              </w:rPr>
                            </w:pPr>
                            <w:r>
                              <w:rPr>
                                <w:rFonts w:ascii="Arial" w:hAnsi="Arial" w:cs="Arial"/>
                                <w:sz w:val="22"/>
                                <w:szCs w:val="22"/>
                              </w:rPr>
                              <w:t>4.10</w:t>
                            </w:r>
                          </w:p>
                        </w:tc>
                        <w:tc>
                          <w:tcPr>
                            <w:tcW w:w="708" w:type="dxa"/>
                            <w:tcBorders>
                              <w:top w:val="single" w:sz="8" w:space="0" w:color="000000"/>
                            </w:tcBorders>
                          </w:tcPr>
                          <w:p w14:paraId="55DC83F6" w14:textId="77777777" w:rsidR="00C93BE0" w:rsidRPr="00307F06" w:rsidRDefault="00C93BE0" w:rsidP="004E41A6">
                            <w:pPr>
                              <w:jc w:val="center"/>
                              <w:rPr>
                                <w:rFonts w:ascii="Arial" w:hAnsi="Arial" w:cs="Arial"/>
                                <w:sz w:val="22"/>
                                <w:szCs w:val="22"/>
                              </w:rPr>
                            </w:pPr>
                            <w:r w:rsidRPr="00307F06">
                              <w:rPr>
                                <w:rFonts w:ascii="Arial" w:hAnsi="Arial" w:cs="Arial"/>
                                <w:sz w:val="22"/>
                                <w:szCs w:val="22"/>
                              </w:rPr>
                              <w:t>2</w:t>
                            </w:r>
                            <w:r>
                              <w:rPr>
                                <w:rFonts w:ascii="Arial" w:hAnsi="Arial" w:cs="Arial"/>
                                <w:sz w:val="22"/>
                                <w:szCs w:val="22"/>
                              </w:rPr>
                              <w:t>.</w:t>
                            </w:r>
                            <w:r w:rsidRPr="00307F06">
                              <w:rPr>
                                <w:rFonts w:ascii="Arial" w:hAnsi="Arial" w:cs="Arial"/>
                                <w:sz w:val="22"/>
                                <w:szCs w:val="22"/>
                              </w:rPr>
                              <w:t>99</w:t>
                            </w:r>
                          </w:p>
                        </w:tc>
                        <w:tc>
                          <w:tcPr>
                            <w:tcW w:w="851" w:type="dxa"/>
                            <w:tcBorders>
                              <w:top w:val="single" w:sz="8" w:space="0" w:color="000000"/>
                            </w:tcBorders>
                          </w:tcPr>
                          <w:p w14:paraId="07BF6091" w14:textId="77777777" w:rsidR="00C93BE0" w:rsidRPr="00307F06" w:rsidRDefault="00C93BE0" w:rsidP="004E41A6">
                            <w:pPr>
                              <w:jc w:val="center"/>
                              <w:rPr>
                                <w:rFonts w:ascii="Arial" w:hAnsi="Arial" w:cs="Arial"/>
                                <w:sz w:val="22"/>
                                <w:szCs w:val="22"/>
                              </w:rPr>
                            </w:pPr>
                            <w:r>
                              <w:rPr>
                                <w:rFonts w:ascii="Arial" w:hAnsi="Arial" w:cs="Arial"/>
                                <w:sz w:val="22"/>
                                <w:szCs w:val="22"/>
                              </w:rPr>
                              <w:t>.031*</w:t>
                            </w:r>
                          </w:p>
                        </w:tc>
                        <w:tc>
                          <w:tcPr>
                            <w:tcW w:w="709" w:type="dxa"/>
                            <w:tcBorders>
                              <w:top w:val="single" w:sz="8" w:space="0" w:color="000000"/>
                            </w:tcBorders>
                          </w:tcPr>
                          <w:p w14:paraId="53E8593D" w14:textId="77777777" w:rsidR="00C93BE0" w:rsidRPr="00307F06" w:rsidRDefault="00C93BE0" w:rsidP="004E41A6">
                            <w:pPr>
                              <w:jc w:val="center"/>
                              <w:rPr>
                                <w:rFonts w:ascii="Arial" w:hAnsi="Arial" w:cs="Arial"/>
                                <w:sz w:val="22"/>
                                <w:szCs w:val="22"/>
                              </w:rPr>
                            </w:pPr>
                            <w:r w:rsidRPr="00307F06">
                              <w:rPr>
                                <w:rFonts w:ascii="Arial" w:hAnsi="Arial" w:cs="Arial"/>
                                <w:sz w:val="22"/>
                                <w:szCs w:val="22"/>
                              </w:rPr>
                              <w:t>2.67</w:t>
                            </w:r>
                          </w:p>
                        </w:tc>
                        <w:tc>
                          <w:tcPr>
                            <w:tcW w:w="992" w:type="dxa"/>
                            <w:tcBorders>
                              <w:top w:val="single" w:sz="8" w:space="0" w:color="000000"/>
                            </w:tcBorders>
                          </w:tcPr>
                          <w:p w14:paraId="13B46CB4" w14:textId="77777777" w:rsidR="00C93BE0" w:rsidRPr="00307F06" w:rsidRDefault="00C93BE0" w:rsidP="004E41A6">
                            <w:pPr>
                              <w:jc w:val="center"/>
                              <w:rPr>
                                <w:rFonts w:ascii="Arial" w:hAnsi="Arial" w:cs="Arial"/>
                                <w:sz w:val="22"/>
                                <w:szCs w:val="22"/>
                              </w:rPr>
                            </w:pPr>
                            <w:r>
                              <w:rPr>
                                <w:rFonts w:ascii="Arial" w:hAnsi="Arial" w:cs="Arial"/>
                                <w:sz w:val="22"/>
                                <w:szCs w:val="22"/>
                              </w:rPr>
                              <w:t>.062</w:t>
                            </w:r>
                          </w:p>
                        </w:tc>
                      </w:tr>
                      <w:tr w:rsidR="00C93BE0" w14:paraId="301C12BA"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Pr>
                          <w:p w14:paraId="1D089860" w14:textId="1D7DF1F1" w:rsidR="00C93BE0" w:rsidRPr="00170639" w:rsidRDefault="00C93BE0" w:rsidP="004E41A6">
                            <w:pPr>
                              <w:jc w:val="center"/>
                              <w:rPr>
                                <w:rFonts w:ascii="Arial" w:hAnsi="Arial" w:cs="Arial"/>
                                <w:sz w:val="22"/>
                                <w:szCs w:val="22"/>
                              </w:rPr>
                            </w:pPr>
                            <w:r w:rsidRPr="00170639">
                              <w:rPr>
                                <w:rFonts w:ascii="Arial" w:hAnsi="Arial" w:cs="Arial"/>
                                <w:sz w:val="22"/>
                                <w:szCs w:val="22"/>
                              </w:rPr>
                              <w:t>V3A/B</w:t>
                            </w:r>
                          </w:p>
                        </w:tc>
                        <w:tc>
                          <w:tcPr>
                            <w:tcW w:w="689" w:type="dxa"/>
                          </w:tcPr>
                          <w:p w14:paraId="6DCA5026" w14:textId="77777777" w:rsidR="00C93BE0" w:rsidRPr="00307F06" w:rsidRDefault="00C93BE0" w:rsidP="004E41A6">
                            <w:pPr>
                              <w:jc w:val="center"/>
                              <w:rPr>
                                <w:rFonts w:ascii="Arial" w:hAnsi="Arial" w:cs="Arial"/>
                                <w:sz w:val="22"/>
                                <w:szCs w:val="22"/>
                              </w:rPr>
                            </w:pPr>
                            <w:r>
                              <w:rPr>
                                <w:rFonts w:ascii="Arial" w:hAnsi="Arial" w:cs="Arial"/>
                                <w:sz w:val="22"/>
                                <w:szCs w:val="22"/>
                              </w:rPr>
                              <w:t>1.73</w:t>
                            </w:r>
                          </w:p>
                        </w:tc>
                        <w:tc>
                          <w:tcPr>
                            <w:tcW w:w="870" w:type="dxa"/>
                          </w:tcPr>
                          <w:p w14:paraId="0571A144" w14:textId="77777777" w:rsidR="00C93BE0" w:rsidRPr="00307F06" w:rsidRDefault="00C93BE0" w:rsidP="004E41A6">
                            <w:pPr>
                              <w:jc w:val="center"/>
                              <w:rPr>
                                <w:rFonts w:ascii="Arial" w:hAnsi="Arial" w:cs="Arial"/>
                                <w:sz w:val="22"/>
                                <w:szCs w:val="22"/>
                              </w:rPr>
                            </w:pPr>
                            <w:r>
                              <w:rPr>
                                <w:rFonts w:ascii="Arial" w:hAnsi="Arial" w:cs="Arial"/>
                                <w:sz w:val="22"/>
                                <w:szCs w:val="22"/>
                              </w:rPr>
                              <w:t>.048*</w:t>
                            </w:r>
                          </w:p>
                        </w:tc>
                        <w:tc>
                          <w:tcPr>
                            <w:tcW w:w="660" w:type="dxa"/>
                          </w:tcPr>
                          <w:p w14:paraId="73447110" w14:textId="77777777" w:rsidR="00C93BE0" w:rsidRPr="00307F06" w:rsidRDefault="00C93BE0" w:rsidP="004E41A6">
                            <w:pPr>
                              <w:jc w:val="center"/>
                              <w:rPr>
                                <w:rFonts w:ascii="Arial" w:hAnsi="Arial" w:cs="Arial"/>
                                <w:sz w:val="22"/>
                                <w:szCs w:val="22"/>
                              </w:rPr>
                            </w:pPr>
                            <w:r>
                              <w:rPr>
                                <w:rFonts w:ascii="Arial" w:hAnsi="Arial" w:cs="Arial"/>
                                <w:sz w:val="22"/>
                                <w:szCs w:val="22"/>
                              </w:rPr>
                              <w:t>2.90</w:t>
                            </w:r>
                          </w:p>
                        </w:tc>
                        <w:tc>
                          <w:tcPr>
                            <w:tcW w:w="777" w:type="dxa"/>
                          </w:tcPr>
                          <w:p w14:paraId="23B257F8" w14:textId="77777777" w:rsidR="00C93BE0" w:rsidRPr="00307F06" w:rsidRDefault="00C93BE0" w:rsidP="004E41A6">
                            <w:pPr>
                              <w:jc w:val="center"/>
                              <w:rPr>
                                <w:rFonts w:ascii="Arial" w:hAnsi="Arial" w:cs="Arial"/>
                                <w:sz w:val="22"/>
                                <w:szCs w:val="22"/>
                              </w:rPr>
                            </w:pPr>
                            <w:r>
                              <w:rPr>
                                <w:rFonts w:ascii="Arial" w:hAnsi="Arial" w:cs="Arial"/>
                                <w:sz w:val="22"/>
                                <w:szCs w:val="22"/>
                              </w:rPr>
                              <w:t>.036*</w:t>
                            </w:r>
                          </w:p>
                        </w:tc>
                        <w:tc>
                          <w:tcPr>
                            <w:tcW w:w="834" w:type="dxa"/>
                          </w:tcPr>
                          <w:p w14:paraId="0BE580F7" w14:textId="77777777" w:rsidR="00C93BE0" w:rsidRPr="00307F06" w:rsidRDefault="00C93BE0" w:rsidP="004E41A6">
                            <w:pPr>
                              <w:jc w:val="center"/>
                              <w:rPr>
                                <w:rFonts w:ascii="Arial" w:hAnsi="Arial" w:cs="Arial"/>
                                <w:sz w:val="22"/>
                                <w:szCs w:val="22"/>
                              </w:rPr>
                            </w:pPr>
                            <w:r>
                              <w:rPr>
                                <w:rFonts w:ascii="Arial" w:hAnsi="Arial" w:cs="Arial"/>
                                <w:sz w:val="22"/>
                                <w:szCs w:val="22"/>
                              </w:rPr>
                              <w:t>3.07</w:t>
                            </w:r>
                          </w:p>
                        </w:tc>
                        <w:tc>
                          <w:tcPr>
                            <w:tcW w:w="848" w:type="dxa"/>
                          </w:tcPr>
                          <w:p w14:paraId="7E913C39"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Pr>
                          <w:p w14:paraId="24C05543" w14:textId="77777777" w:rsidR="00C93BE0" w:rsidRPr="00307F06" w:rsidRDefault="00C93BE0" w:rsidP="004E41A6">
                            <w:pPr>
                              <w:jc w:val="center"/>
                              <w:rPr>
                                <w:rFonts w:ascii="Arial" w:hAnsi="Arial" w:cs="Arial"/>
                                <w:sz w:val="22"/>
                                <w:szCs w:val="22"/>
                              </w:rPr>
                            </w:pPr>
                            <w:r>
                              <w:rPr>
                                <w:rFonts w:ascii="Arial" w:hAnsi="Arial" w:cs="Arial"/>
                                <w:sz w:val="22"/>
                                <w:szCs w:val="22"/>
                              </w:rPr>
                              <w:t>0.94</w:t>
                            </w:r>
                          </w:p>
                        </w:tc>
                        <w:tc>
                          <w:tcPr>
                            <w:tcW w:w="851" w:type="dxa"/>
                          </w:tcPr>
                          <w:p w14:paraId="0193BD3E" w14:textId="77777777" w:rsidR="00C93BE0" w:rsidRPr="00307F06" w:rsidRDefault="00C93BE0" w:rsidP="004E41A6">
                            <w:pPr>
                              <w:jc w:val="center"/>
                              <w:rPr>
                                <w:rFonts w:ascii="Arial" w:hAnsi="Arial" w:cs="Arial"/>
                                <w:sz w:val="22"/>
                                <w:szCs w:val="22"/>
                              </w:rPr>
                            </w:pPr>
                            <w:r>
                              <w:rPr>
                                <w:rFonts w:ascii="Arial" w:hAnsi="Arial" w:cs="Arial"/>
                                <w:sz w:val="22"/>
                                <w:szCs w:val="22"/>
                              </w:rPr>
                              <w:t>1.65</w:t>
                            </w:r>
                          </w:p>
                        </w:tc>
                        <w:tc>
                          <w:tcPr>
                            <w:tcW w:w="708" w:type="dxa"/>
                          </w:tcPr>
                          <w:p w14:paraId="1BCF9518" w14:textId="77777777" w:rsidR="00C93BE0" w:rsidRPr="00307F06" w:rsidRDefault="00C93BE0" w:rsidP="004E41A6">
                            <w:pPr>
                              <w:jc w:val="center"/>
                              <w:rPr>
                                <w:rFonts w:ascii="Arial" w:hAnsi="Arial" w:cs="Arial"/>
                                <w:sz w:val="22"/>
                                <w:szCs w:val="22"/>
                              </w:rPr>
                            </w:pPr>
                            <w:r>
                              <w:rPr>
                                <w:rFonts w:ascii="Arial" w:hAnsi="Arial" w:cs="Arial"/>
                                <w:sz w:val="22"/>
                                <w:szCs w:val="22"/>
                              </w:rPr>
                              <w:t>3.06</w:t>
                            </w:r>
                          </w:p>
                        </w:tc>
                        <w:tc>
                          <w:tcPr>
                            <w:tcW w:w="851" w:type="dxa"/>
                          </w:tcPr>
                          <w:p w14:paraId="05977B96"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709" w:type="dxa"/>
                          </w:tcPr>
                          <w:p w14:paraId="1F6CDB82" w14:textId="77777777" w:rsidR="00C93BE0" w:rsidRPr="00307F06" w:rsidRDefault="00C93BE0" w:rsidP="004E41A6">
                            <w:pPr>
                              <w:jc w:val="center"/>
                              <w:rPr>
                                <w:rFonts w:ascii="Arial" w:hAnsi="Arial" w:cs="Arial"/>
                                <w:sz w:val="22"/>
                                <w:szCs w:val="22"/>
                              </w:rPr>
                            </w:pPr>
                            <w:r>
                              <w:rPr>
                                <w:rFonts w:ascii="Arial" w:hAnsi="Arial" w:cs="Arial"/>
                                <w:sz w:val="22"/>
                                <w:szCs w:val="22"/>
                              </w:rPr>
                              <w:t>3.06</w:t>
                            </w:r>
                          </w:p>
                        </w:tc>
                        <w:tc>
                          <w:tcPr>
                            <w:tcW w:w="992" w:type="dxa"/>
                          </w:tcPr>
                          <w:p w14:paraId="2E2DDA4A"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r>
                      <w:tr w:rsidR="00C93BE0" w14:paraId="7F35996F"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Pr>
                          <w:p w14:paraId="4007307E" w14:textId="77777777" w:rsidR="00C93BE0" w:rsidRPr="006F0EDD" w:rsidRDefault="00C93BE0" w:rsidP="004E41A6">
                            <w:pPr>
                              <w:jc w:val="center"/>
                              <w:rPr>
                                <w:rFonts w:ascii="Arial" w:hAnsi="Arial" w:cs="Arial"/>
                              </w:rPr>
                            </w:pPr>
                            <w:r w:rsidRPr="006F0EDD">
                              <w:rPr>
                                <w:rFonts w:ascii="Arial" w:hAnsi="Arial" w:cs="Arial"/>
                              </w:rPr>
                              <w:t>hV4</w:t>
                            </w:r>
                          </w:p>
                        </w:tc>
                        <w:tc>
                          <w:tcPr>
                            <w:tcW w:w="689" w:type="dxa"/>
                          </w:tcPr>
                          <w:p w14:paraId="6EDC1578" w14:textId="77777777" w:rsidR="00C93BE0" w:rsidRPr="00307F06" w:rsidRDefault="00C93BE0" w:rsidP="004E41A6">
                            <w:pPr>
                              <w:jc w:val="center"/>
                              <w:rPr>
                                <w:rFonts w:ascii="Arial" w:hAnsi="Arial" w:cs="Arial"/>
                                <w:sz w:val="22"/>
                                <w:szCs w:val="22"/>
                              </w:rPr>
                            </w:pPr>
                            <w:r>
                              <w:rPr>
                                <w:rFonts w:ascii="Arial" w:hAnsi="Arial" w:cs="Arial"/>
                                <w:sz w:val="22"/>
                                <w:szCs w:val="22"/>
                              </w:rPr>
                              <w:t>1.65</w:t>
                            </w:r>
                          </w:p>
                        </w:tc>
                        <w:tc>
                          <w:tcPr>
                            <w:tcW w:w="870" w:type="dxa"/>
                          </w:tcPr>
                          <w:p w14:paraId="0C308DE4" w14:textId="77777777" w:rsidR="00C93BE0" w:rsidRPr="00307F06" w:rsidRDefault="00C93BE0" w:rsidP="004E41A6">
                            <w:pPr>
                              <w:jc w:val="center"/>
                              <w:rPr>
                                <w:rFonts w:ascii="Arial" w:hAnsi="Arial" w:cs="Arial"/>
                                <w:sz w:val="22"/>
                                <w:szCs w:val="22"/>
                              </w:rPr>
                            </w:pPr>
                            <w:r>
                              <w:rPr>
                                <w:rFonts w:ascii="Arial" w:hAnsi="Arial" w:cs="Arial"/>
                                <w:sz w:val="22"/>
                                <w:szCs w:val="22"/>
                              </w:rPr>
                              <w:t>.560</w:t>
                            </w:r>
                          </w:p>
                        </w:tc>
                        <w:tc>
                          <w:tcPr>
                            <w:tcW w:w="660" w:type="dxa"/>
                          </w:tcPr>
                          <w:p w14:paraId="3DC00984" w14:textId="77777777" w:rsidR="00C93BE0" w:rsidRPr="00307F06" w:rsidRDefault="00C93BE0" w:rsidP="004E41A6">
                            <w:pPr>
                              <w:jc w:val="center"/>
                              <w:rPr>
                                <w:rFonts w:ascii="Arial" w:hAnsi="Arial" w:cs="Arial"/>
                                <w:sz w:val="22"/>
                                <w:szCs w:val="22"/>
                              </w:rPr>
                            </w:pPr>
                            <w:r>
                              <w:rPr>
                                <w:rFonts w:ascii="Arial" w:hAnsi="Arial" w:cs="Arial"/>
                                <w:sz w:val="22"/>
                                <w:szCs w:val="22"/>
                              </w:rPr>
                              <w:t>2.79</w:t>
                            </w:r>
                          </w:p>
                        </w:tc>
                        <w:tc>
                          <w:tcPr>
                            <w:tcW w:w="777" w:type="dxa"/>
                          </w:tcPr>
                          <w:p w14:paraId="0B39F4CF" w14:textId="77777777" w:rsidR="00C93BE0" w:rsidRPr="00307F06" w:rsidRDefault="00C93BE0" w:rsidP="004E41A6">
                            <w:pPr>
                              <w:jc w:val="center"/>
                              <w:rPr>
                                <w:rFonts w:ascii="Arial" w:hAnsi="Arial" w:cs="Arial"/>
                                <w:sz w:val="22"/>
                                <w:szCs w:val="22"/>
                              </w:rPr>
                            </w:pPr>
                            <w:r>
                              <w:rPr>
                                <w:rFonts w:ascii="Arial" w:hAnsi="Arial" w:cs="Arial"/>
                                <w:sz w:val="22"/>
                                <w:szCs w:val="22"/>
                              </w:rPr>
                              <w:t>.047*</w:t>
                            </w:r>
                          </w:p>
                        </w:tc>
                        <w:tc>
                          <w:tcPr>
                            <w:tcW w:w="834" w:type="dxa"/>
                          </w:tcPr>
                          <w:p w14:paraId="4971533C" w14:textId="77777777" w:rsidR="00C93BE0" w:rsidRPr="00307F06" w:rsidRDefault="00C93BE0" w:rsidP="004E41A6">
                            <w:pPr>
                              <w:jc w:val="center"/>
                              <w:rPr>
                                <w:rFonts w:ascii="Arial" w:hAnsi="Arial" w:cs="Arial"/>
                                <w:sz w:val="22"/>
                                <w:szCs w:val="22"/>
                              </w:rPr>
                            </w:pPr>
                            <w:r>
                              <w:rPr>
                                <w:rFonts w:ascii="Arial" w:hAnsi="Arial" w:cs="Arial"/>
                                <w:sz w:val="22"/>
                                <w:szCs w:val="22"/>
                              </w:rPr>
                              <w:t>3.07</w:t>
                            </w:r>
                          </w:p>
                        </w:tc>
                        <w:tc>
                          <w:tcPr>
                            <w:tcW w:w="848" w:type="dxa"/>
                          </w:tcPr>
                          <w:p w14:paraId="1B92FAD1"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Pr>
                          <w:p w14:paraId="70ACEB7B" w14:textId="77777777" w:rsidR="00C93BE0" w:rsidRPr="00307F06" w:rsidRDefault="00C93BE0" w:rsidP="004E41A6">
                            <w:pPr>
                              <w:jc w:val="center"/>
                              <w:rPr>
                                <w:rFonts w:ascii="Arial" w:hAnsi="Arial" w:cs="Arial"/>
                                <w:sz w:val="22"/>
                                <w:szCs w:val="22"/>
                              </w:rPr>
                            </w:pPr>
                            <w:r>
                              <w:rPr>
                                <w:rFonts w:ascii="Arial" w:hAnsi="Arial" w:cs="Arial"/>
                                <w:sz w:val="22"/>
                                <w:szCs w:val="22"/>
                              </w:rPr>
                              <w:t>1.48</w:t>
                            </w:r>
                          </w:p>
                        </w:tc>
                        <w:tc>
                          <w:tcPr>
                            <w:tcW w:w="851" w:type="dxa"/>
                          </w:tcPr>
                          <w:p w14:paraId="34D2B96E" w14:textId="77777777" w:rsidR="00C93BE0" w:rsidRPr="00307F06" w:rsidRDefault="00C93BE0" w:rsidP="004E41A6">
                            <w:pPr>
                              <w:jc w:val="center"/>
                              <w:rPr>
                                <w:rFonts w:ascii="Arial" w:hAnsi="Arial" w:cs="Arial"/>
                                <w:sz w:val="22"/>
                                <w:szCs w:val="22"/>
                              </w:rPr>
                            </w:pPr>
                            <w:r>
                              <w:rPr>
                                <w:rFonts w:ascii="Arial" w:hAnsi="Arial" w:cs="Arial"/>
                                <w:sz w:val="22"/>
                                <w:szCs w:val="22"/>
                              </w:rPr>
                              <w:t>.752</w:t>
                            </w:r>
                          </w:p>
                        </w:tc>
                        <w:tc>
                          <w:tcPr>
                            <w:tcW w:w="708" w:type="dxa"/>
                          </w:tcPr>
                          <w:p w14:paraId="13209298" w14:textId="77777777" w:rsidR="00C93BE0" w:rsidRPr="00307F06" w:rsidRDefault="00C93BE0" w:rsidP="004E41A6">
                            <w:pPr>
                              <w:jc w:val="center"/>
                              <w:rPr>
                                <w:rFonts w:ascii="Arial" w:hAnsi="Arial" w:cs="Arial"/>
                                <w:sz w:val="22"/>
                                <w:szCs w:val="22"/>
                              </w:rPr>
                            </w:pPr>
                            <w:r>
                              <w:rPr>
                                <w:rFonts w:ascii="Arial" w:hAnsi="Arial" w:cs="Arial"/>
                                <w:sz w:val="22"/>
                                <w:szCs w:val="22"/>
                              </w:rPr>
                              <w:t>2.98</w:t>
                            </w:r>
                          </w:p>
                        </w:tc>
                        <w:tc>
                          <w:tcPr>
                            <w:tcW w:w="851" w:type="dxa"/>
                          </w:tcPr>
                          <w:p w14:paraId="63A49EB1" w14:textId="77777777" w:rsidR="00C93BE0" w:rsidRPr="00307F06" w:rsidRDefault="00C93BE0" w:rsidP="004E41A6">
                            <w:pPr>
                              <w:jc w:val="center"/>
                              <w:rPr>
                                <w:rFonts w:ascii="Arial" w:hAnsi="Arial" w:cs="Arial"/>
                                <w:sz w:val="22"/>
                                <w:szCs w:val="22"/>
                              </w:rPr>
                            </w:pPr>
                            <w:r>
                              <w:rPr>
                                <w:rFonts w:ascii="Arial" w:hAnsi="Arial" w:cs="Arial"/>
                                <w:sz w:val="22"/>
                                <w:szCs w:val="22"/>
                              </w:rPr>
                              <w:t>.031*</w:t>
                            </w:r>
                          </w:p>
                        </w:tc>
                        <w:tc>
                          <w:tcPr>
                            <w:tcW w:w="709" w:type="dxa"/>
                          </w:tcPr>
                          <w:p w14:paraId="3D68E576" w14:textId="77777777" w:rsidR="00C93BE0" w:rsidRPr="00307F06" w:rsidRDefault="00C93BE0" w:rsidP="004E41A6">
                            <w:pPr>
                              <w:jc w:val="center"/>
                              <w:rPr>
                                <w:rFonts w:ascii="Arial" w:hAnsi="Arial" w:cs="Arial"/>
                                <w:sz w:val="22"/>
                                <w:szCs w:val="22"/>
                              </w:rPr>
                            </w:pPr>
                            <w:r>
                              <w:rPr>
                                <w:rFonts w:ascii="Arial" w:hAnsi="Arial" w:cs="Arial"/>
                                <w:sz w:val="22"/>
                                <w:szCs w:val="22"/>
                              </w:rPr>
                              <w:t>2.98</w:t>
                            </w:r>
                          </w:p>
                        </w:tc>
                        <w:tc>
                          <w:tcPr>
                            <w:tcW w:w="992" w:type="dxa"/>
                          </w:tcPr>
                          <w:p w14:paraId="7C37AEB0" w14:textId="77777777" w:rsidR="00C93BE0" w:rsidRPr="00307F06" w:rsidRDefault="00C93BE0" w:rsidP="004E41A6">
                            <w:pPr>
                              <w:jc w:val="center"/>
                              <w:rPr>
                                <w:rFonts w:ascii="Arial" w:hAnsi="Arial" w:cs="Arial"/>
                                <w:sz w:val="22"/>
                                <w:szCs w:val="22"/>
                              </w:rPr>
                            </w:pPr>
                            <w:r>
                              <w:rPr>
                                <w:rFonts w:ascii="Arial" w:hAnsi="Arial" w:cs="Arial"/>
                                <w:sz w:val="22"/>
                                <w:szCs w:val="22"/>
                              </w:rPr>
                              <w:t>.031*</w:t>
                            </w:r>
                          </w:p>
                        </w:tc>
                      </w:tr>
                      <w:tr w:rsidR="00C93BE0" w14:paraId="28051F04"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1"/>
                        </w:trPr>
                        <w:tc>
                          <w:tcPr>
                            <w:tcW w:w="851" w:type="dxa"/>
                          </w:tcPr>
                          <w:p w14:paraId="464C2F22" w14:textId="77777777" w:rsidR="00C93BE0" w:rsidRPr="006F0EDD" w:rsidRDefault="00C93BE0" w:rsidP="004E41A6">
                            <w:pPr>
                              <w:jc w:val="center"/>
                              <w:rPr>
                                <w:rFonts w:ascii="Arial" w:hAnsi="Arial" w:cs="Arial"/>
                              </w:rPr>
                            </w:pPr>
                            <w:r w:rsidRPr="006F0EDD">
                              <w:rPr>
                                <w:rFonts w:ascii="Arial" w:hAnsi="Arial" w:cs="Arial"/>
                              </w:rPr>
                              <w:t>LO-1</w:t>
                            </w:r>
                          </w:p>
                        </w:tc>
                        <w:tc>
                          <w:tcPr>
                            <w:tcW w:w="689" w:type="dxa"/>
                          </w:tcPr>
                          <w:p w14:paraId="73B91645" w14:textId="77777777" w:rsidR="00C93BE0" w:rsidRPr="00307F06" w:rsidRDefault="00C93BE0" w:rsidP="004E41A6">
                            <w:pPr>
                              <w:jc w:val="center"/>
                              <w:rPr>
                                <w:rFonts w:ascii="Arial" w:hAnsi="Arial" w:cs="Arial"/>
                                <w:sz w:val="22"/>
                                <w:szCs w:val="22"/>
                              </w:rPr>
                            </w:pPr>
                            <w:r>
                              <w:rPr>
                                <w:rFonts w:ascii="Arial" w:hAnsi="Arial" w:cs="Arial"/>
                                <w:sz w:val="22"/>
                                <w:szCs w:val="22"/>
                              </w:rPr>
                              <w:t>2.59</w:t>
                            </w:r>
                          </w:p>
                        </w:tc>
                        <w:tc>
                          <w:tcPr>
                            <w:tcW w:w="870" w:type="dxa"/>
                          </w:tcPr>
                          <w:p w14:paraId="1E985CFD" w14:textId="77777777" w:rsidR="00C93BE0" w:rsidRPr="00307F06" w:rsidRDefault="00C93BE0" w:rsidP="004E41A6">
                            <w:pPr>
                              <w:jc w:val="center"/>
                              <w:rPr>
                                <w:rFonts w:ascii="Arial" w:hAnsi="Arial" w:cs="Arial"/>
                                <w:sz w:val="22"/>
                                <w:szCs w:val="22"/>
                              </w:rPr>
                            </w:pPr>
                            <w:r>
                              <w:rPr>
                                <w:rFonts w:ascii="Arial" w:hAnsi="Arial" w:cs="Arial"/>
                                <w:sz w:val="22"/>
                                <w:szCs w:val="22"/>
                              </w:rPr>
                              <w:t>.076</w:t>
                            </w:r>
                          </w:p>
                        </w:tc>
                        <w:tc>
                          <w:tcPr>
                            <w:tcW w:w="660" w:type="dxa"/>
                          </w:tcPr>
                          <w:p w14:paraId="56341C91" w14:textId="77777777" w:rsidR="00C93BE0" w:rsidRPr="00307F06" w:rsidRDefault="00C93BE0" w:rsidP="004E41A6">
                            <w:pPr>
                              <w:jc w:val="center"/>
                              <w:rPr>
                                <w:rFonts w:ascii="Arial" w:hAnsi="Arial" w:cs="Arial"/>
                                <w:sz w:val="22"/>
                                <w:szCs w:val="22"/>
                              </w:rPr>
                            </w:pPr>
                            <w:r>
                              <w:rPr>
                                <w:rFonts w:ascii="Arial" w:hAnsi="Arial" w:cs="Arial"/>
                                <w:sz w:val="22"/>
                                <w:szCs w:val="22"/>
                              </w:rPr>
                              <w:t>1.14</w:t>
                            </w:r>
                          </w:p>
                        </w:tc>
                        <w:tc>
                          <w:tcPr>
                            <w:tcW w:w="777" w:type="dxa"/>
                          </w:tcPr>
                          <w:p w14:paraId="2838CB88" w14:textId="77777777" w:rsidR="00C93BE0" w:rsidRPr="00307F06" w:rsidRDefault="00C93BE0" w:rsidP="004E41A6">
                            <w:pPr>
                              <w:jc w:val="center"/>
                              <w:rPr>
                                <w:rFonts w:ascii="Arial" w:hAnsi="Arial" w:cs="Arial"/>
                                <w:sz w:val="22"/>
                                <w:szCs w:val="22"/>
                              </w:rPr>
                            </w:pPr>
                            <w:r>
                              <w:rPr>
                                <w:rFonts w:ascii="Arial" w:hAnsi="Arial" w:cs="Arial"/>
                                <w:sz w:val="22"/>
                                <w:szCs w:val="22"/>
                              </w:rPr>
                              <w:t>1.24</w:t>
                            </w:r>
                          </w:p>
                        </w:tc>
                        <w:tc>
                          <w:tcPr>
                            <w:tcW w:w="834" w:type="dxa"/>
                          </w:tcPr>
                          <w:p w14:paraId="25E4E69E" w14:textId="77777777" w:rsidR="00C93BE0" w:rsidRPr="00307F06" w:rsidRDefault="00C93BE0" w:rsidP="004E41A6">
                            <w:pPr>
                              <w:jc w:val="center"/>
                              <w:rPr>
                                <w:rFonts w:ascii="Arial" w:hAnsi="Arial" w:cs="Arial"/>
                                <w:sz w:val="22"/>
                                <w:szCs w:val="22"/>
                              </w:rPr>
                            </w:pPr>
                            <w:r>
                              <w:rPr>
                                <w:rFonts w:ascii="Arial" w:hAnsi="Arial" w:cs="Arial"/>
                                <w:sz w:val="22"/>
                                <w:szCs w:val="22"/>
                              </w:rPr>
                              <w:t>3.06</w:t>
                            </w:r>
                          </w:p>
                        </w:tc>
                        <w:tc>
                          <w:tcPr>
                            <w:tcW w:w="848" w:type="dxa"/>
                          </w:tcPr>
                          <w:p w14:paraId="596FF671"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Pr>
                          <w:p w14:paraId="374E2BFC" w14:textId="77777777" w:rsidR="00C93BE0" w:rsidRPr="00307F06" w:rsidRDefault="00C93BE0" w:rsidP="004E41A6">
                            <w:pPr>
                              <w:jc w:val="center"/>
                              <w:rPr>
                                <w:rFonts w:ascii="Arial" w:hAnsi="Arial" w:cs="Arial"/>
                                <w:sz w:val="22"/>
                                <w:szCs w:val="22"/>
                              </w:rPr>
                            </w:pPr>
                            <w:r>
                              <w:rPr>
                                <w:rFonts w:ascii="Arial" w:hAnsi="Arial" w:cs="Arial"/>
                                <w:sz w:val="22"/>
                                <w:szCs w:val="22"/>
                              </w:rPr>
                              <w:t>.075</w:t>
                            </w:r>
                          </w:p>
                        </w:tc>
                        <w:tc>
                          <w:tcPr>
                            <w:tcW w:w="851" w:type="dxa"/>
                          </w:tcPr>
                          <w:p w14:paraId="4CFA41B5" w14:textId="77777777" w:rsidR="00C93BE0" w:rsidRPr="00307F06" w:rsidRDefault="00C93BE0" w:rsidP="004E41A6">
                            <w:pPr>
                              <w:jc w:val="center"/>
                              <w:rPr>
                                <w:rFonts w:ascii="Arial" w:hAnsi="Arial" w:cs="Arial"/>
                                <w:sz w:val="22"/>
                                <w:szCs w:val="22"/>
                              </w:rPr>
                            </w:pPr>
                            <w:r>
                              <w:rPr>
                                <w:rFonts w:ascii="Arial" w:hAnsi="Arial" w:cs="Arial"/>
                                <w:sz w:val="22"/>
                                <w:szCs w:val="22"/>
                              </w:rPr>
                              <w:t>2.117</w:t>
                            </w:r>
                          </w:p>
                        </w:tc>
                        <w:tc>
                          <w:tcPr>
                            <w:tcW w:w="708" w:type="dxa"/>
                          </w:tcPr>
                          <w:p w14:paraId="37B78A75" w14:textId="77777777" w:rsidR="00C93BE0" w:rsidRPr="00307F06" w:rsidRDefault="00C93BE0" w:rsidP="004E41A6">
                            <w:pPr>
                              <w:jc w:val="center"/>
                              <w:rPr>
                                <w:rFonts w:ascii="Arial" w:hAnsi="Arial" w:cs="Arial"/>
                                <w:sz w:val="22"/>
                                <w:szCs w:val="22"/>
                              </w:rPr>
                            </w:pPr>
                            <w:r>
                              <w:rPr>
                                <w:rFonts w:ascii="Arial" w:hAnsi="Arial" w:cs="Arial"/>
                                <w:sz w:val="22"/>
                                <w:szCs w:val="22"/>
                              </w:rPr>
                              <w:t>3.07</w:t>
                            </w:r>
                          </w:p>
                        </w:tc>
                        <w:tc>
                          <w:tcPr>
                            <w:tcW w:w="851" w:type="dxa"/>
                          </w:tcPr>
                          <w:p w14:paraId="17476BD8"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709" w:type="dxa"/>
                          </w:tcPr>
                          <w:p w14:paraId="2A00FFEF" w14:textId="77777777" w:rsidR="00C93BE0" w:rsidRPr="00307F06" w:rsidRDefault="00C93BE0" w:rsidP="004E41A6">
                            <w:pPr>
                              <w:jc w:val="center"/>
                              <w:rPr>
                                <w:rFonts w:ascii="Arial" w:hAnsi="Arial" w:cs="Arial"/>
                                <w:sz w:val="22"/>
                                <w:szCs w:val="22"/>
                              </w:rPr>
                            </w:pPr>
                            <w:r>
                              <w:rPr>
                                <w:rFonts w:ascii="Arial" w:hAnsi="Arial" w:cs="Arial"/>
                                <w:sz w:val="22"/>
                                <w:szCs w:val="22"/>
                              </w:rPr>
                              <w:t>2.95</w:t>
                            </w:r>
                          </w:p>
                        </w:tc>
                        <w:tc>
                          <w:tcPr>
                            <w:tcW w:w="992" w:type="dxa"/>
                          </w:tcPr>
                          <w:p w14:paraId="03672BBA" w14:textId="77777777" w:rsidR="00C93BE0" w:rsidRPr="00307F06" w:rsidRDefault="00C93BE0" w:rsidP="004E41A6">
                            <w:pPr>
                              <w:jc w:val="center"/>
                              <w:rPr>
                                <w:rFonts w:ascii="Arial" w:hAnsi="Arial" w:cs="Arial"/>
                                <w:sz w:val="22"/>
                                <w:szCs w:val="22"/>
                              </w:rPr>
                            </w:pPr>
                            <w:r>
                              <w:rPr>
                                <w:rFonts w:ascii="Arial" w:hAnsi="Arial" w:cs="Arial"/>
                                <w:sz w:val="22"/>
                                <w:szCs w:val="22"/>
                              </w:rPr>
                              <w:t>.033*</w:t>
                            </w:r>
                          </w:p>
                        </w:tc>
                      </w:tr>
                      <w:tr w:rsidR="00C93BE0" w14:paraId="2BB2B125"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Pr>
                          <w:p w14:paraId="6783A8E1" w14:textId="77777777" w:rsidR="00C93BE0" w:rsidRPr="006F0EDD" w:rsidRDefault="00C93BE0" w:rsidP="004E41A6">
                            <w:pPr>
                              <w:jc w:val="center"/>
                              <w:rPr>
                                <w:rFonts w:ascii="Arial" w:hAnsi="Arial" w:cs="Arial"/>
                              </w:rPr>
                            </w:pPr>
                            <w:r w:rsidRPr="006F0EDD">
                              <w:rPr>
                                <w:rFonts w:ascii="Arial" w:hAnsi="Arial" w:cs="Arial"/>
                              </w:rPr>
                              <w:t>LO-2</w:t>
                            </w:r>
                          </w:p>
                        </w:tc>
                        <w:tc>
                          <w:tcPr>
                            <w:tcW w:w="689" w:type="dxa"/>
                          </w:tcPr>
                          <w:p w14:paraId="40F2A411" w14:textId="77777777" w:rsidR="00C93BE0" w:rsidRPr="00307F06" w:rsidRDefault="00C93BE0" w:rsidP="004E41A6">
                            <w:pPr>
                              <w:jc w:val="center"/>
                              <w:rPr>
                                <w:rFonts w:ascii="Arial" w:hAnsi="Arial" w:cs="Arial"/>
                                <w:sz w:val="22"/>
                                <w:szCs w:val="22"/>
                              </w:rPr>
                            </w:pPr>
                            <w:r>
                              <w:rPr>
                                <w:rFonts w:ascii="Arial" w:hAnsi="Arial" w:cs="Arial"/>
                                <w:sz w:val="22"/>
                                <w:szCs w:val="22"/>
                              </w:rPr>
                              <w:t>0.53</w:t>
                            </w:r>
                          </w:p>
                        </w:tc>
                        <w:tc>
                          <w:tcPr>
                            <w:tcW w:w="870" w:type="dxa"/>
                          </w:tcPr>
                          <w:p w14:paraId="378D0255" w14:textId="77777777" w:rsidR="00C93BE0" w:rsidRPr="00307F06" w:rsidRDefault="00C93BE0" w:rsidP="004E41A6">
                            <w:pPr>
                              <w:jc w:val="center"/>
                              <w:rPr>
                                <w:rFonts w:ascii="Arial" w:hAnsi="Arial" w:cs="Arial"/>
                                <w:sz w:val="22"/>
                                <w:szCs w:val="22"/>
                              </w:rPr>
                            </w:pPr>
                            <w:r>
                              <w:rPr>
                                <w:rFonts w:ascii="Arial" w:hAnsi="Arial" w:cs="Arial"/>
                                <w:sz w:val="22"/>
                                <w:szCs w:val="22"/>
                              </w:rPr>
                              <w:t>2.702</w:t>
                            </w:r>
                          </w:p>
                        </w:tc>
                        <w:tc>
                          <w:tcPr>
                            <w:tcW w:w="660" w:type="dxa"/>
                          </w:tcPr>
                          <w:p w14:paraId="379F4EC5" w14:textId="77777777" w:rsidR="00C93BE0" w:rsidRPr="00307F06" w:rsidRDefault="00C93BE0" w:rsidP="004E41A6">
                            <w:pPr>
                              <w:jc w:val="center"/>
                              <w:rPr>
                                <w:rFonts w:ascii="Arial" w:hAnsi="Arial" w:cs="Arial"/>
                                <w:sz w:val="22"/>
                                <w:szCs w:val="22"/>
                              </w:rPr>
                            </w:pPr>
                            <w:r>
                              <w:rPr>
                                <w:rFonts w:ascii="Arial" w:hAnsi="Arial" w:cs="Arial"/>
                                <w:sz w:val="22"/>
                                <w:szCs w:val="22"/>
                              </w:rPr>
                              <w:t>1.83</w:t>
                            </w:r>
                          </w:p>
                        </w:tc>
                        <w:tc>
                          <w:tcPr>
                            <w:tcW w:w="777" w:type="dxa"/>
                          </w:tcPr>
                          <w:p w14:paraId="759DB7E0" w14:textId="77777777" w:rsidR="00C93BE0" w:rsidRPr="00307F06" w:rsidRDefault="00C93BE0" w:rsidP="004E41A6">
                            <w:pPr>
                              <w:jc w:val="center"/>
                              <w:rPr>
                                <w:rFonts w:ascii="Arial" w:hAnsi="Arial" w:cs="Arial"/>
                                <w:sz w:val="22"/>
                                <w:szCs w:val="22"/>
                              </w:rPr>
                            </w:pPr>
                            <w:r>
                              <w:rPr>
                                <w:rFonts w:ascii="Arial" w:hAnsi="Arial" w:cs="Arial"/>
                                <w:sz w:val="22"/>
                                <w:szCs w:val="22"/>
                              </w:rPr>
                              <w:t>.417</w:t>
                            </w:r>
                          </w:p>
                        </w:tc>
                        <w:tc>
                          <w:tcPr>
                            <w:tcW w:w="834" w:type="dxa"/>
                          </w:tcPr>
                          <w:p w14:paraId="3EA40430" w14:textId="77777777" w:rsidR="00C93BE0" w:rsidRPr="00307F06" w:rsidRDefault="00C93BE0" w:rsidP="004E41A6">
                            <w:pPr>
                              <w:jc w:val="center"/>
                              <w:rPr>
                                <w:rFonts w:ascii="Arial" w:hAnsi="Arial" w:cs="Arial"/>
                                <w:sz w:val="22"/>
                                <w:szCs w:val="22"/>
                              </w:rPr>
                            </w:pPr>
                            <w:r>
                              <w:rPr>
                                <w:rFonts w:ascii="Arial" w:hAnsi="Arial" w:cs="Arial"/>
                                <w:sz w:val="22"/>
                                <w:szCs w:val="22"/>
                              </w:rPr>
                              <w:t>3.07</w:t>
                            </w:r>
                          </w:p>
                        </w:tc>
                        <w:tc>
                          <w:tcPr>
                            <w:tcW w:w="848" w:type="dxa"/>
                          </w:tcPr>
                          <w:p w14:paraId="354169FF"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Pr>
                          <w:p w14:paraId="298C3D32" w14:textId="77777777" w:rsidR="00C93BE0" w:rsidRPr="00307F06" w:rsidRDefault="00C93BE0" w:rsidP="004E41A6">
                            <w:pPr>
                              <w:jc w:val="center"/>
                              <w:rPr>
                                <w:rFonts w:ascii="Arial" w:hAnsi="Arial" w:cs="Arial"/>
                                <w:sz w:val="22"/>
                                <w:szCs w:val="22"/>
                              </w:rPr>
                            </w:pPr>
                            <w:r>
                              <w:rPr>
                                <w:rFonts w:ascii="Arial" w:hAnsi="Arial" w:cs="Arial"/>
                                <w:sz w:val="22"/>
                                <w:szCs w:val="22"/>
                              </w:rPr>
                              <w:t>1.58</w:t>
                            </w:r>
                          </w:p>
                        </w:tc>
                        <w:tc>
                          <w:tcPr>
                            <w:tcW w:w="851" w:type="dxa"/>
                          </w:tcPr>
                          <w:p w14:paraId="04146DAD" w14:textId="77777777" w:rsidR="00C93BE0" w:rsidRPr="00307F06" w:rsidRDefault="00C93BE0" w:rsidP="004E41A6">
                            <w:pPr>
                              <w:jc w:val="center"/>
                              <w:rPr>
                                <w:rFonts w:ascii="Arial" w:hAnsi="Arial" w:cs="Arial"/>
                                <w:sz w:val="22"/>
                                <w:szCs w:val="22"/>
                              </w:rPr>
                            </w:pPr>
                            <w:r>
                              <w:rPr>
                                <w:rFonts w:ascii="Arial" w:hAnsi="Arial" w:cs="Arial"/>
                                <w:sz w:val="22"/>
                                <w:szCs w:val="22"/>
                              </w:rPr>
                              <w:t>.608</w:t>
                            </w:r>
                          </w:p>
                        </w:tc>
                        <w:tc>
                          <w:tcPr>
                            <w:tcW w:w="708" w:type="dxa"/>
                          </w:tcPr>
                          <w:p w14:paraId="1EC03667" w14:textId="77777777" w:rsidR="00C93BE0" w:rsidRPr="00307F06" w:rsidRDefault="00C93BE0" w:rsidP="004E41A6">
                            <w:pPr>
                              <w:jc w:val="center"/>
                              <w:rPr>
                                <w:rFonts w:ascii="Arial" w:hAnsi="Arial" w:cs="Arial"/>
                                <w:sz w:val="22"/>
                                <w:szCs w:val="22"/>
                              </w:rPr>
                            </w:pPr>
                            <w:r>
                              <w:rPr>
                                <w:rFonts w:ascii="Arial" w:hAnsi="Arial" w:cs="Arial"/>
                                <w:sz w:val="22"/>
                                <w:szCs w:val="22"/>
                              </w:rPr>
                              <w:t>3.06</w:t>
                            </w:r>
                          </w:p>
                        </w:tc>
                        <w:tc>
                          <w:tcPr>
                            <w:tcW w:w="851" w:type="dxa"/>
                          </w:tcPr>
                          <w:p w14:paraId="4EF3DBDE"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709" w:type="dxa"/>
                          </w:tcPr>
                          <w:p w14:paraId="7C46B44D" w14:textId="77777777" w:rsidR="00C93BE0" w:rsidRPr="00307F06" w:rsidRDefault="00C93BE0" w:rsidP="004E41A6">
                            <w:pPr>
                              <w:jc w:val="center"/>
                              <w:rPr>
                                <w:rFonts w:ascii="Arial" w:hAnsi="Arial" w:cs="Arial"/>
                                <w:sz w:val="22"/>
                                <w:szCs w:val="22"/>
                              </w:rPr>
                            </w:pPr>
                            <w:r>
                              <w:rPr>
                                <w:rFonts w:ascii="Arial" w:hAnsi="Arial" w:cs="Arial"/>
                                <w:sz w:val="22"/>
                                <w:szCs w:val="22"/>
                              </w:rPr>
                              <w:t>2.83</w:t>
                            </w:r>
                          </w:p>
                        </w:tc>
                        <w:tc>
                          <w:tcPr>
                            <w:tcW w:w="992" w:type="dxa"/>
                          </w:tcPr>
                          <w:p w14:paraId="3F7FFA50" w14:textId="77777777" w:rsidR="00C93BE0" w:rsidRPr="00307F06" w:rsidRDefault="00C93BE0" w:rsidP="004E41A6">
                            <w:pPr>
                              <w:jc w:val="center"/>
                              <w:rPr>
                                <w:rFonts w:ascii="Arial" w:hAnsi="Arial" w:cs="Arial"/>
                                <w:sz w:val="22"/>
                                <w:szCs w:val="22"/>
                              </w:rPr>
                            </w:pPr>
                            <w:r>
                              <w:rPr>
                                <w:rFonts w:ascii="Arial" w:hAnsi="Arial" w:cs="Arial"/>
                                <w:sz w:val="22"/>
                                <w:szCs w:val="22"/>
                              </w:rPr>
                              <w:t>.044*</w:t>
                            </w:r>
                          </w:p>
                        </w:tc>
                      </w:tr>
                      <w:tr w:rsidR="00C93BE0" w14:paraId="156B332D"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Pr>
                          <w:p w14:paraId="0142A95E" w14:textId="77777777" w:rsidR="00C93BE0" w:rsidRPr="006F0EDD" w:rsidRDefault="00C93BE0" w:rsidP="004E41A6">
                            <w:pPr>
                              <w:jc w:val="center"/>
                              <w:rPr>
                                <w:rFonts w:ascii="Arial" w:hAnsi="Arial" w:cs="Arial"/>
                              </w:rPr>
                            </w:pPr>
                            <w:r>
                              <w:rPr>
                                <w:rFonts w:ascii="Arial" w:hAnsi="Arial" w:cs="Arial"/>
                              </w:rPr>
                              <w:t>FFA</w:t>
                            </w:r>
                          </w:p>
                        </w:tc>
                        <w:tc>
                          <w:tcPr>
                            <w:tcW w:w="689" w:type="dxa"/>
                          </w:tcPr>
                          <w:p w14:paraId="75683537" w14:textId="77777777" w:rsidR="00C93BE0" w:rsidRDefault="00C93BE0" w:rsidP="004E41A6">
                            <w:pPr>
                              <w:jc w:val="center"/>
                              <w:rPr>
                                <w:rFonts w:ascii="Arial" w:hAnsi="Arial" w:cs="Arial"/>
                                <w:sz w:val="22"/>
                                <w:szCs w:val="22"/>
                              </w:rPr>
                            </w:pPr>
                            <w:r>
                              <w:rPr>
                                <w:rFonts w:ascii="Arial" w:hAnsi="Arial" w:cs="Arial"/>
                                <w:sz w:val="22"/>
                                <w:szCs w:val="22"/>
                              </w:rPr>
                              <w:t>2.04</w:t>
                            </w:r>
                          </w:p>
                        </w:tc>
                        <w:tc>
                          <w:tcPr>
                            <w:tcW w:w="870" w:type="dxa"/>
                          </w:tcPr>
                          <w:p w14:paraId="39CE766B" w14:textId="77777777" w:rsidR="00C93BE0" w:rsidRPr="00307F06" w:rsidRDefault="00C93BE0" w:rsidP="004E41A6">
                            <w:pPr>
                              <w:jc w:val="center"/>
                              <w:rPr>
                                <w:rFonts w:ascii="Arial" w:hAnsi="Arial" w:cs="Arial"/>
                                <w:sz w:val="22"/>
                                <w:szCs w:val="22"/>
                              </w:rPr>
                            </w:pPr>
                            <w:r>
                              <w:rPr>
                                <w:rFonts w:ascii="Arial" w:hAnsi="Arial" w:cs="Arial"/>
                                <w:sz w:val="22"/>
                                <w:szCs w:val="22"/>
                              </w:rPr>
                              <w:t>.268</w:t>
                            </w:r>
                          </w:p>
                        </w:tc>
                        <w:tc>
                          <w:tcPr>
                            <w:tcW w:w="660" w:type="dxa"/>
                          </w:tcPr>
                          <w:p w14:paraId="40A1BA6B" w14:textId="77777777" w:rsidR="00C93BE0" w:rsidRDefault="00C93BE0" w:rsidP="004E41A6">
                            <w:pPr>
                              <w:jc w:val="center"/>
                              <w:rPr>
                                <w:rFonts w:ascii="Arial" w:hAnsi="Arial" w:cs="Arial"/>
                                <w:sz w:val="22"/>
                                <w:szCs w:val="22"/>
                              </w:rPr>
                            </w:pPr>
                            <w:r>
                              <w:rPr>
                                <w:rFonts w:ascii="Arial" w:hAnsi="Arial" w:cs="Arial"/>
                                <w:sz w:val="22"/>
                                <w:szCs w:val="22"/>
                              </w:rPr>
                              <w:t>1.81</w:t>
                            </w:r>
                          </w:p>
                        </w:tc>
                        <w:tc>
                          <w:tcPr>
                            <w:tcW w:w="777" w:type="dxa"/>
                          </w:tcPr>
                          <w:p w14:paraId="177962A8" w14:textId="77777777" w:rsidR="00C93BE0" w:rsidRPr="00307F06" w:rsidRDefault="00C93BE0" w:rsidP="004E41A6">
                            <w:pPr>
                              <w:jc w:val="center"/>
                              <w:rPr>
                                <w:rFonts w:ascii="Arial" w:hAnsi="Arial" w:cs="Arial"/>
                                <w:sz w:val="22"/>
                                <w:szCs w:val="22"/>
                              </w:rPr>
                            </w:pPr>
                            <w:r>
                              <w:rPr>
                                <w:rFonts w:ascii="Arial" w:hAnsi="Arial" w:cs="Arial"/>
                                <w:sz w:val="22"/>
                                <w:szCs w:val="22"/>
                              </w:rPr>
                              <w:t>.417</w:t>
                            </w:r>
                          </w:p>
                        </w:tc>
                        <w:tc>
                          <w:tcPr>
                            <w:tcW w:w="834" w:type="dxa"/>
                          </w:tcPr>
                          <w:p w14:paraId="26CA7AF5" w14:textId="77777777" w:rsidR="00C93BE0" w:rsidRDefault="00C93BE0" w:rsidP="004E41A6">
                            <w:pPr>
                              <w:jc w:val="center"/>
                              <w:rPr>
                                <w:rFonts w:ascii="Arial" w:hAnsi="Arial" w:cs="Arial"/>
                                <w:sz w:val="22"/>
                                <w:szCs w:val="22"/>
                              </w:rPr>
                            </w:pPr>
                            <w:r>
                              <w:rPr>
                                <w:rFonts w:ascii="Arial" w:hAnsi="Arial" w:cs="Arial"/>
                                <w:sz w:val="22"/>
                                <w:szCs w:val="22"/>
                              </w:rPr>
                              <w:t>3.07</w:t>
                            </w:r>
                          </w:p>
                        </w:tc>
                        <w:tc>
                          <w:tcPr>
                            <w:tcW w:w="848" w:type="dxa"/>
                          </w:tcPr>
                          <w:p w14:paraId="40DBDE1F"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Pr>
                          <w:p w14:paraId="4DE5324A" w14:textId="77777777" w:rsidR="00C93BE0" w:rsidRDefault="00C93BE0" w:rsidP="004E41A6">
                            <w:pPr>
                              <w:jc w:val="center"/>
                              <w:rPr>
                                <w:rFonts w:ascii="Arial" w:hAnsi="Arial" w:cs="Arial"/>
                                <w:sz w:val="22"/>
                                <w:szCs w:val="22"/>
                              </w:rPr>
                            </w:pPr>
                            <w:r>
                              <w:rPr>
                                <w:rFonts w:ascii="Arial" w:hAnsi="Arial" w:cs="Arial"/>
                                <w:sz w:val="22"/>
                                <w:szCs w:val="22"/>
                              </w:rPr>
                              <w:t>1.82</w:t>
                            </w:r>
                          </w:p>
                        </w:tc>
                        <w:tc>
                          <w:tcPr>
                            <w:tcW w:w="851" w:type="dxa"/>
                          </w:tcPr>
                          <w:p w14:paraId="6CC7115A" w14:textId="77777777" w:rsidR="00C93BE0" w:rsidRPr="00307F06" w:rsidRDefault="00C93BE0" w:rsidP="004E41A6">
                            <w:pPr>
                              <w:jc w:val="center"/>
                              <w:rPr>
                                <w:rFonts w:ascii="Arial" w:hAnsi="Arial" w:cs="Arial"/>
                                <w:sz w:val="22"/>
                                <w:szCs w:val="22"/>
                              </w:rPr>
                            </w:pPr>
                            <w:r>
                              <w:rPr>
                                <w:rFonts w:ascii="Arial" w:hAnsi="Arial" w:cs="Arial"/>
                                <w:sz w:val="22"/>
                                <w:szCs w:val="22"/>
                              </w:rPr>
                              <w:t>.417</w:t>
                            </w:r>
                          </w:p>
                        </w:tc>
                        <w:tc>
                          <w:tcPr>
                            <w:tcW w:w="708" w:type="dxa"/>
                          </w:tcPr>
                          <w:p w14:paraId="2BF1AD0C" w14:textId="77777777" w:rsidR="00C93BE0" w:rsidRDefault="00C93BE0" w:rsidP="004E41A6">
                            <w:pPr>
                              <w:jc w:val="center"/>
                              <w:rPr>
                                <w:rFonts w:ascii="Arial" w:hAnsi="Arial" w:cs="Arial"/>
                                <w:sz w:val="22"/>
                                <w:szCs w:val="22"/>
                              </w:rPr>
                            </w:pPr>
                            <w:r>
                              <w:rPr>
                                <w:rFonts w:ascii="Arial" w:hAnsi="Arial" w:cs="Arial"/>
                                <w:sz w:val="22"/>
                                <w:szCs w:val="22"/>
                              </w:rPr>
                              <w:t>3.07</w:t>
                            </w:r>
                          </w:p>
                        </w:tc>
                        <w:tc>
                          <w:tcPr>
                            <w:tcW w:w="851" w:type="dxa"/>
                          </w:tcPr>
                          <w:p w14:paraId="718868DE"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709" w:type="dxa"/>
                          </w:tcPr>
                          <w:p w14:paraId="192BFFBE" w14:textId="77777777" w:rsidR="00C93BE0" w:rsidRDefault="00C93BE0" w:rsidP="004E41A6">
                            <w:pPr>
                              <w:jc w:val="center"/>
                              <w:rPr>
                                <w:rFonts w:ascii="Arial" w:hAnsi="Arial" w:cs="Arial"/>
                                <w:sz w:val="22"/>
                                <w:szCs w:val="22"/>
                              </w:rPr>
                            </w:pPr>
                            <w:r>
                              <w:rPr>
                                <w:rFonts w:ascii="Arial" w:hAnsi="Arial" w:cs="Arial"/>
                                <w:sz w:val="22"/>
                                <w:szCs w:val="22"/>
                              </w:rPr>
                              <w:t>3.07</w:t>
                            </w:r>
                          </w:p>
                        </w:tc>
                        <w:tc>
                          <w:tcPr>
                            <w:tcW w:w="992" w:type="dxa"/>
                          </w:tcPr>
                          <w:p w14:paraId="47FECF80"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r>
                      <w:tr w:rsidR="00C93BE0" w14:paraId="1194D542"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Pr>
                          <w:p w14:paraId="4C96F860" w14:textId="77777777" w:rsidR="00C93BE0" w:rsidRPr="006F0EDD" w:rsidRDefault="00C93BE0" w:rsidP="004E41A6">
                            <w:pPr>
                              <w:jc w:val="center"/>
                              <w:rPr>
                                <w:rFonts w:ascii="Arial" w:hAnsi="Arial" w:cs="Arial"/>
                              </w:rPr>
                            </w:pPr>
                            <w:r>
                              <w:rPr>
                                <w:rFonts w:ascii="Arial" w:hAnsi="Arial" w:cs="Arial"/>
                              </w:rPr>
                              <w:t>OFA</w:t>
                            </w:r>
                          </w:p>
                        </w:tc>
                        <w:tc>
                          <w:tcPr>
                            <w:tcW w:w="689" w:type="dxa"/>
                          </w:tcPr>
                          <w:p w14:paraId="56C34919" w14:textId="77777777" w:rsidR="00C93BE0" w:rsidRDefault="00C93BE0" w:rsidP="004E41A6">
                            <w:pPr>
                              <w:jc w:val="center"/>
                              <w:rPr>
                                <w:rFonts w:ascii="Arial" w:hAnsi="Arial" w:cs="Arial"/>
                                <w:sz w:val="22"/>
                                <w:szCs w:val="22"/>
                              </w:rPr>
                            </w:pPr>
                            <w:r>
                              <w:rPr>
                                <w:rFonts w:ascii="Arial" w:hAnsi="Arial" w:cs="Arial"/>
                                <w:sz w:val="22"/>
                                <w:szCs w:val="22"/>
                              </w:rPr>
                              <w:t>2.20</w:t>
                            </w:r>
                          </w:p>
                        </w:tc>
                        <w:tc>
                          <w:tcPr>
                            <w:tcW w:w="870" w:type="dxa"/>
                          </w:tcPr>
                          <w:p w14:paraId="1CD83633" w14:textId="77777777" w:rsidR="00C93BE0" w:rsidRPr="00307F06" w:rsidRDefault="00C93BE0" w:rsidP="004E41A6">
                            <w:pPr>
                              <w:jc w:val="center"/>
                              <w:rPr>
                                <w:rFonts w:ascii="Arial" w:hAnsi="Arial" w:cs="Arial"/>
                                <w:sz w:val="22"/>
                                <w:szCs w:val="22"/>
                              </w:rPr>
                            </w:pPr>
                            <w:r>
                              <w:rPr>
                                <w:rFonts w:ascii="Arial" w:hAnsi="Arial" w:cs="Arial"/>
                                <w:sz w:val="22"/>
                                <w:szCs w:val="22"/>
                              </w:rPr>
                              <w:t>.199</w:t>
                            </w:r>
                          </w:p>
                        </w:tc>
                        <w:tc>
                          <w:tcPr>
                            <w:tcW w:w="660" w:type="dxa"/>
                          </w:tcPr>
                          <w:p w14:paraId="2DA40E82" w14:textId="77777777" w:rsidR="00C93BE0" w:rsidRDefault="00C93BE0" w:rsidP="004E41A6">
                            <w:pPr>
                              <w:jc w:val="center"/>
                              <w:rPr>
                                <w:rFonts w:ascii="Arial" w:hAnsi="Arial" w:cs="Arial"/>
                                <w:sz w:val="22"/>
                                <w:szCs w:val="22"/>
                              </w:rPr>
                            </w:pPr>
                            <w:r>
                              <w:rPr>
                                <w:rFonts w:ascii="Arial" w:hAnsi="Arial" w:cs="Arial"/>
                                <w:sz w:val="22"/>
                                <w:szCs w:val="22"/>
                              </w:rPr>
                              <w:t>2.75</w:t>
                            </w:r>
                          </w:p>
                        </w:tc>
                        <w:tc>
                          <w:tcPr>
                            <w:tcW w:w="777" w:type="dxa"/>
                          </w:tcPr>
                          <w:p w14:paraId="09CD4BC0" w14:textId="77777777" w:rsidR="00C93BE0" w:rsidRPr="00307F06" w:rsidRDefault="00C93BE0" w:rsidP="004E41A6">
                            <w:pPr>
                              <w:jc w:val="center"/>
                              <w:rPr>
                                <w:rFonts w:ascii="Arial" w:hAnsi="Arial" w:cs="Arial"/>
                                <w:sz w:val="22"/>
                                <w:szCs w:val="22"/>
                              </w:rPr>
                            </w:pPr>
                            <w:r>
                              <w:rPr>
                                <w:rFonts w:ascii="Arial" w:hAnsi="Arial" w:cs="Arial"/>
                                <w:sz w:val="22"/>
                                <w:szCs w:val="22"/>
                              </w:rPr>
                              <w:t>.052</w:t>
                            </w:r>
                          </w:p>
                        </w:tc>
                        <w:tc>
                          <w:tcPr>
                            <w:tcW w:w="834" w:type="dxa"/>
                          </w:tcPr>
                          <w:p w14:paraId="23DFB2E8" w14:textId="77777777" w:rsidR="00C93BE0" w:rsidRDefault="00C93BE0" w:rsidP="004E41A6">
                            <w:pPr>
                              <w:jc w:val="center"/>
                              <w:rPr>
                                <w:rFonts w:ascii="Arial" w:hAnsi="Arial" w:cs="Arial"/>
                                <w:sz w:val="22"/>
                                <w:szCs w:val="22"/>
                              </w:rPr>
                            </w:pPr>
                            <w:r>
                              <w:rPr>
                                <w:rFonts w:ascii="Arial" w:hAnsi="Arial" w:cs="Arial"/>
                                <w:sz w:val="22"/>
                                <w:szCs w:val="22"/>
                              </w:rPr>
                              <w:t>3.06</w:t>
                            </w:r>
                          </w:p>
                        </w:tc>
                        <w:tc>
                          <w:tcPr>
                            <w:tcW w:w="848" w:type="dxa"/>
                          </w:tcPr>
                          <w:p w14:paraId="57DF43EC"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Pr>
                          <w:p w14:paraId="2B3DA62D" w14:textId="77777777" w:rsidR="00C93BE0" w:rsidRDefault="00C93BE0" w:rsidP="004E41A6">
                            <w:pPr>
                              <w:jc w:val="center"/>
                              <w:rPr>
                                <w:rFonts w:ascii="Arial" w:hAnsi="Arial" w:cs="Arial"/>
                                <w:sz w:val="22"/>
                                <w:szCs w:val="22"/>
                              </w:rPr>
                            </w:pPr>
                            <w:r>
                              <w:rPr>
                                <w:rFonts w:ascii="Arial" w:hAnsi="Arial" w:cs="Arial"/>
                                <w:sz w:val="22"/>
                                <w:szCs w:val="22"/>
                              </w:rPr>
                              <w:t>1.22</w:t>
                            </w:r>
                          </w:p>
                        </w:tc>
                        <w:tc>
                          <w:tcPr>
                            <w:tcW w:w="851" w:type="dxa"/>
                          </w:tcPr>
                          <w:p w14:paraId="771CE655" w14:textId="77777777" w:rsidR="00C93BE0" w:rsidRPr="00307F06" w:rsidRDefault="00C93BE0" w:rsidP="004E41A6">
                            <w:pPr>
                              <w:jc w:val="center"/>
                              <w:rPr>
                                <w:rFonts w:ascii="Arial" w:hAnsi="Arial" w:cs="Arial"/>
                                <w:sz w:val="22"/>
                                <w:szCs w:val="22"/>
                              </w:rPr>
                            </w:pPr>
                            <w:r>
                              <w:rPr>
                                <w:rFonts w:ascii="Arial" w:hAnsi="Arial" w:cs="Arial"/>
                                <w:sz w:val="22"/>
                                <w:szCs w:val="22"/>
                              </w:rPr>
                              <w:t>1.114</w:t>
                            </w:r>
                          </w:p>
                        </w:tc>
                        <w:tc>
                          <w:tcPr>
                            <w:tcW w:w="708" w:type="dxa"/>
                          </w:tcPr>
                          <w:p w14:paraId="2ABD50DA" w14:textId="77777777" w:rsidR="00C93BE0" w:rsidRDefault="00C93BE0" w:rsidP="004E41A6">
                            <w:pPr>
                              <w:jc w:val="center"/>
                              <w:rPr>
                                <w:rFonts w:ascii="Arial" w:hAnsi="Arial" w:cs="Arial"/>
                                <w:sz w:val="22"/>
                                <w:szCs w:val="22"/>
                              </w:rPr>
                            </w:pPr>
                            <w:r>
                              <w:rPr>
                                <w:rFonts w:ascii="Arial" w:hAnsi="Arial" w:cs="Arial"/>
                                <w:sz w:val="22"/>
                                <w:szCs w:val="22"/>
                              </w:rPr>
                              <w:t>3.06</w:t>
                            </w:r>
                          </w:p>
                        </w:tc>
                        <w:tc>
                          <w:tcPr>
                            <w:tcW w:w="851" w:type="dxa"/>
                          </w:tcPr>
                          <w:p w14:paraId="3BD38C58"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709" w:type="dxa"/>
                          </w:tcPr>
                          <w:p w14:paraId="3DBBDAF2" w14:textId="77777777" w:rsidR="00C93BE0" w:rsidRDefault="00C93BE0" w:rsidP="004E41A6">
                            <w:pPr>
                              <w:jc w:val="center"/>
                              <w:rPr>
                                <w:rFonts w:ascii="Arial" w:hAnsi="Arial" w:cs="Arial"/>
                                <w:sz w:val="22"/>
                                <w:szCs w:val="22"/>
                              </w:rPr>
                            </w:pPr>
                            <w:r>
                              <w:rPr>
                                <w:rFonts w:ascii="Arial" w:hAnsi="Arial" w:cs="Arial"/>
                                <w:sz w:val="22"/>
                                <w:szCs w:val="22"/>
                              </w:rPr>
                              <w:t>3.06</w:t>
                            </w:r>
                          </w:p>
                        </w:tc>
                        <w:tc>
                          <w:tcPr>
                            <w:tcW w:w="992" w:type="dxa"/>
                          </w:tcPr>
                          <w:p w14:paraId="6ACB3A9F"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r>
                      <w:tr w:rsidR="00C93BE0" w14:paraId="444CC408" w14:textId="77777777" w:rsidTr="0017063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1" w:type="dxa"/>
                            <w:tcBorders>
                              <w:bottom w:val="single" w:sz="8" w:space="0" w:color="000000"/>
                            </w:tcBorders>
                          </w:tcPr>
                          <w:p w14:paraId="15C6033F" w14:textId="77777777" w:rsidR="00C93BE0" w:rsidRPr="006F0EDD" w:rsidRDefault="00C93BE0" w:rsidP="004E41A6">
                            <w:pPr>
                              <w:jc w:val="center"/>
                              <w:rPr>
                                <w:rFonts w:ascii="Arial" w:hAnsi="Arial" w:cs="Arial"/>
                              </w:rPr>
                            </w:pPr>
                            <w:r>
                              <w:rPr>
                                <w:rFonts w:ascii="Arial" w:hAnsi="Arial" w:cs="Arial"/>
                              </w:rPr>
                              <w:t>STS</w:t>
                            </w:r>
                          </w:p>
                        </w:tc>
                        <w:tc>
                          <w:tcPr>
                            <w:tcW w:w="689" w:type="dxa"/>
                            <w:tcBorders>
                              <w:bottom w:val="single" w:sz="8" w:space="0" w:color="000000"/>
                            </w:tcBorders>
                          </w:tcPr>
                          <w:p w14:paraId="68773930" w14:textId="77777777" w:rsidR="00C93BE0" w:rsidRDefault="00C93BE0" w:rsidP="004E41A6">
                            <w:pPr>
                              <w:jc w:val="center"/>
                              <w:rPr>
                                <w:rFonts w:ascii="Arial" w:hAnsi="Arial" w:cs="Arial"/>
                                <w:sz w:val="22"/>
                                <w:szCs w:val="22"/>
                              </w:rPr>
                            </w:pPr>
                            <w:r>
                              <w:rPr>
                                <w:rFonts w:ascii="Arial" w:hAnsi="Arial" w:cs="Arial"/>
                                <w:sz w:val="22"/>
                                <w:szCs w:val="22"/>
                              </w:rPr>
                              <w:t>1.37</w:t>
                            </w:r>
                          </w:p>
                        </w:tc>
                        <w:tc>
                          <w:tcPr>
                            <w:tcW w:w="870" w:type="dxa"/>
                            <w:tcBorders>
                              <w:bottom w:val="single" w:sz="8" w:space="0" w:color="000000"/>
                            </w:tcBorders>
                          </w:tcPr>
                          <w:p w14:paraId="40D9D435" w14:textId="77777777" w:rsidR="00C93BE0" w:rsidRPr="00307F06" w:rsidRDefault="00C93BE0" w:rsidP="004E41A6">
                            <w:pPr>
                              <w:jc w:val="center"/>
                              <w:rPr>
                                <w:rFonts w:ascii="Arial" w:hAnsi="Arial" w:cs="Arial"/>
                                <w:sz w:val="22"/>
                                <w:szCs w:val="22"/>
                              </w:rPr>
                            </w:pPr>
                            <w:r>
                              <w:rPr>
                                <w:rFonts w:ascii="Arial" w:hAnsi="Arial" w:cs="Arial"/>
                                <w:sz w:val="22"/>
                                <w:szCs w:val="22"/>
                              </w:rPr>
                              <w:t>.865</w:t>
                            </w:r>
                          </w:p>
                        </w:tc>
                        <w:tc>
                          <w:tcPr>
                            <w:tcW w:w="660" w:type="dxa"/>
                            <w:tcBorders>
                              <w:bottom w:val="single" w:sz="8" w:space="0" w:color="000000"/>
                            </w:tcBorders>
                          </w:tcPr>
                          <w:p w14:paraId="7FAED310" w14:textId="77777777" w:rsidR="00C93BE0" w:rsidRDefault="00C93BE0" w:rsidP="004E41A6">
                            <w:pPr>
                              <w:jc w:val="center"/>
                              <w:rPr>
                                <w:rFonts w:ascii="Arial" w:hAnsi="Arial" w:cs="Arial"/>
                                <w:sz w:val="22"/>
                                <w:szCs w:val="22"/>
                              </w:rPr>
                            </w:pPr>
                            <w:r>
                              <w:rPr>
                                <w:rFonts w:ascii="Arial" w:hAnsi="Arial" w:cs="Arial"/>
                                <w:sz w:val="22"/>
                                <w:szCs w:val="22"/>
                              </w:rPr>
                              <w:t>1.58</w:t>
                            </w:r>
                          </w:p>
                        </w:tc>
                        <w:tc>
                          <w:tcPr>
                            <w:tcW w:w="777" w:type="dxa"/>
                            <w:tcBorders>
                              <w:bottom w:val="single" w:sz="8" w:space="0" w:color="000000"/>
                            </w:tcBorders>
                          </w:tcPr>
                          <w:p w14:paraId="70E3F689" w14:textId="77777777" w:rsidR="00C93BE0" w:rsidRPr="00307F06" w:rsidRDefault="00C93BE0" w:rsidP="004E41A6">
                            <w:pPr>
                              <w:jc w:val="center"/>
                              <w:rPr>
                                <w:rFonts w:ascii="Arial" w:hAnsi="Arial" w:cs="Arial"/>
                                <w:sz w:val="22"/>
                                <w:szCs w:val="22"/>
                              </w:rPr>
                            </w:pPr>
                            <w:r>
                              <w:rPr>
                                <w:rFonts w:ascii="Arial" w:hAnsi="Arial" w:cs="Arial"/>
                                <w:sz w:val="22"/>
                                <w:szCs w:val="22"/>
                              </w:rPr>
                              <w:t>.608</w:t>
                            </w:r>
                          </w:p>
                        </w:tc>
                        <w:tc>
                          <w:tcPr>
                            <w:tcW w:w="834" w:type="dxa"/>
                            <w:tcBorders>
                              <w:bottom w:val="single" w:sz="8" w:space="0" w:color="000000"/>
                            </w:tcBorders>
                          </w:tcPr>
                          <w:p w14:paraId="7475CAFF" w14:textId="77777777" w:rsidR="00C93BE0" w:rsidRDefault="00C93BE0" w:rsidP="004E41A6">
                            <w:pPr>
                              <w:jc w:val="center"/>
                              <w:rPr>
                                <w:rFonts w:ascii="Arial" w:hAnsi="Arial" w:cs="Arial"/>
                                <w:sz w:val="22"/>
                                <w:szCs w:val="22"/>
                              </w:rPr>
                            </w:pPr>
                            <w:r>
                              <w:rPr>
                                <w:rFonts w:ascii="Arial" w:hAnsi="Arial" w:cs="Arial"/>
                                <w:sz w:val="22"/>
                                <w:szCs w:val="22"/>
                              </w:rPr>
                              <w:t>3.06</w:t>
                            </w:r>
                          </w:p>
                        </w:tc>
                        <w:tc>
                          <w:tcPr>
                            <w:tcW w:w="848" w:type="dxa"/>
                            <w:tcBorders>
                              <w:bottom w:val="single" w:sz="8" w:space="0" w:color="000000"/>
                            </w:tcBorders>
                          </w:tcPr>
                          <w:p w14:paraId="65F981C2"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850" w:type="dxa"/>
                            <w:tcBorders>
                              <w:bottom w:val="single" w:sz="8" w:space="0" w:color="000000"/>
                            </w:tcBorders>
                          </w:tcPr>
                          <w:p w14:paraId="2FF3E9B0" w14:textId="77777777" w:rsidR="00C93BE0" w:rsidRDefault="00C93BE0" w:rsidP="004E41A6">
                            <w:pPr>
                              <w:jc w:val="center"/>
                              <w:rPr>
                                <w:rFonts w:ascii="Arial" w:hAnsi="Arial" w:cs="Arial"/>
                                <w:sz w:val="22"/>
                                <w:szCs w:val="22"/>
                              </w:rPr>
                            </w:pPr>
                            <w:r>
                              <w:rPr>
                                <w:rFonts w:ascii="Arial" w:hAnsi="Arial" w:cs="Arial"/>
                                <w:sz w:val="22"/>
                                <w:szCs w:val="22"/>
                              </w:rPr>
                              <w:t>2.12</w:t>
                            </w:r>
                          </w:p>
                        </w:tc>
                        <w:tc>
                          <w:tcPr>
                            <w:tcW w:w="851" w:type="dxa"/>
                            <w:tcBorders>
                              <w:bottom w:val="single" w:sz="8" w:space="0" w:color="000000"/>
                            </w:tcBorders>
                          </w:tcPr>
                          <w:p w14:paraId="3B58C23B" w14:textId="77777777" w:rsidR="00C93BE0" w:rsidRPr="00307F06" w:rsidRDefault="00C93BE0" w:rsidP="004E41A6">
                            <w:pPr>
                              <w:jc w:val="center"/>
                              <w:rPr>
                                <w:rFonts w:ascii="Arial" w:hAnsi="Arial" w:cs="Arial"/>
                                <w:sz w:val="22"/>
                                <w:szCs w:val="22"/>
                              </w:rPr>
                            </w:pPr>
                            <w:r>
                              <w:rPr>
                                <w:rFonts w:ascii="Arial" w:hAnsi="Arial" w:cs="Arial"/>
                                <w:sz w:val="22"/>
                                <w:szCs w:val="22"/>
                              </w:rPr>
                              <w:t>.228</w:t>
                            </w:r>
                          </w:p>
                        </w:tc>
                        <w:tc>
                          <w:tcPr>
                            <w:tcW w:w="708" w:type="dxa"/>
                            <w:tcBorders>
                              <w:bottom w:val="single" w:sz="8" w:space="0" w:color="000000"/>
                            </w:tcBorders>
                          </w:tcPr>
                          <w:p w14:paraId="57201B3D" w14:textId="77777777" w:rsidR="00C93BE0" w:rsidRDefault="00C93BE0" w:rsidP="004E41A6">
                            <w:pPr>
                              <w:jc w:val="center"/>
                              <w:rPr>
                                <w:rFonts w:ascii="Arial" w:hAnsi="Arial" w:cs="Arial"/>
                                <w:sz w:val="22"/>
                                <w:szCs w:val="22"/>
                              </w:rPr>
                            </w:pPr>
                            <w:r>
                              <w:rPr>
                                <w:rFonts w:ascii="Arial" w:hAnsi="Arial" w:cs="Arial"/>
                                <w:sz w:val="22"/>
                                <w:szCs w:val="22"/>
                              </w:rPr>
                              <w:t>3.06</w:t>
                            </w:r>
                          </w:p>
                        </w:tc>
                        <w:tc>
                          <w:tcPr>
                            <w:tcW w:w="851" w:type="dxa"/>
                            <w:tcBorders>
                              <w:bottom w:val="single" w:sz="8" w:space="0" w:color="000000"/>
                            </w:tcBorders>
                          </w:tcPr>
                          <w:p w14:paraId="05C1C9C8" w14:textId="77777777" w:rsidR="00C93BE0" w:rsidRPr="00307F06" w:rsidRDefault="00C93BE0" w:rsidP="004E41A6">
                            <w:pPr>
                              <w:jc w:val="center"/>
                              <w:rPr>
                                <w:rFonts w:ascii="Arial" w:hAnsi="Arial" w:cs="Arial"/>
                                <w:sz w:val="22"/>
                                <w:szCs w:val="22"/>
                              </w:rPr>
                            </w:pPr>
                            <w:r>
                              <w:rPr>
                                <w:rFonts w:ascii="Arial" w:hAnsi="Arial" w:cs="Arial"/>
                                <w:sz w:val="22"/>
                                <w:szCs w:val="22"/>
                              </w:rPr>
                              <w:t>.028*</w:t>
                            </w:r>
                          </w:p>
                        </w:tc>
                        <w:tc>
                          <w:tcPr>
                            <w:tcW w:w="709" w:type="dxa"/>
                            <w:tcBorders>
                              <w:bottom w:val="single" w:sz="8" w:space="0" w:color="000000"/>
                            </w:tcBorders>
                          </w:tcPr>
                          <w:p w14:paraId="7666B03B" w14:textId="77777777" w:rsidR="00C93BE0" w:rsidRDefault="00C93BE0" w:rsidP="004E41A6">
                            <w:pPr>
                              <w:jc w:val="center"/>
                              <w:rPr>
                                <w:rFonts w:ascii="Arial" w:hAnsi="Arial" w:cs="Arial"/>
                                <w:sz w:val="22"/>
                                <w:szCs w:val="22"/>
                              </w:rPr>
                            </w:pPr>
                            <w:r>
                              <w:rPr>
                                <w:rFonts w:ascii="Arial" w:hAnsi="Arial" w:cs="Arial"/>
                                <w:sz w:val="22"/>
                                <w:szCs w:val="22"/>
                              </w:rPr>
                              <w:t>2.51</w:t>
                            </w:r>
                          </w:p>
                        </w:tc>
                        <w:tc>
                          <w:tcPr>
                            <w:tcW w:w="992" w:type="dxa"/>
                            <w:tcBorders>
                              <w:bottom w:val="single" w:sz="8" w:space="0" w:color="000000"/>
                            </w:tcBorders>
                          </w:tcPr>
                          <w:p w14:paraId="5C83B893" w14:textId="77777777" w:rsidR="00C93BE0" w:rsidRPr="00307F06" w:rsidRDefault="00C93BE0" w:rsidP="004E41A6">
                            <w:pPr>
                              <w:jc w:val="center"/>
                              <w:rPr>
                                <w:rFonts w:ascii="Arial" w:hAnsi="Arial" w:cs="Arial"/>
                                <w:sz w:val="22"/>
                                <w:szCs w:val="22"/>
                              </w:rPr>
                            </w:pPr>
                            <w:r>
                              <w:rPr>
                                <w:rFonts w:ascii="Arial" w:hAnsi="Arial" w:cs="Arial"/>
                                <w:sz w:val="22"/>
                                <w:szCs w:val="22"/>
                              </w:rPr>
                              <w:t>.092</w:t>
                            </w:r>
                          </w:p>
                        </w:tc>
                      </w:tr>
                    </w:tbl>
                    <w:p w14:paraId="50093E92" w14:textId="77777777" w:rsidR="00C93BE0" w:rsidRPr="006F0EDD" w:rsidRDefault="00C93BE0" w:rsidP="00D4752B">
                      <w:pPr>
                        <w:rPr>
                          <w:rFonts w:ascii="Arial" w:hAnsi="Arial" w:cs="Arial"/>
                          <w:i/>
                          <w:iCs/>
                        </w:rPr>
                      </w:pPr>
                      <w:r w:rsidRPr="006F0EDD">
                        <w:rPr>
                          <w:rFonts w:ascii="Arial" w:hAnsi="Arial" w:cs="Arial"/>
                          <w:i/>
                          <w:iCs/>
                        </w:rPr>
                        <w:t>*</w:t>
                      </w:r>
                      <w:r>
                        <w:rPr>
                          <w:rFonts w:ascii="Arial" w:hAnsi="Arial" w:cs="Arial"/>
                          <w:i/>
                          <w:iCs/>
                        </w:rPr>
                        <w:t xml:space="preserve"> p &lt;.05, ** p&lt;.01, *** p&lt;.001</w:t>
                      </w:r>
                    </w:p>
                    <w:p w14:paraId="0DB254D0" w14:textId="77777777" w:rsidR="00C93BE0" w:rsidRDefault="00C93BE0" w:rsidP="00D4752B">
                      <w:pPr>
                        <w:jc w:val="center"/>
                      </w:pPr>
                    </w:p>
                  </w:txbxContent>
                </v:textbox>
                <w10:wrap type="tight"/>
              </v:shape>
            </w:pict>
          </mc:Fallback>
        </mc:AlternateContent>
      </w:r>
      <w:r w:rsidR="00D4752B">
        <w:rPr>
          <w:rFonts w:ascii="Arial" w:hAnsi="Arial" w:cs="Arial"/>
        </w:rPr>
        <w:t xml:space="preserve">Table 6.2). </w:t>
      </w:r>
    </w:p>
    <w:p w14:paraId="4D8CC1C9" w14:textId="18298237" w:rsidR="00D4752B" w:rsidRDefault="00D4752B" w:rsidP="0060072E">
      <w:pPr>
        <w:spacing w:line="480" w:lineRule="auto"/>
        <w:rPr>
          <w:rFonts w:ascii="Arial" w:hAnsi="Arial" w:cs="Arial"/>
        </w:rPr>
      </w:pPr>
    </w:p>
    <w:p w14:paraId="26AEB533" w14:textId="77777777" w:rsidR="00D4752B" w:rsidRPr="00225AB0" w:rsidRDefault="00D4752B" w:rsidP="0060072E">
      <w:pPr>
        <w:spacing w:line="480" w:lineRule="auto"/>
        <w:rPr>
          <w:rFonts w:ascii="Arial" w:hAnsi="Arial" w:cs="Arial"/>
        </w:rPr>
      </w:pPr>
    </w:p>
    <w:p w14:paraId="7E55FC37" w14:textId="77777777" w:rsidR="0060072E" w:rsidRPr="00225AB0" w:rsidRDefault="0060072E" w:rsidP="0060072E">
      <w:pPr>
        <w:rPr>
          <w:rFonts w:ascii="Arial" w:hAnsi="Arial" w:cs="Arial"/>
        </w:rPr>
      </w:pPr>
    </w:p>
    <w:p w14:paraId="43B9CB9B" w14:textId="77777777" w:rsidR="0060072E" w:rsidRPr="00225AB0" w:rsidRDefault="0060072E" w:rsidP="0060072E">
      <w:pPr>
        <w:rPr>
          <w:rFonts w:ascii="Arial" w:hAnsi="Arial" w:cs="Arial"/>
        </w:rPr>
      </w:pPr>
    </w:p>
    <w:p w14:paraId="49C4DC70" w14:textId="24936A0D" w:rsidR="0060072E" w:rsidRDefault="0060072E" w:rsidP="0060072E">
      <w:pPr>
        <w:spacing w:line="480" w:lineRule="auto"/>
        <w:rPr>
          <w:rFonts w:ascii="Arial" w:hAnsi="Arial" w:cs="Arial"/>
        </w:rPr>
      </w:pPr>
      <w:r w:rsidRPr="00225AB0">
        <w:rPr>
          <w:rFonts w:ascii="Arial" w:hAnsi="Arial" w:cs="Arial"/>
        </w:rPr>
        <w:lastRenderedPageBreak/>
        <w:t xml:space="preserve">Hence, the vast majority of these successful classifications at the pairwise level </w:t>
      </w:r>
      <w:proofErr w:type="gramStart"/>
      <w:r w:rsidRPr="00225AB0">
        <w:rPr>
          <w:rFonts w:ascii="Arial" w:hAnsi="Arial" w:cs="Arial"/>
        </w:rPr>
        <w:t>were</w:t>
      </w:r>
      <w:proofErr w:type="gramEnd"/>
      <w:r w:rsidRPr="00225AB0">
        <w:rPr>
          <w:rFonts w:ascii="Arial" w:hAnsi="Arial" w:cs="Arial"/>
        </w:rPr>
        <w:t xml:space="preserve"> driven by differences in patterns of activation between attention to faces and attention to low-level visual stimuli. To support this, a further multi-class </w:t>
      </w:r>
      <w:r w:rsidR="00F05C62">
        <w:rPr>
          <w:rFonts w:ascii="Arial" w:hAnsi="Arial" w:cs="Arial"/>
        </w:rPr>
        <w:t xml:space="preserve">(three-way) </w:t>
      </w:r>
      <w:r w:rsidR="00DD0A13">
        <w:rPr>
          <w:rFonts w:ascii="Arial" w:hAnsi="Arial" w:cs="Arial"/>
        </w:rPr>
        <w:t>SVM</w:t>
      </w:r>
      <w:r w:rsidR="00F05C62">
        <w:rPr>
          <w:rFonts w:ascii="Arial" w:hAnsi="Arial" w:cs="Arial"/>
        </w:rPr>
        <w:t xml:space="preserve"> </w:t>
      </w:r>
      <w:r w:rsidRPr="00225AB0">
        <w:rPr>
          <w:rFonts w:ascii="Arial" w:hAnsi="Arial" w:cs="Arial"/>
        </w:rPr>
        <w:t>decoding analysis</w:t>
      </w:r>
      <w:r w:rsidR="00F05C62">
        <w:rPr>
          <w:rFonts w:ascii="Arial" w:hAnsi="Arial" w:cs="Arial"/>
        </w:rPr>
        <w:t xml:space="preserve"> was performed</w:t>
      </w:r>
      <w:r w:rsidRPr="00225AB0">
        <w:rPr>
          <w:rFonts w:ascii="Arial" w:hAnsi="Arial" w:cs="Arial"/>
        </w:rPr>
        <w:t>, classifying orientation, colour and shape data simultaneously</w:t>
      </w:r>
      <w:r w:rsidR="00F92F65">
        <w:rPr>
          <w:rFonts w:ascii="Arial" w:hAnsi="Arial" w:cs="Arial"/>
        </w:rPr>
        <w:t>. This</w:t>
      </w:r>
      <w:r w:rsidRPr="00225AB0">
        <w:rPr>
          <w:rFonts w:ascii="Arial" w:hAnsi="Arial" w:cs="Arial"/>
        </w:rPr>
        <w:t xml:space="preserve"> identified no classification accuracies significantly above chance (33.33%) in any ROI examined (</w:t>
      </w:r>
      <w:r w:rsidRPr="00225AB0">
        <w:rPr>
          <w:rFonts w:ascii="Arial" w:hAnsi="Arial" w:cs="Arial"/>
          <w:i/>
        </w:rPr>
        <w:t>p</w:t>
      </w:r>
      <w:r w:rsidRPr="00225AB0">
        <w:rPr>
          <w:rFonts w:ascii="Arial" w:hAnsi="Arial" w:cs="Arial"/>
        </w:rPr>
        <w:t xml:space="preserve"> &gt; .05). </w:t>
      </w:r>
    </w:p>
    <w:p w14:paraId="20499A71" w14:textId="77777777" w:rsidR="00F771D6" w:rsidRDefault="00F771D6" w:rsidP="0060072E">
      <w:pPr>
        <w:spacing w:line="480" w:lineRule="auto"/>
        <w:rPr>
          <w:rFonts w:ascii="Arial" w:hAnsi="Arial" w:cs="Arial"/>
        </w:rPr>
      </w:pPr>
    </w:p>
    <w:p w14:paraId="42B6AE27" w14:textId="77777777" w:rsidR="00F771D6" w:rsidRDefault="00F771D6" w:rsidP="001811CC">
      <w:pPr>
        <w:pStyle w:val="Heading3"/>
        <w:numPr>
          <w:ilvl w:val="2"/>
          <w:numId w:val="7"/>
        </w:numPr>
        <w:rPr>
          <w:rFonts w:ascii="Arial" w:hAnsi="Arial" w:cs="Arial"/>
          <w:b/>
          <w:i/>
          <w:color w:val="000000" w:themeColor="text1"/>
          <w:sz w:val="28"/>
          <w:szCs w:val="28"/>
        </w:rPr>
      </w:pPr>
      <w:bookmarkStart w:id="845" w:name="_Toc11753686"/>
      <w:bookmarkStart w:id="846" w:name="_Toc11926872"/>
      <w:bookmarkStart w:id="847" w:name="_Toc11930138"/>
      <w:bookmarkStart w:id="848" w:name="_Toc16075454"/>
      <w:bookmarkStart w:id="849" w:name="_Toc16237044"/>
      <w:r>
        <w:rPr>
          <w:rFonts w:ascii="Arial" w:hAnsi="Arial" w:cs="Arial"/>
          <w:b/>
          <w:i/>
          <w:color w:val="000000" w:themeColor="text1"/>
          <w:sz w:val="28"/>
          <w:szCs w:val="28"/>
        </w:rPr>
        <w:t>Multivariate</w:t>
      </w:r>
      <w:r w:rsidRPr="00F771D6">
        <w:rPr>
          <w:rFonts w:ascii="Arial" w:hAnsi="Arial" w:cs="Arial"/>
          <w:b/>
          <w:i/>
          <w:color w:val="000000" w:themeColor="text1"/>
          <w:sz w:val="28"/>
          <w:szCs w:val="28"/>
        </w:rPr>
        <w:t xml:space="preserve">- </w:t>
      </w:r>
      <w:r>
        <w:rPr>
          <w:rFonts w:ascii="Arial" w:hAnsi="Arial" w:cs="Arial"/>
          <w:b/>
          <w:i/>
          <w:color w:val="000000" w:themeColor="text1"/>
          <w:sz w:val="28"/>
          <w:szCs w:val="28"/>
        </w:rPr>
        <w:t>3x</w:t>
      </w:r>
      <w:r w:rsidRPr="00F771D6">
        <w:rPr>
          <w:rFonts w:ascii="Arial" w:hAnsi="Arial" w:cs="Arial"/>
          <w:b/>
          <w:i/>
          <w:color w:val="000000" w:themeColor="text1"/>
          <w:sz w:val="28"/>
          <w:szCs w:val="28"/>
        </w:rPr>
        <w:t>3 feature attentional modulation</w:t>
      </w:r>
      <w:bookmarkEnd w:id="845"/>
      <w:bookmarkEnd w:id="846"/>
      <w:bookmarkEnd w:id="847"/>
      <w:bookmarkEnd w:id="848"/>
      <w:bookmarkEnd w:id="849"/>
    </w:p>
    <w:p w14:paraId="7543E47C" w14:textId="77777777" w:rsidR="00F771D6" w:rsidRPr="00225AB0" w:rsidRDefault="00F771D6" w:rsidP="0060072E">
      <w:pPr>
        <w:spacing w:line="480" w:lineRule="auto"/>
        <w:rPr>
          <w:rFonts w:ascii="Arial" w:hAnsi="Arial" w:cs="Arial"/>
        </w:rPr>
      </w:pPr>
    </w:p>
    <w:p w14:paraId="48A14C7A" w14:textId="13C6116E" w:rsidR="0060072E" w:rsidRPr="00225AB0" w:rsidRDefault="0060072E" w:rsidP="0060072E">
      <w:pPr>
        <w:spacing w:line="480" w:lineRule="auto"/>
        <w:rPr>
          <w:rFonts w:ascii="Arial" w:hAnsi="Arial" w:cs="Arial"/>
        </w:rPr>
      </w:pPr>
      <w:r w:rsidRPr="00225AB0">
        <w:rPr>
          <w:rFonts w:ascii="Arial" w:hAnsi="Arial" w:cs="Arial"/>
        </w:rPr>
        <w:t xml:space="preserve">We then repeated </w:t>
      </w:r>
      <w:r w:rsidR="00DD0A13">
        <w:rPr>
          <w:rFonts w:ascii="Arial" w:hAnsi="Arial" w:cs="Arial"/>
        </w:rPr>
        <w:t>the</w:t>
      </w:r>
      <w:r w:rsidR="00DD0A13" w:rsidRPr="00225AB0">
        <w:rPr>
          <w:rFonts w:ascii="Arial" w:hAnsi="Arial" w:cs="Arial"/>
        </w:rPr>
        <w:t xml:space="preserve"> </w:t>
      </w:r>
      <w:r w:rsidRPr="00225AB0">
        <w:rPr>
          <w:rFonts w:ascii="Arial" w:hAnsi="Arial" w:cs="Arial"/>
        </w:rPr>
        <w:t>SVM analysis for each low-level visual feature category independently to investigate i</w:t>
      </w:r>
      <w:r w:rsidR="00A42D70">
        <w:rPr>
          <w:rFonts w:ascii="Arial" w:hAnsi="Arial" w:cs="Arial"/>
        </w:rPr>
        <w:t>f</w:t>
      </w:r>
      <w:r w:rsidRPr="00225AB0">
        <w:rPr>
          <w:rFonts w:ascii="Arial" w:hAnsi="Arial" w:cs="Arial"/>
        </w:rPr>
        <w:t xml:space="preserve"> was possible to detect fine-scale, voxel-level patterns of modulation which differed across dimensions </w:t>
      </w:r>
      <w:r w:rsidR="00D44AC6">
        <w:rPr>
          <w:rFonts w:ascii="Arial" w:hAnsi="Arial" w:cs="Arial"/>
        </w:rPr>
        <w:t>in</w:t>
      </w:r>
      <w:r w:rsidRPr="00225AB0">
        <w:rPr>
          <w:rFonts w:ascii="Arial" w:hAnsi="Arial" w:cs="Arial"/>
        </w:rPr>
        <w:t xml:space="preserve"> a feature category. We first performed multi-class classification and performed multiple one-sample Wilcoxon signed-rank tests assessing classification performance versus chance (33.33%). These analyses revealed no above-chance classification performance across vertical, horizontal or diagonal orientations, red, green or blue stimulus chromaticities or circular, square or triangular shapes respectively (</w:t>
      </w:r>
      <w:r w:rsidRPr="00225AB0">
        <w:rPr>
          <w:rFonts w:ascii="Arial" w:hAnsi="Arial" w:cs="Arial"/>
          <w:i/>
        </w:rPr>
        <w:t>p</w:t>
      </w:r>
      <w:r w:rsidRPr="00225AB0">
        <w:rPr>
          <w:rFonts w:ascii="Arial" w:hAnsi="Arial" w:cs="Arial"/>
        </w:rPr>
        <w:t xml:space="preserve"> &gt; .05). Mean classification accuracy ranged from 29.29-37.59% for the orientation analysis</w:t>
      </w:r>
      <w:r w:rsidR="006A6E96">
        <w:rPr>
          <w:rFonts w:ascii="Arial" w:hAnsi="Arial" w:cs="Arial"/>
        </w:rPr>
        <w:t xml:space="preserve"> (see Figure 6.6A)</w:t>
      </w:r>
      <w:r w:rsidRPr="00225AB0">
        <w:rPr>
          <w:rFonts w:ascii="Arial" w:hAnsi="Arial" w:cs="Arial"/>
        </w:rPr>
        <w:t xml:space="preserve">, 29.86- 36.27% for attention to colour </w:t>
      </w:r>
      <w:r w:rsidR="006A6E96">
        <w:rPr>
          <w:rFonts w:ascii="Arial" w:hAnsi="Arial" w:cs="Arial"/>
        </w:rPr>
        <w:t xml:space="preserve">(see Figure 6.6B) </w:t>
      </w:r>
      <w:r w:rsidRPr="00225AB0">
        <w:rPr>
          <w:rFonts w:ascii="Arial" w:hAnsi="Arial" w:cs="Arial"/>
        </w:rPr>
        <w:t>and 35.57-47.71% for attention to shape conditions</w:t>
      </w:r>
      <w:r w:rsidR="006A6E96">
        <w:rPr>
          <w:rFonts w:ascii="Arial" w:hAnsi="Arial" w:cs="Arial"/>
        </w:rPr>
        <w:t xml:space="preserve"> (see Figure 6.6C)</w:t>
      </w:r>
      <w:r w:rsidRPr="00225AB0">
        <w:rPr>
          <w:rFonts w:ascii="Arial" w:hAnsi="Arial" w:cs="Arial"/>
        </w:rPr>
        <w:t xml:space="preserve">. </w:t>
      </w:r>
    </w:p>
    <w:p w14:paraId="6EFFBFA8" w14:textId="77777777" w:rsidR="0060072E" w:rsidRPr="00225AB0" w:rsidRDefault="0060072E" w:rsidP="0060072E">
      <w:pPr>
        <w:spacing w:line="480" w:lineRule="auto"/>
        <w:rPr>
          <w:rFonts w:ascii="Arial" w:hAnsi="Arial" w:cs="Arial"/>
        </w:rPr>
      </w:pPr>
    </w:p>
    <w:p w14:paraId="602B2437" w14:textId="61D1141B" w:rsidR="007B68C2" w:rsidRDefault="0060072E" w:rsidP="00170639">
      <w:pPr>
        <w:spacing w:line="480" w:lineRule="auto"/>
        <w:rPr>
          <w:rFonts w:ascii="Arial" w:hAnsi="Arial" w:cs="Arial"/>
        </w:rPr>
      </w:pPr>
      <w:r w:rsidRPr="00225AB0">
        <w:rPr>
          <w:rFonts w:ascii="Arial" w:hAnsi="Arial" w:cs="Arial"/>
        </w:rPr>
        <w:t xml:space="preserve">We again performed classification on all pairwise combinations of conditions </w:t>
      </w:r>
      <w:r w:rsidR="00D44AC6">
        <w:rPr>
          <w:rFonts w:ascii="Arial" w:hAnsi="Arial" w:cs="Arial"/>
        </w:rPr>
        <w:t>in</w:t>
      </w:r>
      <w:r w:rsidRPr="00225AB0">
        <w:rPr>
          <w:rFonts w:ascii="Arial" w:hAnsi="Arial" w:cs="Arial"/>
        </w:rPr>
        <w:t xml:space="preserve"> each feature category. In all classifications performed, we identified no </w:t>
      </w:r>
      <w:r w:rsidRPr="00225AB0">
        <w:rPr>
          <w:rFonts w:ascii="Arial" w:hAnsi="Arial" w:cs="Arial"/>
        </w:rPr>
        <w:lastRenderedPageBreak/>
        <w:t>significantly above-chance (50%) decoding accuracies for any of the stimulus feature conditions (</w:t>
      </w:r>
      <w:r w:rsidRPr="00225AB0">
        <w:rPr>
          <w:rFonts w:ascii="Arial" w:hAnsi="Arial" w:cs="Arial"/>
          <w:i/>
        </w:rPr>
        <w:t>p</w:t>
      </w:r>
      <w:r w:rsidRPr="00225AB0">
        <w:rPr>
          <w:rFonts w:ascii="Arial" w:hAnsi="Arial" w:cs="Arial"/>
        </w:rPr>
        <w:t xml:space="preserve"> &gt; .05). </w:t>
      </w:r>
    </w:p>
    <w:p w14:paraId="610C8A7E" w14:textId="0ACB6768" w:rsidR="0060072E" w:rsidRDefault="007B68C2" w:rsidP="00170639">
      <w:pPr>
        <w:tabs>
          <w:tab w:val="left" w:pos="1929"/>
        </w:tabs>
        <w:rPr>
          <w:rFonts w:ascii="Arial" w:hAnsi="Arial" w:cs="Arial"/>
        </w:rPr>
      </w:pPr>
      <w:r>
        <w:rPr>
          <w:rFonts w:ascii="Arial" w:hAnsi="Arial" w:cs="Arial"/>
          <w:noProof/>
          <w:lang w:eastAsia="en-GB"/>
        </w:rPr>
        <mc:AlternateContent>
          <mc:Choice Requires="wps">
            <w:drawing>
              <wp:anchor distT="0" distB="0" distL="114300" distR="114300" simplePos="0" relativeHeight="251844608" behindDoc="0" locked="0" layoutInCell="1" allowOverlap="1" wp14:anchorId="0A842D5F" wp14:editId="7A71FA29">
                <wp:simplePos x="0" y="0"/>
                <wp:positionH relativeFrom="column">
                  <wp:posOffset>-133542</wp:posOffset>
                </wp:positionH>
                <wp:positionV relativeFrom="paragraph">
                  <wp:posOffset>563</wp:posOffset>
                </wp:positionV>
                <wp:extent cx="5292090" cy="7814945"/>
                <wp:effectExtent l="0" t="0" r="16510" b="8255"/>
                <wp:wrapSquare wrapText="bothSides"/>
                <wp:docPr id="120" name="Text Box 120"/>
                <wp:cNvGraphicFramePr/>
                <a:graphic xmlns:a="http://schemas.openxmlformats.org/drawingml/2006/main">
                  <a:graphicData uri="http://schemas.microsoft.com/office/word/2010/wordprocessingShape">
                    <wps:wsp>
                      <wps:cNvSpPr txBox="1"/>
                      <wps:spPr>
                        <a:xfrm>
                          <a:off x="0" y="0"/>
                          <a:ext cx="5292090" cy="7814945"/>
                        </a:xfrm>
                        <a:prstGeom prst="rect">
                          <a:avLst/>
                        </a:prstGeom>
                        <a:solidFill>
                          <a:schemeClr val="bg1"/>
                        </a:solidFill>
                        <a:ln w="6350">
                          <a:solidFill>
                            <a:schemeClr val="bg1"/>
                          </a:solidFill>
                        </a:ln>
                      </wps:spPr>
                      <wps:txbx>
                        <w:txbxContent>
                          <w:p w14:paraId="781B8738" w14:textId="15A1CF53" w:rsidR="00C93BE0" w:rsidRDefault="00C93BE0" w:rsidP="00925460">
                            <w:pPr>
                              <w:keepNext/>
                              <w:jc w:val="center"/>
                            </w:pPr>
                            <w:r>
                              <w:rPr>
                                <w:noProof/>
                              </w:rPr>
                              <w:drawing>
                                <wp:inline distT="0" distB="0" distL="0" distR="0" wp14:anchorId="18794B50" wp14:editId="4B002398">
                                  <wp:extent cx="5124091" cy="6603550"/>
                                  <wp:effectExtent l="0" t="0" r="0"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ure6.6-3x3multivariate_matrix.png"/>
                                          <pic:cNvPicPr/>
                                        </pic:nvPicPr>
                                        <pic:blipFill rotWithShape="1">
                                          <a:blip r:embed="rId79">
                                            <a:extLst>
                                              <a:ext uri="{28A0092B-C50C-407E-A947-70E740481C1C}">
                                                <a14:useLocalDpi xmlns:a14="http://schemas.microsoft.com/office/drawing/2010/main" val="0"/>
                                              </a:ext>
                                            </a:extLst>
                                          </a:blip>
                                          <a:srcRect l="4057" r="2283" b="4315"/>
                                          <a:stretch/>
                                        </pic:blipFill>
                                        <pic:spPr bwMode="auto">
                                          <a:xfrm>
                                            <a:off x="0" y="0"/>
                                            <a:ext cx="5137065" cy="6620270"/>
                                          </a:xfrm>
                                          <a:prstGeom prst="rect">
                                            <a:avLst/>
                                          </a:prstGeom>
                                          <a:ln>
                                            <a:noFill/>
                                          </a:ln>
                                          <a:extLst>
                                            <a:ext uri="{53640926-AAD7-44D8-BBD7-CCE9431645EC}">
                                              <a14:shadowObscured xmlns:a14="http://schemas.microsoft.com/office/drawing/2010/main"/>
                                            </a:ext>
                                          </a:extLst>
                                        </pic:spPr>
                                      </pic:pic>
                                    </a:graphicData>
                                  </a:graphic>
                                </wp:inline>
                              </w:drawing>
                            </w:r>
                          </w:p>
                          <w:p w14:paraId="531F5A6A" w14:textId="328345A7" w:rsidR="00C93BE0" w:rsidRPr="00291DCE" w:rsidRDefault="00C93BE0" w:rsidP="00925460">
                            <w:pPr>
                              <w:pStyle w:val="Caption"/>
                              <w:spacing w:line="360" w:lineRule="auto"/>
                              <w:jc w:val="both"/>
                              <w:rPr>
                                <w:rFonts w:ascii="Arial" w:hAnsi="Arial" w:cs="Arial"/>
                                <w:i w:val="0"/>
                                <w:color w:val="000000" w:themeColor="text1"/>
                                <w:sz w:val="24"/>
                                <w:szCs w:val="24"/>
                              </w:rPr>
                            </w:pPr>
                            <w:bookmarkStart w:id="850" w:name="_Toc12363366"/>
                            <w:bookmarkStart w:id="851" w:name="_Toc16242723"/>
                            <w:r w:rsidRPr="00291DCE">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sidRPr="00291DCE">
                              <w:rPr>
                                <w:rFonts w:ascii="Arial" w:hAnsi="Arial" w:cs="Arial"/>
                                <w:i w:val="0"/>
                                <w:color w:val="000000" w:themeColor="text1"/>
                                <w:sz w:val="24"/>
                                <w:szCs w:val="24"/>
                              </w:rPr>
                              <w:t xml:space="preserve"> 3x3 feature multivariate support vector machine decoding. Across orientation (A), colour (B) shape (C) low-level feature analysis conditions, no significant classification of attentional state was evident </w:t>
                            </w:r>
                            <w:r>
                              <w:rPr>
                                <w:rFonts w:ascii="Arial" w:hAnsi="Arial" w:cs="Arial"/>
                                <w:i w:val="0"/>
                                <w:color w:val="000000" w:themeColor="text1"/>
                                <w:sz w:val="24"/>
                                <w:szCs w:val="24"/>
                              </w:rPr>
                              <w:t>within</w:t>
                            </w:r>
                            <w:r w:rsidRPr="00291DCE">
                              <w:rPr>
                                <w:rFonts w:ascii="Arial" w:hAnsi="Arial" w:cs="Arial"/>
                                <w:i w:val="0"/>
                                <w:color w:val="000000" w:themeColor="text1"/>
                                <w:sz w:val="24"/>
                                <w:szCs w:val="24"/>
                              </w:rPr>
                              <w:t xml:space="preserve"> multiclass or </w:t>
                            </w:r>
                            <w:r>
                              <w:rPr>
                                <w:rFonts w:ascii="Arial" w:hAnsi="Arial" w:cs="Arial"/>
                                <w:i w:val="0"/>
                                <w:color w:val="000000" w:themeColor="text1"/>
                                <w:sz w:val="24"/>
                                <w:szCs w:val="24"/>
                              </w:rPr>
                              <w:t>pairwise support vector machine decoding</w:t>
                            </w:r>
                            <w:r w:rsidRPr="00291DCE">
                              <w:rPr>
                                <w:rFonts w:ascii="Arial" w:hAnsi="Arial" w:cs="Arial"/>
                                <w:i w:val="0"/>
                                <w:color w:val="000000" w:themeColor="text1"/>
                                <w:sz w:val="24"/>
                                <w:szCs w:val="24"/>
                              </w:rPr>
                              <w:t>. Error bars reflect +/- 1 SEM.</w:t>
                            </w:r>
                            <w:bookmarkEnd w:id="850"/>
                            <w:bookmarkEnd w:id="851"/>
                            <w:r w:rsidRPr="00291DCE">
                              <w:rPr>
                                <w:rFonts w:ascii="Arial" w:hAnsi="Arial" w:cs="Arial"/>
                                <w:i w:val="0"/>
                                <w:color w:val="000000" w:themeColor="text1"/>
                                <w:sz w:val="24"/>
                                <w:szCs w:val="24"/>
                              </w:rPr>
                              <w:t xml:space="preserve"> </w:t>
                            </w:r>
                          </w:p>
                          <w:p w14:paraId="74DC8413" w14:textId="08A047E1" w:rsidR="00C93BE0" w:rsidRDefault="00C93BE0" w:rsidP="00925460">
                            <w:pPr>
                              <w:jc w:val="center"/>
                            </w:pPr>
                            <w: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42D5F" id="Text Box 120" o:spid="_x0000_s1068" type="#_x0000_t202" style="position:absolute;margin-left:-10.5pt;margin-top:.05pt;width:416.7pt;height:615.3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" fillcolor="white [3212]" strokecolor="white [3212]" strokeweight=".5pt">
                <v:textbox>
                  <w:txbxContent>
                    <w:p w14:paraId="781B8738" w14:textId="15A1CF53" w:rsidR="00C93BE0" w:rsidRDefault="00C93BE0" w:rsidP="00925460">
                      <w:pPr>
                        <w:keepNext/>
                        <w:jc w:val="center"/>
                      </w:pPr>
                      <w:r>
                        <w:rPr>
                          <w:noProof/>
                        </w:rPr>
                        <w:drawing>
                          <wp:inline distT="0" distB="0" distL="0" distR="0" wp14:anchorId="18794B50" wp14:editId="4B002398">
                            <wp:extent cx="5124091" cy="6603550"/>
                            <wp:effectExtent l="0" t="0" r="0"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ure6.6-3x3multivariate_matrix.png"/>
                                    <pic:cNvPicPr/>
                                  </pic:nvPicPr>
                                  <pic:blipFill rotWithShape="1">
                                    <a:blip r:embed="rId80">
                                      <a:extLst>
                                        <a:ext uri="{28A0092B-C50C-407E-A947-70E740481C1C}">
                                          <a14:useLocalDpi xmlns:a14="http://schemas.microsoft.com/office/drawing/2010/main" val="0"/>
                                        </a:ext>
                                      </a:extLst>
                                    </a:blip>
                                    <a:srcRect l="4057" r="2283" b="4315"/>
                                    <a:stretch/>
                                  </pic:blipFill>
                                  <pic:spPr bwMode="auto">
                                    <a:xfrm>
                                      <a:off x="0" y="0"/>
                                      <a:ext cx="5137065" cy="6620270"/>
                                    </a:xfrm>
                                    <a:prstGeom prst="rect">
                                      <a:avLst/>
                                    </a:prstGeom>
                                    <a:ln>
                                      <a:noFill/>
                                    </a:ln>
                                    <a:extLst>
                                      <a:ext uri="{53640926-AAD7-44D8-BBD7-CCE9431645EC}">
                                        <a14:shadowObscured xmlns:a14="http://schemas.microsoft.com/office/drawing/2010/main"/>
                                      </a:ext>
                                    </a:extLst>
                                  </pic:spPr>
                                </pic:pic>
                              </a:graphicData>
                            </a:graphic>
                          </wp:inline>
                        </w:drawing>
                      </w:r>
                    </w:p>
                    <w:p w14:paraId="531F5A6A" w14:textId="328345A7" w:rsidR="00C93BE0" w:rsidRPr="00291DCE" w:rsidRDefault="00C93BE0" w:rsidP="00925460">
                      <w:pPr>
                        <w:pStyle w:val="Caption"/>
                        <w:spacing w:line="360" w:lineRule="auto"/>
                        <w:jc w:val="both"/>
                        <w:rPr>
                          <w:rFonts w:ascii="Arial" w:hAnsi="Arial" w:cs="Arial"/>
                          <w:i w:val="0"/>
                          <w:color w:val="000000" w:themeColor="text1"/>
                          <w:sz w:val="24"/>
                          <w:szCs w:val="24"/>
                        </w:rPr>
                      </w:pPr>
                      <w:bookmarkStart w:id="922" w:name="_Toc12363366"/>
                      <w:bookmarkStart w:id="923" w:name="_Toc16242723"/>
                      <w:r w:rsidRPr="00291DCE">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sidRPr="00291DCE">
                        <w:rPr>
                          <w:rFonts w:ascii="Arial" w:hAnsi="Arial" w:cs="Arial"/>
                          <w:i w:val="0"/>
                          <w:color w:val="000000" w:themeColor="text1"/>
                          <w:sz w:val="24"/>
                          <w:szCs w:val="24"/>
                        </w:rPr>
                        <w:t xml:space="preserve"> 3x3 feature multivariate support vector machine decoding. Across orientation (A), colour (B) shape (C) low-level feature analysis conditions, no significant classification of attentional state was evident </w:t>
                      </w:r>
                      <w:r>
                        <w:rPr>
                          <w:rFonts w:ascii="Arial" w:hAnsi="Arial" w:cs="Arial"/>
                          <w:i w:val="0"/>
                          <w:color w:val="000000" w:themeColor="text1"/>
                          <w:sz w:val="24"/>
                          <w:szCs w:val="24"/>
                        </w:rPr>
                        <w:t>within</w:t>
                      </w:r>
                      <w:r w:rsidRPr="00291DCE">
                        <w:rPr>
                          <w:rFonts w:ascii="Arial" w:hAnsi="Arial" w:cs="Arial"/>
                          <w:i w:val="0"/>
                          <w:color w:val="000000" w:themeColor="text1"/>
                          <w:sz w:val="24"/>
                          <w:szCs w:val="24"/>
                        </w:rPr>
                        <w:t xml:space="preserve"> multiclass or </w:t>
                      </w:r>
                      <w:r>
                        <w:rPr>
                          <w:rFonts w:ascii="Arial" w:hAnsi="Arial" w:cs="Arial"/>
                          <w:i w:val="0"/>
                          <w:color w:val="000000" w:themeColor="text1"/>
                          <w:sz w:val="24"/>
                          <w:szCs w:val="24"/>
                        </w:rPr>
                        <w:t>pairwise support vector machine decoding</w:t>
                      </w:r>
                      <w:r w:rsidRPr="00291DCE">
                        <w:rPr>
                          <w:rFonts w:ascii="Arial" w:hAnsi="Arial" w:cs="Arial"/>
                          <w:i w:val="0"/>
                          <w:color w:val="000000" w:themeColor="text1"/>
                          <w:sz w:val="24"/>
                          <w:szCs w:val="24"/>
                        </w:rPr>
                        <w:t>. Error bars reflect +/- 1 SEM.</w:t>
                      </w:r>
                      <w:bookmarkEnd w:id="922"/>
                      <w:bookmarkEnd w:id="923"/>
                      <w:r w:rsidRPr="00291DCE">
                        <w:rPr>
                          <w:rFonts w:ascii="Arial" w:hAnsi="Arial" w:cs="Arial"/>
                          <w:i w:val="0"/>
                          <w:color w:val="000000" w:themeColor="text1"/>
                          <w:sz w:val="24"/>
                          <w:szCs w:val="24"/>
                        </w:rPr>
                        <w:t xml:space="preserve"> </w:t>
                      </w:r>
                    </w:p>
                    <w:p w14:paraId="74DC8413" w14:textId="08A047E1" w:rsidR="00C93BE0" w:rsidRDefault="00C93BE0" w:rsidP="00925460">
                      <w:pPr>
                        <w:jc w:val="center"/>
                      </w:pPr>
                      <w:r>
                        <w:t>22</w:t>
                      </w:r>
                    </w:p>
                  </w:txbxContent>
                </v:textbox>
                <w10:wrap type="square"/>
              </v:shape>
            </w:pict>
          </mc:Fallback>
        </mc:AlternateContent>
      </w:r>
    </w:p>
    <w:p w14:paraId="3929F391" w14:textId="77777777" w:rsidR="00F771D6" w:rsidRDefault="00F771D6" w:rsidP="001811CC">
      <w:pPr>
        <w:pStyle w:val="Heading3"/>
        <w:numPr>
          <w:ilvl w:val="2"/>
          <w:numId w:val="7"/>
        </w:numPr>
        <w:rPr>
          <w:rFonts w:ascii="Arial" w:hAnsi="Arial" w:cs="Arial"/>
          <w:b/>
          <w:i/>
          <w:color w:val="000000" w:themeColor="text1"/>
          <w:sz w:val="28"/>
          <w:szCs w:val="28"/>
        </w:rPr>
      </w:pPr>
      <w:bookmarkStart w:id="852" w:name="_Toc11753687"/>
      <w:bookmarkStart w:id="853" w:name="_Toc11926873"/>
      <w:bookmarkStart w:id="854" w:name="_Toc11930139"/>
      <w:bookmarkStart w:id="855" w:name="_Toc16075455"/>
      <w:bookmarkStart w:id="856" w:name="_Toc16237045"/>
      <w:r>
        <w:rPr>
          <w:rFonts w:ascii="Arial" w:hAnsi="Arial" w:cs="Arial"/>
          <w:b/>
          <w:i/>
          <w:color w:val="000000" w:themeColor="text1"/>
          <w:sz w:val="28"/>
          <w:szCs w:val="28"/>
        </w:rPr>
        <w:lastRenderedPageBreak/>
        <w:t>Timeseries connectivity analysis</w:t>
      </w:r>
      <w:bookmarkEnd w:id="852"/>
      <w:bookmarkEnd w:id="853"/>
      <w:bookmarkEnd w:id="854"/>
      <w:bookmarkEnd w:id="855"/>
      <w:bookmarkEnd w:id="856"/>
    </w:p>
    <w:p w14:paraId="1971DBD1" w14:textId="77777777" w:rsidR="00F771D6" w:rsidRPr="00F771D6" w:rsidRDefault="00F771D6" w:rsidP="00F771D6"/>
    <w:p w14:paraId="400AA81C" w14:textId="77777777" w:rsidR="00F771D6" w:rsidRPr="00F771D6" w:rsidRDefault="00F771D6" w:rsidP="00F771D6">
      <w:pPr>
        <w:pStyle w:val="Heading4"/>
        <w:rPr>
          <w:rFonts w:ascii="Arial" w:hAnsi="Arial" w:cs="Arial"/>
          <w:color w:val="000000" w:themeColor="text1"/>
          <w:sz w:val="28"/>
          <w:szCs w:val="28"/>
        </w:rPr>
      </w:pPr>
      <w:bookmarkStart w:id="857" w:name="_Toc11930140"/>
      <w:bookmarkStart w:id="858" w:name="_Toc16075456"/>
      <w:r w:rsidRPr="00F771D6">
        <w:rPr>
          <w:rFonts w:ascii="Arial" w:hAnsi="Arial" w:cs="Arial"/>
          <w:color w:val="000000" w:themeColor="text1"/>
          <w:sz w:val="28"/>
          <w:szCs w:val="28"/>
        </w:rPr>
        <w:t>6.4.5.1 3-feature</w:t>
      </w:r>
      <w:bookmarkEnd w:id="857"/>
      <w:bookmarkEnd w:id="858"/>
      <w:r w:rsidRPr="00F771D6">
        <w:rPr>
          <w:rFonts w:ascii="Arial" w:hAnsi="Arial" w:cs="Arial"/>
          <w:color w:val="000000" w:themeColor="text1"/>
          <w:sz w:val="28"/>
          <w:szCs w:val="28"/>
        </w:rPr>
        <w:t xml:space="preserve"> </w:t>
      </w:r>
    </w:p>
    <w:p w14:paraId="73E00313" w14:textId="77777777" w:rsidR="0060072E" w:rsidRPr="00225AB0" w:rsidRDefault="0060072E" w:rsidP="0060072E">
      <w:pPr>
        <w:rPr>
          <w:rFonts w:ascii="Arial" w:hAnsi="Arial" w:cs="Arial"/>
        </w:rPr>
      </w:pPr>
    </w:p>
    <w:p w14:paraId="73E2E5FD" w14:textId="47A2C6C1" w:rsidR="0060072E" w:rsidRPr="00225AB0" w:rsidRDefault="0060072E" w:rsidP="0060072E">
      <w:pPr>
        <w:spacing w:line="480" w:lineRule="auto"/>
        <w:rPr>
          <w:rFonts w:ascii="Arial" w:hAnsi="Arial" w:cs="Arial"/>
        </w:rPr>
      </w:pPr>
      <w:r w:rsidRPr="00225AB0">
        <w:rPr>
          <w:rFonts w:ascii="Arial" w:hAnsi="Arial" w:cs="Arial"/>
        </w:rPr>
        <w:t xml:space="preserve">Our univariate analysis demonstrated that, differences in </w:t>
      </w:r>
      <w:r w:rsidR="00DD0A13">
        <w:rPr>
          <w:rFonts w:ascii="Arial" w:hAnsi="Arial" w:cs="Arial"/>
        </w:rPr>
        <w:t>BOLD responses</w:t>
      </w:r>
      <w:r w:rsidRPr="00225AB0">
        <w:rPr>
          <w:rFonts w:ascii="Arial" w:hAnsi="Arial" w:cs="Arial"/>
        </w:rPr>
        <w:t xml:space="preserve"> across attentional conditions were driven </w:t>
      </w:r>
      <w:r w:rsidR="00DD0A13">
        <w:rPr>
          <w:rFonts w:ascii="Arial" w:hAnsi="Arial" w:cs="Arial"/>
        </w:rPr>
        <w:t xml:space="preserve">largely </w:t>
      </w:r>
      <w:r w:rsidR="008273A7">
        <w:rPr>
          <w:rFonts w:ascii="Arial" w:hAnsi="Arial" w:cs="Arial"/>
        </w:rPr>
        <w:t>by a reduction in BOLD signal modulation</w:t>
      </w:r>
      <w:r w:rsidRPr="00225AB0">
        <w:rPr>
          <w:rFonts w:ascii="Arial" w:hAnsi="Arial" w:cs="Arial"/>
        </w:rPr>
        <w:t xml:space="preserve"> during attention to faces</w:t>
      </w:r>
      <w:r w:rsidR="008273A7">
        <w:rPr>
          <w:rFonts w:ascii="Arial" w:hAnsi="Arial" w:cs="Arial"/>
        </w:rPr>
        <w:t>. H</w:t>
      </w:r>
      <w:r w:rsidRPr="00225AB0">
        <w:rPr>
          <w:rFonts w:ascii="Arial" w:hAnsi="Arial" w:cs="Arial"/>
        </w:rPr>
        <w:t>ence, we identified relatively little evidence of feature-specific attentional modulation at the univariate level. In our final analysis, we asked whether attention may influence the way individual ROIs interact</w:t>
      </w:r>
      <w:r w:rsidR="008273A7">
        <w:rPr>
          <w:rFonts w:ascii="Arial" w:hAnsi="Arial" w:cs="Arial"/>
        </w:rPr>
        <w:t xml:space="preserve"> </w:t>
      </w:r>
      <w:r w:rsidRPr="00225AB0">
        <w:rPr>
          <w:rFonts w:ascii="Arial" w:hAnsi="Arial" w:cs="Arial"/>
        </w:rPr>
        <w:t xml:space="preserve">across the visual cortex, examining changes in functional connectivity as a function of attentional state. </w:t>
      </w:r>
    </w:p>
    <w:p w14:paraId="629DFEF0" w14:textId="77777777" w:rsidR="0060072E" w:rsidRPr="00225AB0" w:rsidRDefault="0060072E" w:rsidP="0060072E">
      <w:pPr>
        <w:spacing w:line="480" w:lineRule="auto"/>
        <w:rPr>
          <w:rFonts w:ascii="Arial" w:hAnsi="Arial" w:cs="Arial"/>
        </w:rPr>
      </w:pPr>
    </w:p>
    <w:p w14:paraId="624A29E8" w14:textId="77777777" w:rsidR="0060072E" w:rsidRPr="00225AB0" w:rsidRDefault="0060072E" w:rsidP="0060072E">
      <w:pPr>
        <w:spacing w:line="480" w:lineRule="auto"/>
        <w:rPr>
          <w:rFonts w:ascii="Arial" w:hAnsi="Arial" w:cs="Arial"/>
        </w:rPr>
      </w:pPr>
      <w:r w:rsidRPr="00225AB0">
        <w:rPr>
          <w:rFonts w:ascii="Arial" w:hAnsi="Arial" w:cs="Arial"/>
        </w:rPr>
        <w:t>We performed non-parametric Kendall’s Tau correlations between univariate time</w:t>
      </w:r>
      <w:r w:rsidR="008273A7">
        <w:rPr>
          <w:rFonts w:ascii="Arial" w:hAnsi="Arial" w:cs="Arial"/>
        </w:rPr>
        <w:t>-</w:t>
      </w:r>
      <w:r w:rsidRPr="00225AB0">
        <w:rPr>
          <w:rFonts w:ascii="Arial" w:hAnsi="Arial" w:cs="Arial"/>
        </w:rPr>
        <w:t>courses from each pairwise combination of visual ROIs, for each participant and attentional state. We averaged these normalised, Fisher-z transformed correlation matrices across individuals to demonstrate group-level changes in connectivity between ROIs as a function of attentional task (see Figure.</w:t>
      </w:r>
      <w:r w:rsidR="00796AE2">
        <w:rPr>
          <w:rFonts w:ascii="Arial" w:hAnsi="Arial" w:cs="Arial"/>
        </w:rPr>
        <w:t xml:space="preserve"> 6.7</w:t>
      </w:r>
      <w:r w:rsidRPr="00225AB0">
        <w:rPr>
          <w:rFonts w:ascii="Arial" w:hAnsi="Arial" w:cs="Arial"/>
        </w:rPr>
        <w:t>A). A one-way repeated-measures ANOVA with Bonferroni-corrected post-hoc tests revealed significantly greater positive correlation between ROIs during passive viewing than during all low-level visual feature conditions (orientation, colour and shape) (</w:t>
      </w:r>
      <w:proofErr w:type="gramStart"/>
      <w:r w:rsidRPr="00225AB0">
        <w:rPr>
          <w:rFonts w:ascii="Arial" w:hAnsi="Arial" w:cs="Arial"/>
        </w:rPr>
        <w:t>F(</w:t>
      </w:r>
      <w:proofErr w:type="gramEnd"/>
      <w:r w:rsidRPr="00225AB0">
        <w:rPr>
          <w:rFonts w:ascii="Arial" w:hAnsi="Arial" w:cs="Arial"/>
        </w:rPr>
        <w:t xml:space="preserve">4,56) = 45.09, </w:t>
      </w:r>
      <w:r w:rsidRPr="00225AB0">
        <w:rPr>
          <w:rFonts w:ascii="Arial" w:hAnsi="Arial" w:cs="Arial"/>
          <w:i/>
        </w:rPr>
        <w:t>p</w:t>
      </w:r>
      <w:r w:rsidRPr="00225AB0">
        <w:rPr>
          <w:rFonts w:ascii="Arial" w:hAnsi="Arial" w:cs="Arial"/>
        </w:rPr>
        <w:t xml:space="preserve"> &lt;.001, post-hoc </w:t>
      </w:r>
      <w:r w:rsidRPr="00225AB0">
        <w:rPr>
          <w:rFonts w:ascii="Arial" w:hAnsi="Arial" w:cs="Arial"/>
          <w:i/>
        </w:rPr>
        <w:t>p</w:t>
      </w:r>
      <w:r w:rsidRPr="00225AB0">
        <w:rPr>
          <w:rFonts w:ascii="Arial" w:hAnsi="Arial" w:cs="Arial"/>
        </w:rPr>
        <w:t xml:space="preserve"> &lt;.001 for all comparisons). We also identified significantly greater positive connectivity between ROIs during attention to faces than low-level visual features (all </w:t>
      </w:r>
      <w:r w:rsidRPr="00225AB0">
        <w:rPr>
          <w:rFonts w:ascii="Arial" w:hAnsi="Arial" w:cs="Arial"/>
          <w:i/>
        </w:rPr>
        <w:t>p</w:t>
      </w:r>
      <w:r w:rsidRPr="00225AB0">
        <w:rPr>
          <w:rFonts w:ascii="Arial" w:hAnsi="Arial" w:cs="Arial"/>
        </w:rPr>
        <w:t xml:space="preserve"> &lt;.001). Finally, we also identified significantly greater negative correlation between ROIs during attention to colour than to orientation (</w:t>
      </w:r>
      <w:r w:rsidRPr="00225AB0">
        <w:rPr>
          <w:rFonts w:ascii="Arial" w:hAnsi="Arial" w:cs="Arial"/>
          <w:i/>
        </w:rPr>
        <w:t>p</w:t>
      </w:r>
      <w:r w:rsidRPr="00225AB0">
        <w:rPr>
          <w:rFonts w:ascii="Arial" w:hAnsi="Arial" w:cs="Arial"/>
        </w:rPr>
        <w:t xml:space="preserve"> &lt;.001). </w:t>
      </w:r>
    </w:p>
    <w:p w14:paraId="523698A0" w14:textId="77777777" w:rsidR="0060072E" w:rsidRPr="00225AB0" w:rsidRDefault="0060072E" w:rsidP="0060072E">
      <w:pPr>
        <w:rPr>
          <w:rFonts w:ascii="Arial" w:hAnsi="Arial" w:cs="Arial"/>
        </w:rPr>
      </w:pPr>
    </w:p>
    <w:p w14:paraId="138A08D2" w14:textId="28B77146" w:rsidR="0060072E" w:rsidRPr="00225AB0" w:rsidRDefault="0060072E" w:rsidP="0060072E">
      <w:pPr>
        <w:spacing w:line="480" w:lineRule="auto"/>
        <w:rPr>
          <w:rFonts w:ascii="Arial" w:hAnsi="Arial" w:cs="Arial"/>
        </w:rPr>
      </w:pPr>
      <w:r w:rsidRPr="00225AB0">
        <w:rPr>
          <w:rFonts w:ascii="Arial" w:hAnsi="Arial" w:cs="Arial"/>
        </w:rPr>
        <w:lastRenderedPageBreak/>
        <w:t xml:space="preserve">We then asked whether these differences in connectivity between attentional task conditions were driven by a particular subset of ROIs, or whether patterns of connectivity were consistent across visual ROIs. We calculated the Euclidean distance (RMSE) between pairwise comparisons of attentional task condition (averaged across a subsample of participants for each condition) for both observed and noise (scrambled attention-condition label) datasets, bootstrapped across 10,000 iterations. In almost all ROIs examined, we </w:t>
      </w:r>
      <w:r w:rsidR="008273A7">
        <w:rPr>
          <w:rFonts w:ascii="Arial" w:hAnsi="Arial" w:cs="Arial"/>
        </w:rPr>
        <w:t>identify similar patterns of partial correlation</w:t>
      </w:r>
      <w:r w:rsidRPr="00225AB0">
        <w:rPr>
          <w:rFonts w:ascii="Arial" w:hAnsi="Arial" w:cs="Arial"/>
        </w:rPr>
        <w:t xml:space="preserve"> as a function of attentional task. Al</w:t>
      </w:r>
      <w:r w:rsidR="00FA740D">
        <w:rPr>
          <w:rFonts w:ascii="Arial" w:hAnsi="Arial" w:cs="Arial"/>
        </w:rPr>
        <w:t>most all</w:t>
      </w:r>
      <w:r w:rsidRPr="00225AB0">
        <w:rPr>
          <w:rFonts w:ascii="Arial" w:hAnsi="Arial" w:cs="Arial"/>
        </w:rPr>
        <w:t xml:space="preserve"> regions investigate</w:t>
      </w:r>
      <w:r w:rsidR="008273A7">
        <w:rPr>
          <w:rFonts w:ascii="Arial" w:hAnsi="Arial" w:cs="Arial"/>
        </w:rPr>
        <w:t>d</w:t>
      </w:r>
      <w:r w:rsidRPr="00225AB0">
        <w:rPr>
          <w:rFonts w:ascii="Arial" w:hAnsi="Arial" w:cs="Arial"/>
        </w:rPr>
        <w:t xml:space="preserve"> demonstrate </w:t>
      </w:r>
      <w:r w:rsidR="008273A7">
        <w:rPr>
          <w:rFonts w:ascii="Arial" w:hAnsi="Arial" w:cs="Arial"/>
        </w:rPr>
        <w:t xml:space="preserve">significantly greater connectivity during attention to faces versus all low-level visual attention conditions </w:t>
      </w:r>
      <w:r w:rsidRPr="00225AB0">
        <w:rPr>
          <w:rFonts w:ascii="Arial" w:hAnsi="Arial" w:cs="Arial"/>
        </w:rPr>
        <w:t xml:space="preserve">(V1: </w:t>
      </w:r>
      <w:r w:rsidRPr="00225AB0">
        <w:rPr>
          <w:rFonts w:ascii="Arial" w:hAnsi="Arial" w:cs="Arial"/>
          <w:i/>
        </w:rPr>
        <w:t xml:space="preserve">p </w:t>
      </w:r>
      <w:r w:rsidRPr="00225AB0">
        <w:rPr>
          <w:rFonts w:ascii="Arial" w:hAnsi="Arial" w:cs="Arial"/>
        </w:rPr>
        <w:t>= .0</w:t>
      </w:r>
      <w:r w:rsidR="00FA740D">
        <w:rPr>
          <w:rFonts w:ascii="Arial" w:hAnsi="Arial" w:cs="Arial"/>
        </w:rPr>
        <w:t>18</w:t>
      </w:r>
      <w:r w:rsidRPr="00225AB0">
        <w:rPr>
          <w:rFonts w:ascii="Arial" w:hAnsi="Arial" w:cs="Arial"/>
        </w:rPr>
        <w:t xml:space="preserve">, </w:t>
      </w:r>
      <w:r w:rsidRPr="00225AB0">
        <w:rPr>
          <w:rFonts w:ascii="Arial" w:hAnsi="Arial" w:cs="Arial"/>
          <w:i/>
        </w:rPr>
        <w:t xml:space="preserve">p </w:t>
      </w:r>
      <w:r w:rsidR="00FA740D">
        <w:rPr>
          <w:rFonts w:ascii="Arial" w:hAnsi="Arial" w:cs="Arial"/>
        </w:rPr>
        <w:t>=</w:t>
      </w:r>
      <w:r w:rsidRPr="00225AB0">
        <w:rPr>
          <w:rFonts w:ascii="Arial" w:hAnsi="Arial" w:cs="Arial"/>
        </w:rPr>
        <w:t xml:space="preserve"> .00</w:t>
      </w:r>
      <w:r w:rsidR="00FA740D">
        <w:rPr>
          <w:rFonts w:ascii="Arial" w:hAnsi="Arial" w:cs="Arial"/>
        </w:rPr>
        <w:t>2</w:t>
      </w:r>
      <w:r w:rsidRPr="00225AB0">
        <w:rPr>
          <w:rFonts w:ascii="Arial" w:hAnsi="Arial" w:cs="Arial"/>
        </w:rPr>
        <w:t xml:space="preserve">, </w:t>
      </w:r>
      <w:r w:rsidRPr="00225AB0">
        <w:rPr>
          <w:rFonts w:ascii="Arial" w:hAnsi="Arial" w:cs="Arial"/>
          <w:i/>
        </w:rPr>
        <w:t>p</w:t>
      </w:r>
      <w:r w:rsidRPr="00225AB0">
        <w:rPr>
          <w:rFonts w:ascii="Arial" w:hAnsi="Arial" w:cs="Arial"/>
        </w:rPr>
        <w:t xml:space="preserve"> </w:t>
      </w:r>
      <w:r w:rsidR="00FA740D">
        <w:rPr>
          <w:rFonts w:ascii="Arial" w:hAnsi="Arial" w:cs="Arial"/>
        </w:rPr>
        <w:t>=</w:t>
      </w:r>
      <w:r w:rsidRPr="00225AB0">
        <w:rPr>
          <w:rFonts w:ascii="Arial" w:hAnsi="Arial" w:cs="Arial"/>
        </w:rPr>
        <w:t xml:space="preserve"> .001, V3A/B: </w:t>
      </w:r>
      <w:r w:rsidR="00750F84">
        <w:rPr>
          <w:rFonts w:ascii="Arial" w:hAnsi="Arial" w:cs="Arial"/>
        </w:rPr>
        <w:t xml:space="preserve">colour </w:t>
      </w:r>
      <w:r w:rsidR="00750F84">
        <w:rPr>
          <w:rFonts w:ascii="Arial" w:hAnsi="Arial" w:cs="Arial"/>
          <w:i/>
          <w:iCs/>
        </w:rPr>
        <w:t xml:space="preserve">p </w:t>
      </w:r>
      <w:r w:rsidR="00750F84">
        <w:rPr>
          <w:rFonts w:ascii="Arial" w:hAnsi="Arial" w:cs="Arial"/>
        </w:rPr>
        <w:t xml:space="preserve">= .014, shape </w:t>
      </w:r>
      <w:r w:rsidR="00750F84">
        <w:rPr>
          <w:rFonts w:ascii="Arial" w:hAnsi="Arial" w:cs="Arial"/>
          <w:i/>
          <w:iCs/>
        </w:rPr>
        <w:t>p</w:t>
      </w:r>
      <w:r w:rsidR="00750F84">
        <w:rPr>
          <w:rFonts w:ascii="Arial" w:hAnsi="Arial" w:cs="Arial"/>
        </w:rPr>
        <w:t xml:space="preserve"> = .030</w:t>
      </w:r>
      <w:r w:rsidRPr="00225AB0">
        <w:rPr>
          <w:rFonts w:ascii="Arial" w:hAnsi="Arial" w:cs="Arial"/>
        </w:rPr>
        <w:t xml:space="preserve">, hV4: </w:t>
      </w:r>
      <w:r w:rsidRPr="00225AB0">
        <w:rPr>
          <w:rFonts w:ascii="Arial" w:hAnsi="Arial" w:cs="Arial"/>
          <w:i/>
        </w:rPr>
        <w:t xml:space="preserve">p </w:t>
      </w:r>
      <w:r w:rsidRPr="00225AB0">
        <w:rPr>
          <w:rFonts w:ascii="Arial" w:hAnsi="Arial" w:cs="Arial"/>
        </w:rPr>
        <w:t xml:space="preserve">= .008, </w:t>
      </w:r>
      <w:r w:rsidRPr="00225AB0">
        <w:rPr>
          <w:rFonts w:ascii="Arial" w:hAnsi="Arial" w:cs="Arial"/>
          <w:i/>
        </w:rPr>
        <w:t xml:space="preserve">p </w:t>
      </w:r>
      <w:r w:rsidRPr="00225AB0">
        <w:rPr>
          <w:rFonts w:ascii="Arial" w:hAnsi="Arial" w:cs="Arial"/>
        </w:rPr>
        <w:t xml:space="preserve">&lt;.001, </w:t>
      </w:r>
      <w:r w:rsidRPr="00225AB0">
        <w:rPr>
          <w:rFonts w:ascii="Arial" w:hAnsi="Arial" w:cs="Arial"/>
          <w:i/>
        </w:rPr>
        <w:t>p</w:t>
      </w:r>
      <w:r w:rsidRPr="00225AB0">
        <w:rPr>
          <w:rFonts w:ascii="Arial" w:hAnsi="Arial" w:cs="Arial"/>
        </w:rPr>
        <w:t xml:space="preserve"> &lt;.001, LO-1: </w:t>
      </w:r>
      <w:r w:rsidRPr="00225AB0">
        <w:rPr>
          <w:rFonts w:ascii="Arial" w:hAnsi="Arial" w:cs="Arial"/>
          <w:i/>
        </w:rPr>
        <w:t>p</w:t>
      </w:r>
      <w:r w:rsidRPr="00225AB0">
        <w:rPr>
          <w:rFonts w:ascii="Arial" w:hAnsi="Arial" w:cs="Arial"/>
        </w:rPr>
        <w:t xml:space="preserve"> = .0</w:t>
      </w:r>
      <w:r w:rsidR="00750F84">
        <w:rPr>
          <w:rFonts w:ascii="Arial" w:hAnsi="Arial" w:cs="Arial"/>
        </w:rPr>
        <w:t>09</w:t>
      </w:r>
      <w:r w:rsidRPr="00225AB0">
        <w:rPr>
          <w:rFonts w:ascii="Arial" w:hAnsi="Arial" w:cs="Arial"/>
        </w:rPr>
        <w:t xml:space="preserve">, </w:t>
      </w:r>
      <w:r w:rsidRPr="00225AB0">
        <w:rPr>
          <w:rFonts w:ascii="Arial" w:hAnsi="Arial" w:cs="Arial"/>
          <w:i/>
        </w:rPr>
        <w:t xml:space="preserve">p </w:t>
      </w:r>
      <w:r w:rsidRPr="00225AB0">
        <w:rPr>
          <w:rFonts w:ascii="Arial" w:hAnsi="Arial" w:cs="Arial"/>
        </w:rPr>
        <w:t xml:space="preserve">&lt;.001, </w:t>
      </w:r>
      <w:r w:rsidRPr="00225AB0">
        <w:rPr>
          <w:rFonts w:ascii="Arial" w:hAnsi="Arial" w:cs="Arial"/>
          <w:i/>
        </w:rPr>
        <w:t xml:space="preserve">p </w:t>
      </w:r>
      <w:r w:rsidRPr="00225AB0">
        <w:rPr>
          <w:rFonts w:ascii="Arial" w:hAnsi="Arial" w:cs="Arial"/>
        </w:rPr>
        <w:t>= .00</w:t>
      </w:r>
      <w:r w:rsidR="00750F84">
        <w:rPr>
          <w:rFonts w:ascii="Arial" w:hAnsi="Arial" w:cs="Arial"/>
        </w:rPr>
        <w:t>6</w:t>
      </w:r>
      <w:r w:rsidRPr="00225AB0">
        <w:rPr>
          <w:rFonts w:ascii="Arial" w:hAnsi="Arial" w:cs="Arial"/>
        </w:rPr>
        <w:t>, LO-2:</w:t>
      </w:r>
      <w:r w:rsidRPr="00225AB0">
        <w:rPr>
          <w:rFonts w:ascii="Arial" w:hAnsi="Arial" w:cs="Arial"/>
          <w:i/>
        </w:rPr>
        <w:t xml:space="preserve"> p</w:t>
      </w:r>
      <w:r w:rsidRPr="00225AB0">
        <w:rPr>
          <w:rFonts w:ascii="Arial" w:hAnsi="Arial" w:cs="Arial"/>
        </w:rPr>
        <w:t xml:space="preserve"> = .01</w:t>
      </w:r>
      <w:r w:rsidR="00750F84">
        <w:rPr>
          <w:rFonts w:ascii="Arial" w:hAnsi="Arial" w:cs="Arial"/>
        </w:rPr>
        <w:t>1</w:t>
      </w:r>
      <w:r w:rsidRPr="00225AB0">
        <w:rPr>
          <w:rFonts w:ascii="Arial" w:hAnsi="Arial" w:cs="Arial"/>
        </w:rPr>
        <w:t xml:space="preserve">, </w:t>
      </w:r>
      <w:r w:rsidRPr="00225AB0">
        <w:rPr>
          <w:rFonts w:ascii="Arial" w:hAnsi="Arial" w:cs="Arial"/>
          <w:i/>
        </w:rPr>
        <w:t xml:space="preserve">p </w:t>
      </w:r>
      <w:r w:rsidRPr="00225AB0">
        <w:rPr>
          <w:rFonts w:ascii="Arial" w:hAnsi="Arial" w:cs="Arial"/>
        </w:rPr>
        <w:t xml:space="preserve">&lt;.001, </w:t>
      </w:r>
      <w:r w:rsidRPr="00225AB0">
        <w:rPr>
          <w:rFonts w:ascii="Arial" w:hAnsi="Arial" w:cs="Arial"/>
          <w:i/>
        </w:rPr>
        <w:t>p</w:t>
      </w:r>
      <w:r w:rsidRPr="00225AB0">
        <w:rPr>
          <w:rFonts w:ascii="Arial" w:hAnsi="Arial" w:cs="Arial"/>
        </w:rPr>
        <w:t xml:space="preserve"> &lt;.001, IPS0: all</w:t>
      </w:r>
      <w:r w:rsidRPr="00225AB0">
        <w:rPr>
          <w:rFonts w:ascii="Arial" w:hAnsi="Arial" w:cs="Arial"/>
          <w:i/>
        </w:rPr>
        <w:t xml:space="preserve"> p</w:t>
      </w:r>
      <w:r w:rsidRPr="00225AB0">
        <w:rPr>
          <w:rFonts w:ascii="Arial" w:hAnsi="Arial" w:cs="Arial"/>
        </w:rPr>
        <w:t xml:space="preserve"> &lt;.001 respectively). </w:t>
      </w:r>
      <w:r w:rsidR="00750F84">
        <w:rPr>
          <w:rFonts w:ascii="Arial" w:hAnsi="Arial" w:cs="Arial"/>
        </w:rPr>
        <w:t>Almost all</w:t>
      </w:r>
      <w:r w:rsidRPr="00225AB0">
        <w:rPr>
          <w:rFonts w:ascii="Arial" w:hAnsi="Arial" w:cs="Arial"/>
        </w:rPr>
        <w:t xml:space="preserve"> ROI partial correlations also show significant</w:t>
      </w:r>
      <w:r w:rsidR="008273A7">
        <w:rPr>
          <w:rFonts w:ascii="Arial" w:hAnsi="Arial" w:cs="Arial"/>
        </w:rPr>
        <w:t xml:space="preserve">ly greater positive connectivity during passive viewing compared with </w:t>
      </w:r>
      <w:r w:rsidRPr="00225AB0">
        <w:rPr>
          <w:rFonts w:ascii="Arial" w:hAnsi="Arial" w:cs="Arial"/>
        </w:rPr>
        <w:t xml:space="preserve">attention to low-level visual features  (V1: </w:t>
      </w:r>
      <w:r w:rsidRPr="00225AB0">
        <w:rPr>
          <w:rFonts w:ascii="Arial" w:hAnsi="Arial" w:cs="Arial"/>
          <w:i/>
        </w:rPr>
        <w:t xml:space="preserve">p </w:t>
      </w:r>
      <w:r w:rsidRPr="00225AB0">
        <w:rPr>
          <w:rFonts w:ascii="Arial" w:hAnsi="Arial" w:cs="Arial"/>
        </w:rPr>
        <w:t>= .00</w:t>
      </w:r>
      <w:r w:rsidR="00750F84">
        <w:rPr>
          <w:rFonts w:ascii="Arial" w:hAnsi="Arial" w:cs="Arial"/>
        </w:rPr>
        <w:t>4</w:t>
      </w:r>
      <w:r w:rsidRPr="00225AB0">
        <w:rPr>
          <w:rFonts w:ascii="Arial" w:hAnsi="Arial" w:cs="Arial"/>
        </w:rPr>
        <w:t xml:space="preserve">, </w:t>
      </w:r>
      <w:r w:rsidRPr="00225AB0">
        <w:rPr>
          <w:rFonts w:ascii="Arial" w:hAnsi="Arial" w:cs="Arial"/>
          <w:i/>
        </w:rPr>
        <w:t>p</w:t>
      </w:r>
      <w:r w:rsidRPr="00225AB0">
        <w:rPr>
          <w:rFonts w:ascii="Arial" w:hAnsi="Arial" w:cs="Arial"/>
        </w:rPr>
        <w:t xml:space="preserve"> = .00</w:t>
      </w:r>
      <w:r w:rsidR="00750F84">
        <w:rPr>
          <w:rFonts w:ascii="Arial" w:hAnsi="Arial" w:cs="Arial"/>
        </w:rPr>
        <w:t>2</w:t>
      </w:r>
      <w:r w:rsidRPr="00225AB0">
        <w:rPr>
          <w:rFonts w:ascii="Arial" w:hAnsi="Arial" w:cs="Arial"/>
        </w:rPr>
        <w:t xml:space="preserve">, </w:t>
      </w:r>
      <w:r w:rsidRPr="00225AB0">
        <w:rPr>
          <w:rFonts w:ascii="Arial" w:hAnsi="Arial" w:cs="Arial"/>
          <w:i/>
        </w:rPr>
        <w:t>p</w:t>
      </w:r>
      <w:r w:rsidRPr="00225AB0">
        <w:rPr>
          <w:rFonts w:ascii="Arial" w:hAnsi="Arial" w:cs="Arial"/>
        </w:rPr>
        <w:t xml:space="preserve"> = .001, V3A/B: </w:t>
      </w:r>
      <w:r w:rsidR="00750F84">
        <w:rPr>
          <w:rFonts w:ascii="Arial" w:hAnsi="Arial" w:cs="Arial"/>
        </w:rPr>
        <w:t>colour</w:t>
      </w:r>
      <w:r w:rsidRPr="00225AB0">
        <w:rPr>
          <w:rFonts w:ascii="Arial" w:hAnsi="Arial" w:cs="Arial"/>
        </w:rPr>
        <w:t xml:space="preserve"> </w:t>
      </w:r>
      <w:r w:rsidRPr="00225AB0">
        <w:rPr>
          <w:rFonts w:ascii="Arial" w:hAnsi="Arial" w:cs="Arial"/>
          <w:i/>
        </w:rPr>
        <w:t>p</w:t>
      </w:r>
      <w:r w:rsidRPr="00225AB0">
        <w:rPr>
          <w:rFonts w:ascii="Arial" w:hAnsi="Arial" w:cs="Arial"/>
        </w:rPr>
        <w:t xml:space="preserve"> </w:t>
      </w:r>
      <w:r w:rsidR="00750F84">
        <w:rPr>
          <w:rFonts w:ascii="Arial" w:hAnsi="Arial" w:cs="Arial"/>
        </w:rPr>
        <w:t xml:space="preserve">= </w:t>
      </w:r>
      <w:r w:rsidRPr="00225AB0">
        <w:rPr>
          <w:rFonts w:ascii="Arial" w:hAnsi="Arial" w:cs="Arial"/>
        </w:rPr>
        <w:t>.00</w:t>
      </w:r>
      <w:r w:rsidR="00750F84">
        <w:rPr>
          <w:rFonts w:ascii="Arial" w:hAnsi="Arial" w:cs="Arial"/>
        </w:rPr>
        <w:t xml:space="preserve">2, shape </w:t>
      </w:r>
      <w:r w:rsidR="00750F84">
        <w:rPr>
          <w:rFonts w:ascii="Arial" w:hAnsi="Arial" w:cs="Arial"/>
          <w:i/>
          <w:iCs/>
        </w:rPr>
        <w:t>p</w:t>
      </w:r>
      <w:r w:rsidR="00750F84">
        <w:rPr>
          <w:rFonts w:ascii="Arial" w:hAnsi="Arial" w:cs="Arial"/>
        </w:rPr>
        <w:t xml:space="preserve"> = .012</w:t>
      </w:r>
      <w:r w:rsidRPr="00225AB0">
        <w:rPr>
          <w:rFonts w:ascii="Arial" w:hAnsi="Arial" w:cs="Arial"/>
        </w:rPr>
        <w:t xml:space="preserve">, hV4: </w:t>
      </w:r>
      <w:r w:rsidRPr="00225AB0">
        <w:rPr>
          <w:rFonts w:ascii="Arial" w:hAnsi="Arial" w:cs="Arial"/>
          <w:i/>
        </w:rPr>
        <w:t xml:space="preserve">p </w:t>
      </w:r>
      <w:r w:rsidRPr="00225AB0">
        <w:rPr>
          <w:rFonts w:ascii="Arial" w:hAnsi="Arial" w:cs="Arial"/>
        </w:rPr>
        <w:t>= .01</w:t>
      </w:r>
      <w:r w:rsidR="00750F84">
        <w:rPr>
          <w:rFonts w:ascii="Arial" w:hAnsi="Arial" w:cs="Arial"/>
        </w:rPr>
        <w:t>2</w:t>
      </w:r>
      <w:r w:rsidRPr="00225AB0">
        <w:rPr>
          <w:rFonts w:ascii="Arial" w:hAnsi="Arial" w:cs="Arial"/>
        </w:rPr>
        <w:t xml:space="preserve">, </w:t>
      </w:r>
      <w:r w:rsidRPr="00225AB0">
        <w:rPr>
          <w:rFonts w:ascii="Arial" w:hAnsi="Arial" w:cs="Arial"/>
          <w:i/>
        </w:rPr>
        <w:t xml:space="preserve">p </w:t>
      </w:r>
      <w:r w:rsidR="00750F84">
        <w:rPr>
          <w:rFonts w:ascii="Arial" w:hAnsi="Arial" w:cs="Arial"/>
        </w:rPr>
        <w:t xml:space="preserve">= </w:t>
      </w:r>
      <w:r w:rsidRPr="00225AB0">
        <w:rPr>
          <w:rFonts w:ascii="Arial" w:hAnsi="Arial" w:cs="Arial"/>
        </w:rPr>
        <w:t xml:space="preserve">.001, </w:t>
      </w:r>
      <w:r w:rsidRPr="00225AB0">
        <w:rPr>
          <w:rFonts w:ascii="Arial" w:hAnsi="Arial" w:cs="Arial"/>
          <w:i/>
        </w:rPr>
        <w:t>p</w:t>
      </w:r>
      <w:r w:rsidRPr="00225AB0">
        <w:rPr>
          <w:rFonts w:ascii="Arial" w:hAnsi="Arial" w:cs="Arial"/>
        </w:rPr>
        <w:t xml:space="preserve"> &lt;.001, LO-1: all </w:t>
      </w:r>
      <w:r w:rsidRPr="00225AB0">
        <w:rPr>
          <w:rFonts w:ascii="Arial" w:hAnsi="Arial" w:cs="Arial"/>
          <w:i/>
        </w:rPr>
        <w:t>p</w:t>
      </w:r>
      <w:r w:rsidRPr="00225AB0">
        <w:rPr>
          <w:rFonts w:ascii="Arial" w:hAnsi="Arial" w:cs="Arial"/>
        </w:rPr>
        <w:t xml:space="preserve"> &lt;.001, LO-2:</w:t>
      </w:r>
      <w:r w:rsidRPr="00225AB0">
        <w:rPr>
          <w:rFonts w:ascii="Arial" w:hAnsi="Arial" w:cs="Arial"/>
          <w:i/>
        </w:rPr>
        <w:t xml:space="preserve"> p</w:t>
      </w:r>
      <w:r w:rsidRPr="00225AB0">
        <w:rPr>
          <w:rFonts w:ascii="Arial" w:hAnsi="Arial" w:cs="Arial"/>
        </w:rPr>
        <w:t xml:space="preserve"> = .0</w:t>
      </w:r>
      <w:r w:rsidR="00750F84">
        <w:rPr>
          <w:rFonts w:ascii="Arial" w:hAnsi="Arial" w:cs="Arial"/>
        </w:rPr>
        <w:t>13</w:t>
      </w:r>
      <w:r w:rsidRPr="00225AB0">
        <w:rPr>
          <w:rFonts w:ascii="Arial" w:hAnsi="Arial" w:cs="Arial"/>
        </w:rPr>
        <w:t xml:space="preserve">, </w:t>
      </w:r>
      <w:r w:rsidRPr="00225AB0">
        <w:rPr>
          <w:rFonts w:ascii="Arial" w:hAnsi="Arial" w:cs="Arial"/>
          <w:i/>
        </w:rPr>
        <w:t>p</w:t>
      </w:r>
      <w:r w:rsidRPr="00225AB0">
        <w:rPr>
          <w:rFonts w:ascii="Arial" w:hAnsi="Arial" w:cs="Arial"/>
        </w:rPr>
        <w:t xml:space="preserve"> &lt;.001, </w:t>
      </w:r>
      <w:r w:rsidRPr="00225AB0">
        <w:rPr>
          <w:rFonts w:ascii="Arial" w:hAnsi="Arial" w:cs="Arial"/>
          <w:i/>
        </w:rPr>
        <w:t>p</w:t>
      </w:r>
      <w:r w:rsidRPr="00225AB0">
        <w:rPr>
          <w:rFonts w:ascii="Arial" w:hAnsi="Arial" w:cs="Arial"/>
        </w:rPr>
        <w:t xml:space="preserve"> &lt;.001, IPS0</w:t>
      </w:r>
      <w:r w:rsidRPr="00170639">
        <w:rPr>
          <w:rFonts w:ascii="Arial" w:hAnsi="Arial" w:cs="Arial"/>
          <w:i/>
          <w:iCs/>
        </w:rPr>
        <w:t>:</w:t>
      </w:r>
      <w:r w:rsidRPr="00225AB0">
        <w:rPr>
          <w:rFonts w:ascii="Arial" w:hAnsi="Arial" w:cs="Arial"/>
          <w:i/>
        </w:rPr>
        <w:t xml:space="preserve"> </w:t>
      </w:r>
      <w:r w:rsidR="00750F84">
        <w:rPr>
          <w:rFonts w:ascii="Arial" w:hAnsi="Arial" w:cs="Arial"/>
          <w:i/>
          <w:iCs/>
        </w:rPr>
        <w:t xml:space="preserve">p </w:t>
      </w:r>
      <w:r w:rsidR="00750F84" w:rsidRPr="00170639">
        <w:rPr>
          <w:rFonts w:ascii="Arial" w:hAnsi="Arial" w:cs="Arial"/>
        </w:rPr>
        <w:t>=</w:t>
      </w:r>
      <w:r w:rsidR="00750F84">
        <w:rPr>
          <w:rFonts w:ascii="Arial" w:hAnsi="Arial" w:cs="Arial"/>
          <w:i/>
          <w:iCs/>
        </w:rPr>
        <w:t xml:space="preserve"> </w:t>
      </w:r>
      <w:r w:rsidR="00750F84">
        <w:rPr>
          <w:rFonts w:ascii="Arial" w:hAnsi="Arial" w:cs="Arial"/>
        </w:rPr>
        <w:t>.001</w:t>
      </w:r>
      <w:r w:rsidR="00750F84" w:rsidRPr="00170639">
        <w:rPr>
          <w:rFonts w:ascii="Arial" w:hAnsi="Arial" w:cs="Arial"/>
          <w:i/>
          <w:iCs/>
        </w:rPr>
        <w:t>,</w:t>
      </w:r>
      <w:r w:rsidR="00750F84">
        <w:rPr>
          <w:rFonts w:ascii="Arial" w:hAnsi="Arial" w:cs="Arial"/>
        </w:rPr>
        <w:t xml:space="preserve"> </w:t>
      </w:r>
      <w:r w:rsidR="00750F84">
        <w:rPr>
          <w:rFonts w:ascii="Arial" w:hAnsi="Arial" w:cs="Arial"/>
          <w:i/>
          <w:iCs/>
        </w:rPr>
        <w:t xml:space="preserve">p </w:t>
      </w:r>
      <w:r w:rsidR="00750F84" w:rsidRPr="00170639">
        <w:rPr>
          <w:rFonts w:ascii="Arial" w:hAnsi="Arial" w:cs="Arial"/>
        </w:rPr>
        <w:t>&lt;</w:t>
      </w:r>
      <w:r w:rsidR="00750F84">
        <w:rPr>
          <w:rFonts w:ascii="Arial" w:hAnsi="Arial" w:cs="Arial"/>
        </w:rPr>
        <w:t>.001,</w:t>
      </w:r>
      <w:r w:rsidRPr="00225AB0">
        <w:rPr>
          <w:rFonts w:ascii="Arial" w:hAnsi="Arial" w:cs="Arial"/>
        </w:rPr>
        <w:t xml:space="preserve"> </w:t>
      </w:r>
      <w:r w:rsidRPr="00225AB0">
        <w:rPr>
          <w:rFonts w:ascii="Arial" w:hAnsi="Arial" w:cs="Arial"/>
          <w:i/>
        </w:rPr>
        <w:t>p</w:t>
      </w:r>
      <w:r w:rsidRPr="00225AB0">
        <w:rPr>
          <w:rFonts w:ascii="Arial" w:hAnsi="Arial" w:cs="Arial"/>
        </w:rPr>
        <w:t xml:space="preserve"> &lt;.001). Almost all ROIs also show significant differences in connectivity between orientation and colour conditions (hV4: </w:t>
      </w:r>
      <w:r w:rsidRPr="00225AB0">
        <w:rPr>
          <w:rFonts w:ascii="Arial" w:hAnsi="Arial" w:cs="Arial"/>
          <w:i/>
        </w:rPr>
        <w:t xml:space="preserve">p </w:t>
      </w:r>
      <w:r w:rsidRPr="00225AB0">
        <w:rPr>
          <w:rFonts w:ascii="Arial" w:hAnsi="Arial" w:cs="Arial"/>
        </w:rPr>
        <w:t xml:space="preserve">= .012, LO-1: </w:t>
      </w:r>
      <w:r w:rsidRPr="00225AB0">
        <w:rPr>
          <w:rFonts w:ascii="Arial" w:hAnsi="Arial" w:cs="Arial"/>
          <w:i/>
        </w:rPr>
        <w:t>p</w:t>
      </w:r>
      <w:r w:rsidRPr="00225AB0">
        <w:rPr>
          <w:rFonts w:ascii="Arial" w:hAnsi="Arial" w:cs="Arial"/>
        </w:rPr>
        <w:t xml:space="preserve"> &lt;.001</w:t>
      </w:r>
      <w:r w:rsidRPr="00225AB0">
        <w:rPr>
          <w:rFonts w:ascii="Arial" w:hAnsi="Arial" w:cs="Arial"/>
          <w:i/>
        </w:rPr>
        <w:t xml:space="preserve">, </w:t>
      </w:r>
      <w:r w:rsidRPr="00225AB0">
        <w:rPr>
          <w:rFonts w:ascii="Arial" w:hAnsi="Arial" w:cs="Arial"/>
        </w:rPr>
        <w:t xml:space="preserve">LO-2: </w:t>
      </w:r>
      <w:r w:rsidRPr="00225AB0">
        <w:rPr>
          <w:rFonts w:ascii="Arial" w:hAnsi="Arial" w:cs="Arial"/>
          <w:i/>
        </w:rPr>
        <w:t>p</w:t>
      </w:r>
      <w:r w:rsidRPr="00225AB0">
        <w:rPr>
          <w:rFonts w:ascii="Arial" w:hAnsi="Arial" w:cs="Arial"/>
        </w:rPr>
        <w:t xml:space="preserve"> = .00</w:t>
      </w:r>
      <w:r w:rsidR="00750F84">
        <w:rPr>
          <w:rFonts w:ascii="Arial" w:hAnsi="Arial" w:cs="Arial"/>
        </w:rPr>
        <w:t>1</w:t>
      </w:r>
      <w:r w:rsidRPr="00225AB0">
        <w:rPr>
          <w:rFonts w:ascii="Arial" w:hAnsi="Arial" w:cs="Arial"/>
        </w:rPr>
        <w:t xml:space="preserve">, IPS0: </w:t>
      </w:r>
      <w:r w:rsidRPr="00225AB0">
        <w:rPr>
          <w:rFonts w:ascii="Arial" w:hAnsi="Arial" w:cs="Arial"/>
          <w:i/>
        </w:rPr>
        <w:t>p</w:t>
      </w:r>
      <w:r w:rsidRPr="00225AB0">
        <w:rPr>
          <w:rFonts w:ascii="Arial" w:hAnsi="Arial" w:cs="Arial"/>
        </w:rPr>
        <w:t xml:space="preserve"> = .0</w:t>
      </w:r>
      <w:r w:rsidR="00750F84">
        <w:rPr>
          <w:rFonts w:ascii="Arial" w:hAnsi="Arial" w:cs="Arial"/>
        </w:rPr>
        <w:t>08</w:t>
      </w:r>
      <w:r w:rsidRPr="00225AB0">
        <w:rPr>
          <w:rFonts w:ascii="Arial" w:hAnsi="Arial" w:cs="Arial"/>
        </w:rPr>
        <w:t>)</w:t>
      </w:r>
      <w:r w:rsidR="00750F84">
        <w:rPr>
          <w:rFonts w:ascii="Arial" w:hAnsi="Arial" w:cs="Arial"/>
        </w:rPr>
        <w:t xml:space="preserve"> </w:t>
      </w:r>
      <w:r w:rsidRPr="00225AB0">
        <w:rPr>
          <w:rFonts w:ascii="Arial" w:hAnsi="Arial" w:cs="Arial"/>
        </w:rPr>
        <w:t>(see Figure</w:t>
      </w:r>
      <w:r w:rsidR="00796AE2">
        <w:rPr>
          <w:rFonts w:ascii="Arial" w:hAnsi="Arial" w:cs="Arial"/>
        </w:rPr>
        <w:t xml:space="preserve"> 6.7</w:t>
      </w:r>
      <w:r w:rsidRPr="00225AB0">
        <w:rPr>
          <w:rFonts w:ascii="Arial" w:hAnsi="Arial" w:cs="Arial"/>
        </w:rPr>
        <w:t xml:space="preserve">B). </w:t>
      </w:r>
    </w:p>
    <w:p w14:paraId="7DD759B6" w14:textId="77777777" w:rsidR="007B68C2" w:rsidRDefault="007B68C2" w:rsidP="0060072E">
      <w:pPr>
        <w:spacing w:line="480" w:lineRule="auto"/>
        <w:rPr>
          <w:rFonts w:ascii="Arial" w:hAnsi="Arial" w:cs="Arial"/>
        </w:rPr>
      </w:pPr>
    </w:p>
    <w:p w14:paraId="23F4159B" w14:textId="66041621" w:rsidR="007B68C2" w:rsidRDefault="007B68C2" w:rsidP="007B68C2">
      <w:pPr>
        <w:tabs>
          <w:tab w:val="left" w:pos="1358"/>
        </w:tabs>
        <w:spacing w:line="480" w:lineRule="auto"/>
        <w:rPr>
          <w:rFonts w:ascii="Arial" w:hAnsi="Arial" w:cs="Arial"/>
        </w:rPr>
      </w:pPr>
      <w:r>
        <w:rPr>
          <w:rFonts w:ascii="Arial" w:hAnsi="Arial" w:cs="Arial"/>
        </w:rPr>
        <w:tab/>
      </w:r>
    </w:p>
    <w:p w14:paraId="45D1E9F9" w14:textId="2277D681" w:rsidR="007B68C2" w:rsidRDefault="007B68C2" w:rsidP="00170639">
      <w:pPr>
        <w:tabs>
          <w:tab w:val="left" w:pos="1358"/>
        </w:tabs>
        <w:spacing w:line="480" w:lineRule="auto"/>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846656" behindDoc="0" locked="0" layoutInCell="1" allowOverlap="1" wp14:anchorId="48DEFCC3" wp14:editId="5380B96C">
                <wp:simplePos x="0" y="0"/>
                <wp:positionH relativeFrom="column">
                  <wp:posOffset>-108681</wp:posOffset>
                </wp:positionH>
                <wp:positionV relativeFrom="paragraph">
                  <wp:posOffset>467</wp:posOffset>
                </wp:positionV>
                <wp:extent cx="5416550" cy="7724775"/>
                <wp:effectExtent l="0" t="0" r="19050" b="9525"/>
                <wp:wrapSquare wrapText="bothSides"/>
                <wp:docPr id="130" name="Text Box 130"/>
                <wp:cNvGraphicFramePr/>
                <a:graphic xmlns:a="http://schemas.openxmlformats.org/drawingml/2006/main">
                  <a:graphicData uri="http://schemas.microsoft.com/office/word/2010/wordprocessingShape">
                    <wps:wsp>
                      <wps:cNvSpPr txBox="1"/>
                      <wps:spPr>
                        <a:xfrm>
                          <a:off x="0" y="0"/>
                          <a:ext cx="5416550" cy="7724775"/>
                        </a:xfrm>
                        <a:prstGeom prst="rect">
                          <a:avLst/>
                        </a:prstGeom>
                        <a:solidFill>
                          <a:schemeClr val="bg1"/>
                        </a:solidFill>
                        <a:ln w="6350">
                          <a:solidFill>
                            <a:schemeClr val="bg1"/>
                          </a:solidFill>
                        </a:ln>
                      </wps:spPr>
                      <wps:txbx>
                        <w:txbxContent>
                          <w:p w14:paraId="1BBC4714" w14:textId="3DEC4A1E" w:rsidR="00C93BE0" w:rsidRDefault="00C93BE0" w:rsidP="00925460">
                            <w:pPr>
                              <w:keepNext/>
                            </w:pPr>
                            <w:r>
                              <w:rPr>
                                <w:noProof/>
                              </w:rPr>
                              <w:drawing>
                                <wp:inline distT="0" distB="0" distL="0" distR="0" wp14:anchorId="7677BA37" wp14:editId="24121210">
                                  <wp:extent cx="5321957" cy="444611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ure6.7-3featureconnectivity_matrix.png"/>
                                          <pic:cNvPicPr/>
                                        </pic:nvPicPr>
                                        <pic:blipFill rotWithShape="1">
                                          <a:blip r:embed="rId81">
                                            <a:extLst>
                                              <a:ext uri="{28A0092B-C50C-407E-A947-70E740481C1C}">
                                                <a14:useLocalDpi xmlns:a14="http://schemas.microsoft.com/office/drawing/2010/main" val="0"/>
                                              </a:ext>
                                            </a:extLst>
                                          </a:blip>
                                          <a:srcRect b="9079"/>
                                          <a:stretch/>
                                        </pic:blipFill>
                                        <pic:spPr bwMode="auto">
                                          <a:xfrm>
                                            <a:off x="0" y="0"/>
                                            <a:ext cx="5349604" cy="4469207"/>
                                          </a:xfrm>
                                          <a:prstGeom prst="rect">
                                            <a:avLst/>
                                          </a:prstGeom>
                                          <a:ln>
                                            <a:noFill/>
                                          </a:ln>
                                          <a:extLst>
                                            <a:ext uri="{53640926-AAD7-44D8-BBD7-CCE9431645EC}">
                                              <a14:shadowObscured xmlns:a14="http://schemas.microsoft.com/office/drawing/2010/main"/>
                                            </a:ext>
                                          </a:extLst>
                                        </pic:spPr>
                                      </pic:pic>
                                    </a:graphicData>
                                  </a:graphic>
                                </wp:inline>
                              </w:drawing>
                            </w:r>
                          </w:p>
                          <w:p w14:paraId="20FF8B88" w14:textId="0BA0EC42" w:rsidR="00C93BE0" w:rsidRPr="005858E6" w:rsidRDefault="00C93BE0" w:rsidP="00925460">
                            <w:pPr>
                              <w:pStyle w:val="Caption"/>
                              <w:spacing w:line="360" w:lineRule="auto"/>
                              <w:jc w:val="both"/>
                              <w:rPr>
                                <w:rFonts w:ascii="Arial" w:hAnsi="Arial" w:cs="Arial"/>
                                <w:i w:val="0"/>
                                <w:color w:val="000000" w:themeColor="text1"/>
                                <w:sz w:val="24"/>
                                <w:szCs w:val="24"/>
                              </w:rPr>
                            </w:pPr>
                            <w:bookmarkStart w:id="859" w:name="_Toc12363367"/>
                            <w:bookmarkStart w:id="860" w:name="_Toc16242724"/>
                            <w:r w:rsidRPr="005858E6">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7</w:t>
                            </w:r>
                            <w:r>
                              <w:rPr>
                                <w:rFonts w:ascii="Arial" w:hAnsi="Arial" w:cs="Arial"/>
                                <w:b/>
                                <w:i w:val="0"/>
                                <w:color w:val="000000" w:themeColor="text1"/>
                                <w:sz w:val="24"/>
                                <w:szCs w:val="24"/>
                              </w:rPr>
                              <w:fldChar w:fldCharType="end"/>
                            </w:r>
                            <w:r w:rsidRPr="005858E6">
                              <w:rPr>
                                <w:rFonts w:ascii="Arial" w:hAnsi="Arial" w:cs="Arial"/>
                                <w:i w:val="0"/>
                                <w:color w:val="000000" w:themeColor="text1"/>
                                <w:sz w:val="24"/>
                                <w:szCs w:val="24"/>
                              </w:rPr>
                              <w:t xml:space="preserve"> Greater overall connectivity during passive viewing and attention directed to faces than attention directed to low-level stimulus features. A) indicates group feature-specific averaged attentional modulation connectivity values. These correlation matrices indicate significantly greater positive connectivity during attention to faces and passive viewing</w:t>
                            </w:r>
                            <w:bookmarkEnd w:id="859"/>
                            <w:r>
                              <w:rPr>
                                <w:rFonts w:ascii="Arial" w:hAnsi="Arial" w:cs="Arial"/>
                                <w:i w:val="0"/>
                                <w:color w:val="000000" w:themeColor="text1"/>
                                <w:sz w:val="24"/>
                                <w:szCs w:val="24"/>
                              </w:rPr>
                              <w:t xml:space="preserve">. </w:t>
                            </w:r>
                            <w:r w:rsidRPr="009D2FD7">
                              <w:rPr>
                                <w:rFonts w:ascii="Arial" w:hAnsi="Arial" w:cs="Arial"/>
                                <w:i w:val="0"/>
                                <w:color w:val="000000" w:themeColor="text1"/>
                                <w:sz w:val="24"/>
                                <w:szCs w:val="24"/>
                              </w:rPr>
                              <w:t xml:space="preserve">B) Bootstrapped measures of distance between pairwise combinations of attentional focus conditions, for V1, V3A/B, hV4, LO-1, LO-2 and IPS0 ROIs. </w:t>
                            </w:r>
                            <w:r>
                              <w:rPr>
                                <w:rFonts w:ascii="Arial" w:hAnsi="Arial" w:cs="Arial"/>
                                <w:i w:val="0"/>
                                <w:color w:val="000000" w:themeColor="text1"/>
                                <w:sz w:val="24"/>
                                <w:szCs w:val="24"/>
                              </w:rPr>
                              <w:t xml:space="preserve">The figure demonstrates the percentage overlap between the distribution of RMSE scores across 10,000 iterations of randomly-selected samples of the observed data and scrambled correlation ‘noise’ data, for each ROI across multiple pairwise comparisons. </w:t>
                            </w:r>
                            <w:r w:rsidRPr="009D2FD7">
                              <w:rPr>
                                <w:rFonts w:ascii="Arial" w:hAnsi="Arial" w:cs="Arial"/>
                                <w:i w:val="0"/>
                                <w:color w:val="000000" w:themeColor="text1"/>
                                <w:sz w:val="24"/>
                                <w:szCs w:val="24"/>
                              </w:rPr>
                              <w:t>Significant</w:t>
                            </w:r>
                            <w:r>
                              <w:rPr>
                                <w:rFonts w:ascii="Arial" w:hAnsi="Arial" w:cs="Arial"/>
                                <w:i w:val="0"/>
                                <w:color w:val="000000" w:themeColor="text1"/>
                                <w:sz w:val="24"/>
                                <w:szCs w:val="24"/>
                              </w:rPr>
                              <w:t xml:space="preserve"> overlap (less than 5%) </w:t>
                            </w:r>
                            <w:r w:rsidRPr="009D2FD7">
                              <w:rPr>
                                <w:rFonts w:ascii="Arial" w:hAnsi="Arial" w:cs="Arial"/>
                                <w:i w:val="0"/>
                                <w:color w:val="000000" w:themeColor="text1"/>
                                <w:sz w:val="24"/>
                                <w:szCs w:val="24"/>
                              </w:rPr>
                              <w:t>between pairwise combinations of condition are indicated with asterisks.</w:t>
                            </w:r>
                            <w:bookmarkEnd w:id="860"/>
                          </w:p>
                          <w:p w14:paraId="06989BE7" w14:textId="77777777" w:rsidR="00C93BE0" w:rsidRDefault="00C93BE0" w:rsidP="009254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EFCC3" id="Text Box 130" o:spid="_x0000_s1069" type="#_x0000_t202" style="position:absolute;margin-left:-8.55pt;margin-top:.05pt;width:426.5pt;height:608.2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" fillcolor="white [3212]" strokecolor="white [3212]" strokeweight=".5pt">
                <v:textbox>
                  <w:txbxContent>
                    <w:p w14:paraId="1BBC4714" w14:textId="3DEC4A1E" w:rsidR="00C93BE0" w:rsidRDefault="00C93BE0" w:rsidP="00925460">
                      <w:pPr>
                        <w:keepNext/>
                      </w:pPr>
                      <w:r>
                        <w:rPr>
                          <w:noProof/>
                        </w:rPr>
                        <w:drawing>
                          <wp:inline distT="0" distB="0" distL="0" distR="0" wp14:anchorId="7677BA37" wp14:editId="24121210">
                            <wp:extent cx="5321957" cy="444611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ure6.7-3featureconnectivity_matrix.png"/>
                                    <pic:cNvPicPr/>
                                  </pic:nvPicPr>
                                  <pic:blipFill rotWithShape="1">
                                    <a:blip r:embed="rId82">
                                      <a:extLst>
                                        <a:ext uri="{28A0092B-C50C-407E-A947-70E740481C1C}">
                                          <a14:useLocalDpi xmlns:a14="http://schemas.microsoft.com/office/drawing/2010/main" val="0"/>
                                        </a:ext>
                                      </a:extLst>
                                    </a:blip>
                                    <a:srcRect b="9079"/>
                                    <a:stretch/>
                                  </pic:blipFill>
                                  <pic:spPr bwMode="auto">
                                    <a:xfrm>
                                      <a:off x="0" y="0"/>
                                      <a:ext cx="5349604" cy="4469207"/>
                                    </a:xfrm>
                                    <a:prstGeom prst="rect">
                                      <a:avLst/>
                                    </a:prstGeom>
                                    <a:ln>
                                      <a:noFill/>
                                    </a:ln>
                                    <a:extLst>
                                      <a:ext uri="{53640926-AAD7-44D8-BBD7-CCE9431645EC}">
                                        <a14:shadowObscured xmlns:a14="http://schemas.microsoft.com/office/drawing/2010/main"/>
                                      </a:ext>
                                    </a:extLst>
                                  </pic:spPr>
                                </pic:pic>
                              </a:graphicData>
                            </a:graphic>
                          </wp:inline>
                        </w:drawing>
                      </w:r>
                    </w:p>
                    <w:p w14:paraId="20FF8B88" w14:textId="0BA0EC42" w:rsidR="00C93BE0" w:rsidRPr="005858E6" w:rsidRDefault="00C93BE0" w:rsidP="00925460">
                      <w:pPr>
                        <w:pStyle w:val="Caption"/>
                        <w:spacing w:line="360" w:lineRule="auto"/>
                        <w:jc w:val="both"/>
                        <w:rPr>
                          <w:rFonts w:ascii="Arial" w:hAnsi="Arial" w:cs="Arial"/>
                          <w:i w:val="0"/>
                          <w:color w:val="000000" w:themeColor="text1"/>
                          <w:sz w:val="24"/>
                          <w:szCs w:val="24"/>
                        </w:rPr>
                      </w:pPr>
                      <w:bookmarkStart w:id="933" w:name="_Toc12363367"/>
                      <w:bookmarkStart w:id="934" w:name="_Toc16242724"/>
                      <w:r w:rsidRPr="005858E6">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STYLEREF 1 \s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Pr>
                          <w:rFonts w:ascii="Arial" w:hAnsi="Arial" w:cs="Arial"/>
                          <w:b/>
                          <w:i w:val="0"/>
                          <w:color w:val="000000" w:themeColor="text1"/>
                          <w:sz w:val="24"/>
                          <w:szCs w:val="24"/>
                        </w:rPr>
                        <w:fldChar w:fldCharType="end"/>
                      </w:r>
                      <w:r>
                        <w:rPr>
                          <w:rFonts w:ascii="Arial" w:hAnsi="Arial" w:cs="Arial"/>
                          <w:b/>
                          <w:i w:val="0"/>
                          <w:color w:val="000000" w:themeColor="text1"/>
                          <w:sz w:val="24"/>
                          <w:szCs w:val="24"/>
                        </w:rPr>
                        <w:t>.</w:t>
                      </w:r>
                      <w:r>
                        <w:rPr>
                          <w:rFonts w:ascii="Arial" w:hAnsi="Arial" w:cs="Arial"/>
                          <w:b/>
                          <w:i w:val="0"/>
                          <w:color w:val="000000" w:themeColor="text1"/>
                          <w:sz w:val="24"/>
                          <w:szCs w:val="24"/>
                        </w:rPr>
                        <w:fldChar w:fldCharType="begin"/>
                      </w:r>
                      <w:r>
                        <w:rPr>
                          <w:rFonts w:ascii="Arial" w:hAnsi="Arial" w:cs="Arial"/>
                          <w:b/>
                          <w:i w:val="0"/>
                          <w:color w:val="000000" w:themeColor="text1"/>
                          <w:sz w:val="24"/>
                          <w:szCs w:val="24"/>
                        </w:rPr>
                        <w:instrText xml:space="preserve"> SEQ Figure \* ARABIC \s 1 </w:instrText>
                      </w:r>
                      <w:r>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7</w:t>
                      </w:r>
                      <w:r>
                        <w:rPr>
                          <w:rFonts w:ascii="Arial" w:hAnsi="Arial" w:cs="Arial"/>
                          <w:b/>
                          <w:i w:val="0"/>
                          <w:color w:val="000000" w:themeColor="text1"/>
                          <w:sz w:val="24"/>
                          <w:szCs w:val="24"/>
                        </w:rPr>
                        <w:fldChar w:fldCharType="end"/>
                      </w:r>
                      <w:r w:rsidRPr="005858E6">
                        <w:rPr>
                          <w:rFonts w:ascii="Arial" w:hAnsi="Arial" w:cs="Arial"/>
                          <w:i w:val="0"/>
                          <w:color w:val="000000" w:themeColor="text1"/>
                          <w:sz w:val="24"/>
                          <w:szCs w:val="24"/>
                        </w:rPr>
                        <w:t xml:space="preserve"> Greater overall connectivity during passive viewing and attention directed to faces than attention directed to low-level stimulus features. A) indicates group feature-specific averaged attentional modulation connectivity values. These correlation matrices indicate significantly greater positive connectivity during attention to faces and passive viewing</w:t>
                      </w:r>
                      <w:bookmarkEnd w:id="933"/>
                      <w:r>
                        <w:rPr>
                          <w:rFonts w:ascii="Arial" w:hAnsi="Arial" w:cs="Arial"/>
                          <w:i w:val="0"/>
                          <w:color w:val="000000" w:themeColor="text1"/>
                          <w:sz w:val="24"/>
                          <w:szCs w:val="24"/>
                        </w:rPr>
                        <w:t xml:space="preserve">. </w:t>
                      </w:r>
                      <w:r w:rsidRPr="009D2FD7">
                        <w:rPr>
                          <w:rFonts w:ascii="Arial" w:hAnsi="Arial" w:cs="Arial"/>
                          <w:i w:val="0"/>
                          <w:color w:val="000000" w:themeColor="text1"/>
                          <w:sz w:val="24"/>
                          <w:szCs w:val="24"/>
                        </w:rPr>
                        <w:t xml:space="preserve">B) Bootstrapped measures of distance between pairwise combinations of attentional focus conditions, for V1, V3A/B, hV4, LO-1, LO-2 and IPS0 ROIs. </w:t>
                      </w:r>
                      <w:r>
                        <w:rPr>
                          <w:rFonts w:ascii="Arial" w:hAnsi="Arial" w:cs="Arial"/>
                          <w:i w:val="0"/>
                          <w:color w:val="000000" w:themeColor="text1"/>
                          <w:sz w:val="24"/>
                          <w:szCs w:val="24"/>
                        </w:rPr>
                        <w:t xml:space="preserve">The figure demonstrates the percentage overlap between the distribution of RMSE scores across 10,000 iterations of randomly-selected samples of the observed data and scrambled correlation ‘noise’ data, for each ROI across multiple pairwise comparisons. </w:t>
                      </w:r>
                      <w:r w:rsidRPr="009D2FD7">
                        <w:rPr>
                          <w:rFonts w:ascii="Arial" w:hAnsi="Arial" w:cs="Arial"/>
                          <w:i w:val="0"/>
                          <w:color w:val="000000" w:themeColor="text1"/>
                          <w:sz w:val="24"/>
                          <w:szCs w:val="24"/>
                        </w:rPr>
                        <w:t>Significant</w:t>
                      </w:r>
                      <w:r>
                        <w:rPr>
                          <w:rFonts w:ascii="Arial" w:hAnsi="Arial" w:cs="Arial"/>
                          <w:i w:val="0"/>
                          <w:color w:val="000000" w:themeColor="text1"/>
                          <w:sz w:val="24"/>
                          <w:szCs w:val="24"/>
                        </w:rPr>
                        <w:t xml:space="preserve"> overlap (less than 5%) </w:t>
                      </w:r>
                      <w:r w:rsidRPr="009D2FD7">
                        <w:rPr>
                          <w:rFonts w:ascii="Arial" w:hAnsi="Arial" w:cs="Arial"/>
                          <w:i w:val="0"/>
                          <w:color w:val="000000" w:themeColor="text1"/>
                          <w:sz w:val="24"/>
                          <w:szCs w:val="24"/>
                        </w:rPr>
                        <w:t>between pairwise combinations of condition are indicated with asterisks.</w:t>
                      </w:r>
                      <w:bookmarkEnd w:id="934"/>
                    </w:p>
                    <w:p w14:paraId="06989BE7" w14:textId="77777777" w:rsidR="00C93BE0" w:rsidRDefault="00C93BE0" w:rsidP="00925460"/>
                  </w:txbxContent>
                </v:textbox>
                <w10:wrap type="square"/>
              </v:shape>
            </w:pict>
          </mc:Fallback>
        </mc:AlternateContent>
      </w:r>
    </w:p>
    <w:p w14:paraId="318119D6" w14:textId="20F2ECEC" w:rsidR="0060072E" w:rsidRPr="00225AB0" w:rsidRDefault="0060072E" w:rsidP="0060072E">
      <w:pPr>
        <w:spacing w:line="480" w:lineRule="auto"/>
        <w:rPr>
          <w:rFonts w:ascii="Arial" w:hAnsi="Arial" w:cs="Arial"/>
        </w:rPr>
      </w:pPr>
    </w:p>
    <w:p w14:paraId="40C8ED66" w14:textId="77777777" w:rsidR="00F771D6" w:rsidRDefault="00F771D6" w:rsidP="008273A7">
      <w:pPr>
        <w:pStyle w:val="Heading4"/>
        <w:numPr>
          <w:ilvl w:val="3"/>
          <w:numId w:val="7"/>
        </w:numPr>
        <w:rPr>
          <w:rFonts w:ascii="Arial" w:hAnsi="Arial" w:cs="Arial"/>
          <w:color w:val="000000" w:themeColor="text1"/>
          <w:sz w:val="28"/>
          <w:szCs w:val="28"/>
        </w:rPr>
      </w:pPr>
      <w:bookmarkStart w:id="861" w:name="_Toc11930141"/>
      <w:bookmarkStart w:id="862" w:name="_Toc16075457"/>
      <w:r w:rsidRPr="00F771D6">
        <w:rPr>
          <w:rFonts w:ascii="Arial" w:hAnsi="Arial" w:cs="Arial"/>
          <w:color w:val="000000" w:themeColor="text1"/>
          <w:sz w:val="28"/>
          <w:szCs w:val="28"/>
        </w:rPr>
        <w:lastRenderedPageBreak/>
        <w:t>3</w:t>
      </w:r>
      <w:r>
        <w:rPr>
          <w:rFonts w:ascii="Arial" w:hAnsi="Arial" w:cs="Arial"/>
          <w:color w:val="000000" w:themeColor="text1"/>
          <w:sz w:val="28"/>
          <w:szCs w:val="28"/>
        </w:rPr>
        <w:t>x3</w:t>
      </w:r>
      <w:r w:rsidRPr="00F771D6">
        <w:rPr>
          <w:rFonts w:ascii="Arial" w:hAnsi="Arial" w:cs="Arial"/>
          <w:color w:val="000000" w:themeColor="text1"/>
          <w:sz w:val="28"/>
          <w:szCs w:val="28"/>
        </w:rPr>
        <w:t>-feature</w:t>
      </w:r>
      <w:bookmarkEnd w:id="861"/>
      <w:bookmarkEnd w:id="862"/>
      <w:r w:rsidRPr="00F771D6">
        <w:rPr>
          <w:rFonts w:ascii="Arial" w:hAnsi="Arial" w:cs="Arial"/>
          <w:color w:val="000000" w:themeColor="text1"/>
          <w:sz w:val="28"/>
          <w:szCs w:val="28"/>
        </w:rPr>
        <w:t xml:space="preserve"> </w:t>
      </w:r>
    </w:p>
    <w:p w14:paraId="2AD51EDB" w14:textId="77777777" w:rsidR="0060072E" w:rsidRPr="00225AB0" w:rsidRDefault="0060072E" w:rsidP="0060072E">
      <w:pPr>
        <w:rPr>
          <w:rFonts w:ascii="Arial" w:hAnsi="Arial" w:cs="Arial"/>
        </w:rPr>
      </w:pPr>
    </w:p>
    <w:p w14:paraId="4D0D72AD" w14:textId="0F76AED2" w:rsidR="0060072E" w:rsidRPr="00225AB0" w:rsidRDefault="008273A7" w:rsidP="0060072E">
      <w:pPr>
        <w:spacing w:line="480" w:lineRule="auto"/>
        <w:rPr>
          <w:rFonts w:ascii="Arial" w:hAnsi="Arial" w:cs="Arial"/>
        </w:rPr>
      </w:pPr>
      <w:r>
        <w:rPr>
          <w:rFonts w:ascii="Arial" w:hAnsi="Arial" w:cs="Arial"/>
        </w:rPr>
        <w:t xml:space="preserve">We also sought to examine patterns of connectivity across ROIs as a function of fine-grain differences </w:t>
      </w:r>
      <w:r w:rsidR="00D44AC6">
        <w:rPr>
          <w:rFonts w:ascii="Arial" w:hAnsi="Arial" w:cs="Arial"/>
        </w:rPr>
        <w:t>in</w:t>
      </w:r>
      <w:r>
        <w:rPr>
          <w:rFonts w:ascii="Arial" w:hAnsi="Arial" w:cs="Arial"/>
        </w:rPr>
        <w:t xml:space="preserve"> a low-level visual feature category (e.g. comparing patterns of connectivity during attention to vertical, horizontal and diagonally-oriented lines). </w:t>
      </w:r>
      <w:r w:rsidR="0060072E" w:rsidRPr="00225AB0">
        <w:rPr>
          <w:rFonts w:ascii="Arial" w:hAnsi="Arial" w:cs="Arial"/>
        </w:rPr>
        <w:t xml:space="preserve">We computed non-parametric Kendall’s Tau correlations between ROI-averaged </w:t>
      </w:r>
      <w:r w:rsidRPr="00225AB0">
        <w:rPr>
          <w:rFonts w:ascii="Arial" w:hAnsi="Arial" w:cs="Arial"/>
        </w:rPr>
        <w:t>time courses</w:t>
      </w:r>
      <w:r w:rsidR="0060072E" w:rsidRPr="00225AB0">
        <w:rPr>
          <w:rFonts w:ascii="Arial" w:hAnsi="Arial" w:cs="Arial"/>
        </w:rPr>
        <w:t xml:space="preserve"> from each pairwise combination of visual ROIs for each featural attention condition, separately for orientation, colour and shape analyses. One-way repeated measures ANOVAs with Bonferroni-corrected post-hoc tests conducted on these normalised, Fisher-z transformed correlation coefficients revealed differing patterns of connectivity as a function of attention to different stimulus dimensions </w:t>
      </w:r>
      <w:r w:rsidR="00D44AC6">
        <w:rPr>
          <w:rFonts w:ascii="Arial" w:hAnsi="Arial" w:cs="Arial"/>
        </w:rPr>
        <w:t>in</w:t>
      </w:r>
      <w:r w:rsidR="0060072E" w:rsidRPr="00225AB0">
        <w:rPr>
          <w:rFonts w:ascii="Arial" w:hAnsi="Arial" w:cs="Arial"/>
        </w:rPr>
        <w:t xml:space="preserve"> a feature category. We identified significantly greater negative connectivity during attention to diagonal than to vertical or horizontal stimuli (</w:t>
      </w:r>
      <w:proofErr w:type="gramStart"/>
      <w:r w:rsidR="0060072E" w:rsidRPr="00225AB0">
        <w:rPr>
          <w:rFonts w:ascii="Arial" w:hAnsi="Arial" w:cs="Arial"/>
        </w:rPr>
        <w:t>F(</w:t>
      </w:r>
      <w:proofErr w:type="gramEnd"/>
      <w:r w:rsidR="0060072E" w:rsidRPr="00225AB0">
        <w:rPr>
          <w:rFonts w:ascii="Arial" w:hAnsi="Arial" w:cs="Arial"/>
        </w:rPr>
        <w:t xml:space="preserve">2,28) = 16.86, </w:t>
      </w:r>
      <w:r w:rsidR="0060072E" w:rsidRPr="00225AB0">
        <w:rPr>
          <w:rFonts w:ascii="Arial" w:hAnsi="Arial" w:cs="Arial"/>
          <w:i/>
        </w:rPr>
        <w:t>p</w:t>
      </w:r>
      <w:r w:rsidR="0060072E" w:rsidRPr="00225AB0">
        <w:rPr>
          <w:rFonts w:ascii="Arial" w:hAnsi="Arial" w:cs="Arial"/>
        </w:rPr>
        <w:t xml:space="preserve"> &lt;.001, </w:t>
      </w:r>
      <w:r>
        <w:rPr>
          <w:rFonts w:ascii="Arial" w:hAnsi="Arial" w:cs="Arial"/>
        </w:rPr>
        <w:t>all post-hoc</w:t>
      </w:r>
      <w:r w:rsidR="0060072E" w:rsidRPr="00225AB0">
        <w:rPr>
          <w:rFonts w:ascii="Arial" w:hAnsi="Arial" w:cs="Arial"/>
        </w:rPr>
        <w:t xml:space="preserve"> </w:t>
      </w:r>
      <w:r w:rsidR="0060072E" w:rsidRPr="00225AB0">
        <w:rPr>
          <w:rFonts w:ascii="Arial" w:hAnsi="Arial" w:cs="Arial"/>
          <w:i/>
        </w:rPr>
        <w:t>p</w:t>
      </w:r>
      <w:r w:rsidR="0060072E" w:rsidRPr="00225AB0">
        <w:rPr>
          <w:rFonts w:ascii="Arial" w:hAnsi="Arial" w:cs="Arial"/>
        </w:rPr>
        <w:t xml:space="preserve"> &lt;.001)</w:t>
      </w:r>
      <w:r w:rsidR="00DB441A">
        <w:rPr>
          <w:rFonts w:ascii="Arial" w:hAnsi="Arial" w:cs="Arial"/>
        </w:rPr>
        <w:t xml:space="preserve"> (see Figure 6.8A)</w:t>
      </w:r>
      <w:r w:rsidR="0060072E" w:rsidRPr="00225AB0">
        <w:rPr>
          <w:rFonts w:ascii="Arial" w:hAnsi="Arial" w:cs="Arial"/>
        </w:rPr>
        <w:t>. We also identified significantly greater connectivity during attention to red than to green or blue coloured stimuli (</w:t>
      </w:r>
      <w:proofErr w:type="gramStart"/>
      <w:r w:rsidR="0060072E" w:rsidRPr="00225AB0">
        <w:rPr>
          <w:rFonts w:ascii="Arial" w:hAnsi="Arial" w:cs="Arial"/>
        </w:rPr>
        <w:t>F(</w:t>
      </w:r>
      <w:proofErr w:type="gramEnd"/>
      <w:r w:rsidR="0060072E" w:rsidRPr="00225AB0">
        <w:rPr>
          <w:rFonts w:ascii="Arial" w:hAnsi="Arial" w:cs="Arial"/>
        </w:rPr>
        <w:t xml:space="preserve">2,28) = 23.37, </w:t>
      </w:r>
      <w:r w:rsidR="0060072E" w:rsidRPr="00225AB0">
        <w:rPr>
          <w:rFonts w:ascii="Arial" w:hAnsi="Arial" w:cs="Arial"/>
          <w:i/>
        </w:rPr>
        <w:t>p</w:t>
      </w:r>
      <w:r w:rsidR="0060072E" w:rsidRPr="00225AB0">
        <w:rPr>
          <w:rFonts w:ascii="Arial" w:hAnsi="Arial" w:cs="Arial"/>
        </w:rPr>
        <w:t xml:space="preserve"> &lt;.001, </w:t>
      </w:r>
      <w:r>
        <w:rPr>
          <w:rFonts w:ascii="Arial" w:hAnsi="Arial" w:cs="Arial"/>
        </w:rPr>
        <w:t xml:space="preserve">all </w:t>
      </w:r>
      <w:r w:rsidR="0060072E" w:rsidRPr="00225AB0">
        <w:rPr>
          <w:rFonts w:ascii="Arial" w:hAnsi="Arial" w:cs="Arial"/>
        </w:rPr>
        <w:t xml:space="preserve">post-hoc </w:t>
      </w:r>
      <w:r w:rsidR="0060072E" w:rsidRPr="00225AB0">
        <w:rPr>
          <w:rFonts w:ascii="Arial" w:hAnsi="Arial" w:cs="Arial"/>
          <w:i/>
        </w:rPr>
        <w:t>p</w:t>
      </w:r>
      <w:r w:rsidR="0060072E" w:rsidRPr="00225AB0">
        <w:rPr>
          <w:rFonts w:ascii="Arial" w:hAnsi="Arial" w:cs="Arial"/>
        </w:rPr>
        <w:t xml:space="preserve"> &lt;.001)</w:t>
      </w:r>
      <w:r w:rsidR="00DB441A">
        <w:rPr>
          <w:rFonts w:ascii="Arial" w:hAnsi="Arial" w:cs="Arial"/>
        </w:rPr>
        <w:t xml:space="preserve"> (see Figure 6.8B)</w:t>
      </w:r>
      <w:r w:rsidR="0060072E" w:rsidRPr="00225AB0">
        <w:rPr>
          <w:rFonts w:ascii="Arial" w:hAnsi="Arial" w:cs="Arial"/>
        </w:rPr>
        <w:t xml:space="preserve">. Finally, </w:t>
      </w:r>
      <w:r w:rsidR="00D44AC6">
        <w:rPr>
          <w:rFonts w:ascii="Arial" w:hAnsi="Arial" w:cs="Arial"/>
        </w:rPr>
        <w:t>in</w:t>
      </w:r>
      <w:r w:rsidR="0060072E" w:rsidRPr="00225AB0">
        <w:rPr>
          <w:rFonts w:ascii="Arial" w:hAnsi="Arial" w:cs="Arial"/>
        </w:rPr>
        <w:t xml:space="preserve"> the shape analysis, we detected significantly greater connectivity during attention to square stimuli than attention to circular or triangular (</w:t>
      </w:r>
      <w:proofErr w:type="gramStart"/>
      <w:r w:rsidR="0060072E" w:rsidRPr="00225AB0">
        <w:rPr>
          <w:rFonts w:ascii="Arial" w:hAnsi="Arial" w:cs="Arial"/>
        </w:rPr>
        <w:t>F(</w:t>
      </w:r>
      <w:proofErr w:type="gramEnd"/>
      <w:r w:rsidR="0060072E" w:rsidRPr="00225AB0">
        <w:rPr>
          <w:rFonts w:ascii="Arial" w:hAnsi="Arial" w:cs="Arial"/>
        </w:rPr>
        <w:t xml:space="preserve">2,28) = 83.27, </w:t>
      </w:r>
      <w:r w:rsidR="0060072E" w:rsidRPr="00225AB0">
        <w:rPr>
          <w:rFonts w:ascii="Arial" w:hAnsi="Arial" w:cs="Arial"/>
          <w:i/>
        </w:rPr>
        <w:t>p</w:t>
      </w:r>
      <w:r w:rsidR="0060072E" w:rsidRPr="00225AB0">
        <w:rPr>
          <w:rFonts w:ascii="Arial" w:hAnsi="Arial" w:cs="Arial"/>
        </w:rPr>
        <w:t xml:space="preserve"> &lt;.001, post-hoc </w:t>
      </w:r>
      <w:r w:rsidR="0060072E" w:rsidRPr="00225AB0">
        <w:rPr>
          <w:rFonts w:ascii="Arial" w:hAnsi="Arial" w:cs="Arial"/>
          <w:i/>
        </w:rPr>
        <w:t>p</w:t>
      </w:r>
      <w:r w:rsidR="0060072E" w:rsidRPr="00225AB0">
        <w:rPr>
          <w:rFonts w:ascii="Arial" w:hAnsi="Arial" w:cs="Arial"/>
        </w:rPr>
        <w:t xml:space="preserve"> &lt;.001)</w:t>
      </w:r>
      <w:r w:rsidR="00DB441A">
        <w:rPr>
          <w:rFonts w:ascii="Arial" w:hAnsi="Arial" w:cs="Arial"/>
        </w:rPr>
        <w:t xml:space="preserve"> (see Figure 6.8C)</w:t>
      </w:r>
      <w:r w:rsidR="0060072E" w:rsidRPr="00225AB0">
        <w:rPr>
          <w:rFonts w:ascii="Arial" w:hAnsi="Arial" w:cs="Arial"/>
        </w:rPr>
        <w:t xml:space="preserve">. </w:t>
      </w:r>
    </w:p>
    <w:p w14:paraId="17F53CC1" w14:textId="77777777" w:rsidR="0060072E" w:rsidRPr="00225AB0" w:rsidRDefault="0060072E" w:rsidP="0060072E">
      <w:pPr>
        <w:rPr>
          <w:rFonts w:ascii="Arial" w:hAnsi="Arial" w:cs="Arial"/>
        </w:rPr>
      </w:pPr>
    </w:p>
    <w:p w14:paraId="47E24F75" w14:textId="5B8AF69C" w:rsidR="0060072E" w:rsidRPr="00225AB0" w:rsidRDefault="0060072E" w:rsidP="0060072E">
      <w:pPr>
        <w:spacing w:line="480" w:lineRule="auto"/>
        <w:rPr>
          <w:rFonts w:ascii="Arial" w:hAnsi="Arial" w:cs="Arial"/>
        </w:rPr>
      </w:pPr>
      <w:r w:rsidRPr="00225AB0">
        <w:rPr>
          <w:rFonts w:ascii="Arial" w:hAnsi="Arial" w:cs="Arial"/>
        </w:rPr>
        <w:t xml:space="preserve">We then asked whether these differences in patterns of connectivity were driven by correlations with particular ROIs, calculating the RMSE distance between pairwise comparisons of attentional task conditions (averaged across a subsample of participants for each condition), for both observed and noise datasets, bootstrapped across 10,000 iterations. </w:t>
      </w:r>
    </w:p>
    <w:p w14:paraId="500F1FAF" w14:textId="25AEF247" w:rsidR="0060072E" w:rsidRPr="00225AB0" w:rsidRDefault="0060072E" w:rsidP="0060072E">
      <w:pPr>
        <w:spacing w:line="480" w:lineRule="auto"/>
        <w:rPr>
          <w:rFonts w:ascii="Arial" w:hAnsi="Arial" w:cs="Arial"/>
        </w:rPr>
      </w:pPr>
      <w:r w:rsidRPr="00225AB0">
        <w:rPr>
          <w:rFonts w:ascii="Arial" w:hAnsi="Arial" w:cs="Arial"/>
        </w:rPr>
        <w:lastRenderedPageBreak/>
        <w:t>For the orientation analysis, in almost all ROIs examined, we demonstrated a significant</w:t>
      </w:r>
      <w:r w:rsidR="008273A7">
        <w:rPr>
          <w:rFonts w:ascii="Arial" w:hAnsi="Arial" w:cs="Arial"/>
        </w:rPr>
        <w:t xml:space="preserve">ly greater positive connectivity during attention to vertical versus </w:t>
      </w:r>
      <w:r w:rsidRPr="00225AB0">
        <w:rPr>
          <w:rFonts w:ascii="Arial" w:hAnsi="Arial" w:cs="Arial"/>
        </w:rPr>
        <w:t xml:space="preserve">attention to diagonal stimuli (hV4: </w:t>
      </w:r>
      <w:r w:rsidRPr="00225AB0">
        <w:rPr>
          <w:rFonts w:ascii="Arial" w:hAnsi="Arial" w:cs="Arial"/>
          <w:i/>
        </w:rPr>
        <w:t>p</w:t>
      </w:r>
      <w:r w:rsidRPr="00225AB0">
        <w:rPr>
          <w:rFonts w:ascii="Arial" w:hAnsi="Arial" w:cs="Arial"/>
        </w:rPr>
        <w:t xml:space="preserve"> = .00</w:t>
      </w:r>
      <w:r w:rsidR="00750F84">
        <w:rPr>
          <w:rFonts w:ascii="Arial" w:hAnsi="Arial" w:cs="Arial"/>
        </w:rPr>
        <w:t>1</w:t>
      </w:r>
      <w:r w:rsidRPr="00225AB0">
        <w:rPr>
          <w:rFonts w:ascii="Arial" w:hAnsi="Arial" w:cs="Arial"/>
        </w:rPr>
        <w:t xml:space="preserve">, LO-1: </w:t>
      </w:r>
      <w:r w:rsidRPr="00225AB0">
        <w:rPr>
          <w:rFonts w:ascii="Arial" w:hAnsi="Arial" w:cs="Arial"/>
          <w:i/>
        </w:rPr>
        <w:t>p</w:t>
      </w:r>
      <w:r w:rsidRPr="00225AB0">
        <w:rPr>
          <w:rFonts w:ascii="Arial" w:hAnsi="Arial" w:cs="Arial"/>
        </w:rPr>
        <w:t xml:space="preserve"> = .00</w:t>
      </w:r>
      <w:r w:rsidR="00750F84">
        <w:rPr>
          <w:rFonts w:ascii="Arial" w:hAnsi="Arial" w:cs="Arial"/>
        </w:rPr>
        <w:t>5</w:t>
      </w:r>
      <w:r w:rsidRPr="00225AB0">
        <w:rPr>
          <w:rFonts w:ascii="Arial" w:hAnsi="Arial" w:cs="Arial"/>
        </w:rPr>
        <w:t xml:space="preserve">, LO-2: </w:t>
      </w:r>
      <w:r w:rsidRPr="00225AB0">
        <w:rPr>
          <w:rFonts w:ascii="Arial" w:hAnsi="Arial" w:cs="Arial"/>
          <w:i/>
        </w:rPr>
        <w:t xml:space="preserve">p </w:t>
      </w:r>
      <w:r w:rsidRPr="00225AB0">
        <w:rPr>
          <w:rFonts w:ascii="Arial" w:hAnsi="Arial" w:cs="Arial"/>
        </w:rPr>
        <w:t xml:space="preserve">&lt;.001, IPS0: </w:t>
      </w:r>
      <w:r w:rsidRPr="00225AB0">
        <w:rPr>
          <w:rFonts w:ascii="Arial" w:hAnsi="Arial" w:cs="Arial"/>
          <w:i/>
        </w:rPr>
        <w:t>p</w:t>
      </w:r>
      <w:r w:rsidRPr="00225AB0">
        <w:rPr>
          <w:rFonts w:ascii="Arial" w:hAnsi="Arial" w:cs="Arial"/>
        </w:rPr>
        <w:t xml:space="preserve"> &lt;.001). We also identified significant</w:t>
      </w:r>
      <w:r w:rsidR="008273A7">
        <w:rPr>
          <w:rFonts w:ascii="Arial" w:hAnsi="Arial" w:cs="Arial"/>
        </w:rPr>
        <w:t xml:space="preserve"> negative connectivity during attention to diagonal versus horizontally-oriented stimuli in many visual areas</w:t>
      </w:r>
      <w:r w:rsidRPr="00225AB0">
        <w:rPr>
          <w:rFonts w:ascii="Arial" w:hAnsi="Arial" w:cs="Arial"/>
        </w:rPr>
        <w:t xml:space="preserve"> (V1: </w:t>
      </w:r>
      <w:r w:rsidRPr="00225AB0">
        <w:rPr>
          <w:rFonts w:ascii="Arial" w:hAnsi="Arial" w:cs="Arial"/>
          <w:i/>
        </w:rPr>
        <w:t>p</w:t>
      </w:r>
      <w:r w:rsidRPr="00225AB0">
        <w:rPr>
          <w:rFonts w:ascii="Arial" w:hAnsi="Arial" w:cs="Arial"/>
        </w:rPr>
        <w:t xml:space="preserve"> = .00</w:t>
      </w:r>
      <w:r w:rsidR="00750F84">
        <w:rPr>
          <w:rFonts w:ascii="Arial" w:hAnsi="Arial" w:cs="Arial"/>
        </w:rPr>
        <w:t xml:space="preserve">7, </w:t>
      </w:r>
      <w:r w:rsidRPr="00225AB0">
        <w:rPr>
          <w:rFonts w:ascii="Arial" w:hAnsi="Arial" w:cs="Arial"/>
        </w:rPr>
        <w:t xml:space="preserve">hV4: </w:t>
      </w:r>
      <w:r w:rsidRPr="00225AB0">
        <w:rPr>
          <w:rFonts w:ascii="Arial" w:hAnsi="Arial" w:cs="Arial"/>
          <w:i/>
        </w:rPr>
        <w:t>p</w:t>
      </w:r>
      <w:r w:rsidRPr="00225AB0">
        <w:rPr>
          <w:rFonts w:ascii="Arial" w:hAnsi="Arial" w:cs="Arial"/>
        </w:rPr>
        <w:t xml:space="preserve"> = .0</w:t>
      </w:r>
      <w:r w:rsidR="00750F84">
        <w:rPr>
          <w:rFonts w:ascii="Arial" w:hAnsi="Arial" w:cs="Arial"/>
        </w:rPr>
        <w:t>21</w:t>
      </w:r>
      <w:r w:rsidRPr="00225AB0">
        <w:rPr>
          <w:rFonts w:ascii="Arial" w:hAnsi="Arial" w:cs="Arial"/>
        </w:rPr>
        <w:t xml:space="preserve">, LO-1: </w:t>
      </w:r>
      <w:r w:rsidRPr="00225AB0">
        <w:rPr>
          <w:rFonts w:ascii="Arial" w:hAnsi="Arial" w:cs="Arial"/>
          <w:i/>
        </w:rPr>
        <w:t>p</w:t>
      </w:r>
      <w:r w:rsidRPr="00225AB0">
        <w:rPr>
          <w:rFonts w:ascii="Arial" w:hAnsi="Arial" w:cs="Arial"/>
        </w:rPr>
        <w:t xml:space="preserve"> = .015, LO-2: </w:t>
      </w:r>
      <w:r w:rsidRPr="00225AB0">
        <w:rPr>
          <w:rFonts w:ascii="Arial" w:hAnsi="Arial" w:cs="Arial"/>
          <w:i/>
        </w:rPr>
        <w:t>p</w:t>
      </w:r>
      <w:r w:rsidRPr="00225AB0">
        <w:rPr>
          <w:rFonts w:ascii="Arial" w:hAnsi="Arial" w:cs="Arial"/>
        </w:rPr>
        <w:t xml:space="preserve"> = &lt;.001). Finally, we demonstrate significant differences between vertically- and horizontally-oriented stimuli in V1 (</w:t>
      </w:r>
      <w:r w:rsidRPr="00225AB0">
        <w:rPr>
          <w:rFonts w:ascii="Arial" w:hAnsi="Arial" w:cs="Arial"/>
          <w:i/>
        </w:rPr>
        <w:t xml:space="preserve">p </w:t>
      </w:r>
      <w:r w:rsidRPr="00225AB0">
        <w:rPr>
          <w:rFonts w:ascii="Arial" w:hAnsi="Arial" w:cs="Arial"/>
        </w:rPr>
        <w:t>= .0</w:t>
      </w:r>
      <w:r w:rsidR="00750F84">
        <w:rPr>
          <w:rFonts w:ascii="Arial" w:hAnsi="Arial" w:cs="Arial"/>
        </w:rPr>
        <w:t>50</w:t>
      </w:r>
      <w:r w:rsidRPr="00225AB0">
        <w:rPr>
          <w:rFonts w:ascii="Arial" w:hAnsi="Arial" w:cs="Arial"/>
        </w:rPr>
        <w:t>)</w:t>
      </w:r>
      <w:r w:rsidR="00750F84">
        <w:rPr>
          <w:rFonts w:ascii="Arial" w:hAnsi="Arial" w:cs="Arial"/>
        </w:rPr>
        <w:t xml:space="preserve"> </w:t>
      </w:r>
      <w:r w:rsidRPr="00225AB0">
        <w:rPr>
          <w:rFonts w:ascii="Arial" w:hAnsi="Arial" w:cs="Arial"/>
        </w:rPr>
        <w:t>and LO-2 (</w:t>
      </w:r>
      <w:r w:rsidRPr="00225AB0">
        <w:rPr>
          <w:rFonts w:ascii="Arial" w:hAnsi="Arial" w:cs="Arial"/>
          <w:i/>
        </w:rPr>
        <w:t>p</w:t>
      </w:r>
      <w:r w:rsidRPr="00225AB0">
        <w:rPr>
          <w:rFonts w:ascii="Arial" w:hAnsi="Arial" w:cs="Arial"/>
        </w:rPr>
        <w:t xml:space="preserve"> = .04</w:t>
      </w:r>
      <w:r w:rsidR="00750F84">
        <w:rPr>
          <w:rFonts w:ascii="Arial" w:hAnsi="Arial" w:cs="Arial"/>
        </w:rPr>
        <w:t>5</w:t>
      </w:r>
      <w:r w:rsidRPr="00225AB0">
        <w:rPr>
          <w:rFonts w:ascii="Arial" w:hAnsi="Arial" w:cs="Arial"/>
        </w:rPr>
        <w:t>)</w:t>
      </w:r>
      <w:r w:rsidR="00DB441A">
        <w:rPr>
          <w:rFonts w:ascii="Arial" w:hAnsi="Arial" w:cs="Arial"/>
        </w:rPr>
        <w:t xml:space="preserve"> (see Figure 6.8A). </w:t>
      </w:r>
    </w:p>
    <w:p w14:paraId="6F3F50CB" w14:textId="77777777" w:rsidR="0060072E" w:rsidRPr="00225AB0" w:rsidRDefault="0060072E" w:rsidP="0060072E">
      <w:pPr>
        <w:spacing w:line="480" w:lineRule="auto"/>
        <w:rPr>
          <w:rFonts w:ascii="Arial" w:hAnsi="Arial" w:cs="Arial"/>
        </w:rPr>
      </w:pPr>
    </w:p>
    <w:p w14:paraId="6B0B5BE0" w14:textId="15AEC7EE" w:rsidR="0060072E" w:rsidRPr="00225AB0" w:rsidRDefault="00D44AC6" w:rsidP="0060072E">
      <w:pPr>
        <w:spacing w:line="480" w:lineRule="auto"/>
        <w:rPr>
          <w:rFonts w:ascii="Arial" w:hAnsi="Arial" w:cs="Arial"/>
        </w:rPr>
      </w:pPr>
      <w:r>
        <w:rPr>
          <w:rFonts w:ascii="Arial" w:hAnsi="Arial" w:cs="Arial"/>
        </w:rPr>
        <w:t>In</w:t>
      </w:r>
      <w:r w:rsidR="0060072E" w:rsidRPr="00225AB0">
        <w:rPr>
          <w:rFonts w:ascii="Arial" w:hAnsi="Arial" w:cs="Arial"/>
        </w:rPr>
        <w:t xml:space="preserve"> the colour analysis, almost all ROI partial correlations demonstrate a significantly </w:t>
      </w:r>
      <w:r w:rsidR="003A5231">
        <w:rPr>
          <w:rFonts w:ascii="Arial" w:hAnsi="Arial" w:cs="Arial"/>
        </w:rPr>
        <w:t>greater positive connectivity</w:t>
      </w:r>
      <w:r w:rsidR="0060072E" w:rsidRPr="00225AB0">
        <w:rPr>
          <w:rFonts w:ascii="Arial" w:hAnsi="Arial" w:cs="Arial"/>
        </w:rPr>
        <w:t xml:space="preserve"> during attention to red versus green stimuli (</w:t>
      </w:r>
      <w:r w:rsidR="008437FC">
        <w:rPr>
          <w:rFonts w:ascii="Arial" w:hAnsi="Arial" w:cs="Arial"/>
        </w:rPr>
        <w:t>V3A/B</w:t>
      </w:r>
      <w:r w:rsidR="00750F84">
        <w:rPr>
          <w:rFonts w:ascii="Arial" w:hAnsi="Arial" w:cs="Arial"/>
        </w:rPr>
        <w:t xml:space="preserve">: </w:t>
      </w:r>
      <w:r w:rsidR="00750F84">
        <w:rPr>
          <w:rFonts w:ascii="Arial" w:hAnsi="Arial" w:cs="Arial"/>
          <w:i/>
          <w:iCs/>
        </w:rPr>
        <w:t xml:space="preserve">p </w:t>
      </w:r>
      <w:r w:rsidR="00750F84">
        <w:rPr>
          <w:rFonts w:ascii="Arial" w:hAnsi="Arial" w:cs="Arial"/>
        </w:rPr>
        <w:t xml:space="preserve">=.022, </w:t>
      </w:r>
      <w:r w:rsidR="0060072E" w:rsidRPr="00750F84">
        <w:rPr>
          <w:rFonts w:ascii="Arial" w:hAnsi="Arial" w:cs="Arial"/>
        </w:rPr>
        <w:t>hV4</w:t>
      </w:r>
      <w:r w:rsidR="0060072E" w:rsidRPr="00225AB0">
        <w:rPr>
          <w:rFonts w:ascii="Arial" w:hAnsi="Arial" w:cs="Arial"/>
        </w:rPr>
        <w:t xml:space="preserve">: </w:t>
      </w:r>
      <w:r w:rsidR="0060072E" w:rsidRPr="00225AB0">
        <w:rPr>
          <w:rFonts w:ascii="Arial" w:hAnsi="Arial" w:cs="Arial"/>
          <w:i/>
        </w:rPr>
        <w:t>p</w:t>
      </w:r>
      <w:r w:rsidR="0060072E" w:rsidRPr="00225AB0">
        <w:rPr>
          <w:rFonts w:ascii="Arial" w:hAnsi="Arial" w:cs="Arial"/>
        </w:rPr>
        <w:t xml:space="preserve"> &lt;.001, LO-1: </w:t>
      </w:r>
      <w:r w:rsidR="0060072E" w:rsidRPr="00225AB0">
        <w:rPr>
          <w:rFonts w:ascii="Arial" w:hAnsi="Arial" w:cs="Arial"/>
          <w:i/>
        </w:rPr>
        <w:t>p</w:t>
      </w:r>
      <w:r w:rsidR="0060072E" w:rsidRPr="00225AB0">
        <w:rPr>
          <w:rFonts w:ascii="Arial" w:hAnsi="Arial" w:cs="Arial"/>
        </w:rPr>
        <w:t xml:space="preserve"> = .00</w:t>
      </w:r>
      <w:r w:rsidR="00750F84">
        <w:rPr>
          <w:rFonts w:ascii="Arial" w:hAnsi="Arial" w:cs="Arial"/>
        </w:rPr>
        <w:t>5</w:t>
      </w:r>
      <w:r w:rsidR="0060072E" w:rsidRPr="00225AB0">
        <w:rPr>
          <w:rFonts w:ascii="Arial" w:hAnsi="Arial" w:cs="Arial"/>
        </w:rPr>
        <w:t xml:space="preserve">, LO-2: </w:t>
      </w:r>
      <w:r w:rsidR="0060072E" w:rsidRPr="00225AB0">
        <w:rPr>
          <w:rFonts w:ascii="Arial" w:hAnsi="Arial" w:cs="Arial"/>
          <w:i/>
        </w:rPr>
        <w:t>p</w:t>
      </w:r>
      <w:r w:rsidR="0060072E" w:rsidRPr="00225AB0">
        <w:rPr>
          <w:rFonts w:ascii="Arial" w:hAnsi="Arial" w:cs="Arial"/>
        </w:rPr>
        <w:t xml:space="preserve"> = .00</w:t>
      </w:r>
      <w:r w:rsidR="00750F84">
        <w:rPr>
          <w:rFonts w:ascii="Arial" w:hAnsi="Arial" w:cs="Arial"/>
        </w:rPr>
        <w:t>6</w:t>
      </w:r>
      <w:r w:rsidR="0060072E" w:rsidRPr="00225AB0">
        <w:rPr>
          <w:rFonts w:ascii="Arial" w:hAnsi="Arial" w:cs="Arial"/>
        </w:rPr>
        <w:t xml:space="preserve">, IPS0: </w:t>
      </w:r>
      <w:r w:rsidR="0060072E" w:rsidRPr="00225AB0">
        <w:rPr>
          <w:rFonts w:ascii="Arial" w:hAnsi="Arial" w:cs="Arial"/>
          <w:i/>
        </w:rPr>
        <w:t>p</w:t>
      </w:r>
      <w:r w:rsidR="0060072E" w:rsidRPr="00225AB0">
        <w:rPr>
          <w:rFonts w:ascii="Arial" w:hAnsi="Arial" w:cs="Arial"/>
        </w:rPr>
        <w:t xml:space="preserve"> = .00</w:t>
      </w:r>
      <w:r w:rsidR="00750F84">
        <w:rPr>
          <w:rFonts w:ascii="Arial" w:hAnsi="Arial" w:cs="Arial"/>
        </w:rPr>
        <w:t>4</w:t>
      </w:r>
      <w:r w:rsidR="0060072E" w:rsidRPr="00225AB0">
        <w:rPr>
          <w:rFonts w:ascii="Arial" w:hAnsi="Arial" w:cs="Arial"/>
        </w:rPr>
        <w:t>). In hV4, we also see a significant difference in connectivity between attention to green and blue stimuli (</w:t>
      </w:r>
      <w:r w:rsidR="0060072E" w:rsidRPr="00225AB0">
        <w:rPr>
          <w:rFonts w:ascii="Arial" w:hAnsi="Arial" w:cs="Arial"/>
          <w:i/>
        </w:rPr>
        <w:t xml:space="preserve">p </w:t>
      </w:r>
      <w:r w:rsidR="0060072E" w:rsidRPr="00225AB0">
        <w:rPr>
          <w:rFonts w:ascii="Arial" w:hAnsi="Arial" w:cs="Arial"/>
        </w:rPr>
        <w:t>= .01</w:t>
      </w:r>
      <w:r w:rsidR="00750F84">
        <w:rPr>
          <w:rFonts w:ascii="Arial" w:hAnsi="Arial" w:cs="Arial"/>
        </w:rPr>
        <w:t>9</w:t>
      </w:r>
      <w:r w:rsidR="0060072E" w:rsidRPr="00225AB0">
        <w:rPr>
          <w:rFonts w:ascii="Arial" w:hAnsi="Arial" w:cs="Arial"/>
        </w:rPr>
        <w:t>)</w:t>
      </w:r>
      <w:r w:rsidR="00750F84">
        <w:rPr>
          <w:rFonts w:ascii="Arial" w:hAnsi="Arial" w:cs="Arial"/>
        </w:rPr>
        <w:t xml:space="preserve"> </w:t>
      </w:r>
      <w:r w:rsidR="00DB441A">
        <w:rPr>
          <w:rFonts w:ascii="Arial" w:hAnsi="Arial" w:cs="Arial"/>
        </w:rPr>
        <w:t>(see Figure 6.8B)</w:t>
      </w:r>
      <w:r w:rsidR="0060072E" w:rsidRPr="00225AB0">
        <w:rPr>
          <w:rFonts w:ascii="Arial" w:hAnsi="Arial" w:cs="Arial"/>
        </w:rPr>
        <w:t>.</w:t>
      </w:r>
    </w:p>
    <w:p w14:paraId="2DD0A261" w14:textId="77777777" w:rsidR="0060072E" w:rsidRPr="00225AB0" w:rsidRDefault="0060072E" w:rsidP="0060072E">
      <w:pPr>
        <w:spacing w:line="480" w:lineRule="auto"/>
        <w:rPr>
          <w:rFonts w:ascii="Arial" w:hAnsi="Arial" w:cs="Arial"/>
        </w:rPr>
      </w:pPr>
    </w:p>
    <w:p w14:paraId="37F21C69" w14:textId="55FC7262" w:rsidR="0060072E" w:rsidRPr="00225AB0" w:rsidRDefault="0060072E" w:rsidP="0060072E">
      <w:pPr>
        <w:spacing w:line="480" w:lineRule="auto"/>
        <w:rPr>
          <w:rFonts w:ascii="Arial" w:hAnsi="Arial" w:cs="Arial"/>
        </w:rPr>
      </w:pPr>
      <w:r w:rsidRPr="00225AB0">
        <w:rPr>
          <w:rFonts w:ascii="Arial" w:hAnsi="Arial" w:cs="Arial"/>
        </w:rPr>
        <w:t xml:space="preserve">Finally, for the shape analysis, all ROIs examined demonstrate a significant </w:t>
      </w:r>
      <w:r w:rsidR="003A5231">
        <w:rPr>
          <w:rFonts w:ascii="Arial" w:hAnsi="Arial" w:cs="Arial"/>
        </w:rPr>
        <w:t>greater positive connectivity during attention to square versus circular stimuli</w:t>
      </w:r>
      <w:r w:rsidRPr="00225AB0">
        <w:rPr>
          <w:rFonts w:ascii="Arial" w:hAnsi="Arial" w:cs="Arial"/>
        </w:rPr>
        <w:t xml:space="preserve">, and also between attention to square and attention to triangular stimuli (all </w:t>
      </w:r>
      <w:r w:rsidRPr="00225AB0">
        <w:rPr>
          <w:rFonts w:ascii="Arial" w:hAnsi="Arial" w:cs="Arial"/>
          <w:i/>
        </w:rPr>
        <w:t>p</w:t>
      </w:r>
      <w:r w:rsidRPr="00225AB0">
        <w:rPr>
          <w:rFonts w:ascii="Arial" w:hAnsi="Arial" w:cs="Arial"/>
        </w:rPr>
        <w:t xml:space="preserve"> &lt;.01)</w:t>
      </w:r>
      <w:r w:rsidR="00750F84">
        <w:rPr>
          <w:rFonts w:ascii="Arial" w:hAnsi="Arial" w:cs="Arial"/>
        </w:rPr>
        <w:t xml:space="preserve"> </w:t>
      </w:r>
      <w:r w:rsidR="00DB441A">
        <w:rPr>
          <w:rFonts w:ascii="Arial" w:hAnsi="Arial" w:cs="Arial"/>
        </w:rPr>
        <w:t>(see Figure 6.8C)</w:t>
      </w:r>
      <w:r w:rsidRPr="00225AB0">
        <w:rPr>
          <w:rFonts w:ascii="Arial" w:hAnsi="Arial" w:cs="Arial"/>
        </w:rPr>
        <w:t>.</w:t>
      </w:r>
    </w:p>
    <w:p w14:paraId="5E38B252" w14:textId="77777777" w:rsidR="0060072E" w:rsidRDefault="0060072E" w:rsidP="0060072E">
      <w:pPr>
        <w:spacing w:line="480" w:lineRule="auto"/>
        <w:rPr>
          <w:rFonts w:ascii="Arial" w:hAnsi="Arial" w:cs="Arial"/>
        </w:rPr>
      </w:pPr>
    </w:p>
    <w:p w14:paraId="401DED40" w14:textId="77777777" w:rsidR="003874FF" w:rsidRPr="00225AB0" w:rsidRDefault="003874FF" w:rsidP="0060072E">
      <w:pPr>
        <w:spacing w:line="480" w:lineRule="auto"/>
        <w:rPr>
          <w:rFonts w:ascii="Arial" w:hAnsi="Arial" w:cs="Arial"/>
        </w:rPr>
      </w:pPr>
    </w:p>
    <w:p w14:paraId="57237495" w14:textId="77777777" w:rsidR="0060072E" w:rsidRPr="00225AB0" w:rsidRDefault="0060072E" w:rsidP="0060072E">
      <w:pPr>
        <w:rPr>
          <w:rFonts w:ascii="Arial" w:hAnsi="Arial" w:cs="Arial"/>
        </w:rPr>
      </w:pPr>
    </w:p>
    <w:p w14:paraId="0027FBDC" w14:textId="50BD0C51" w:rsidR="0060072E" w:rsidRPr="00225AB0" w:rsidRDefault="0060072E" w:rsidP="0060072E">
      <w:pPr>
        <w:rPr>
          <w:rFonts w:ascii="Arial" w:hAnsi="Arial" w:cs="Arial"/>
        </w:rPr>
      </w:pPr>
    </w:p>
    <w:p w14:paraId="2AA8AE27" w14:textId="241CCFA4" w:rsidR="0060072E" w:rsidRPr="00225AB0" w:rsidRDefault="00925460" w:rsidP="0060072E">
      <w:pPr>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848704" behindDoc="0" locked="0" layoutInCell="1" allowOverlap="1" wp14:anchorId="00569CFA" wp14:editId="7994D146">
                <wp:simplePos x="0" y="0"/>
                <wp:positionH relativeFrom="column">
                  <wp:posOffset>-1794510</wp:posOffset>
                </wp:positionH>
                <wp:positionV relativeFrom="paragraph">
                  <wp:posOffset>1575435</wp:posOffset>
                </wp:positionV>
                <wp:extent cx="8907145" cy="5756275"/>
                <wp:effectExtent l="635" t="0" r="8890" b="8890"/>
                <wp:wrapSquare wrapText="bothSides"/>
                <wp:docPr id="131" name="Text Box 131"/>
                <wp:cNvGraphicFramePr/>
                <a:graphic xmlns:a="http://schemas.openxmlformats.org/drawingml/2006/main">
                  <a:graphicData uri="http://schemas.microsoft.com/office/word/2010/wordprocessingShape">
                    <wps:wsp>
                      <wps:cNvSpPr txBox="1"/>
                      <wps:spPr>
                        <a:xfrm rot="16200000">
                          <a:off x="0" y="0"/>
                          <a:ext cx="8907145" cy="5756275"/>
                        </a:xfrm>
                        <a:prstGeom prst="rect">
                          <a:avLst/>
                        </a:prstGeom>
                        <a:solidFill>
                          <a:schemeClr val="bg1"/>
                        </a:solidFill>
                        <a:ln w="6350">
                          <a:solidFill>
                            <a:schemeClr val="bg1"/>
                          </a:solidFill>
                        </a:ln>
                      </wps:spPr>
                      <wps:txbx>
                        <w:txbxContent>
                          <w:p w14:paraId="07C655AD" w14:textId="379467E9" w:rsidR="00C93BE0" w:rsidRDefault="00C93BE0" w:rsidP="00925460">
                            <w:pPr>
                              <w:keepNext/>
                              <w:jc w:val="center"/>
                            </w:pPr>
                            <w:r>
                              <w:rPr>
                                <w:noProof/>
                              </w:rPr>
                              <w:drawing>
                                <wp:inline distT="0" distB="0" distL="0" distR="0" wp14:anchorId="4EE48FEA" wp14:editId="335D8F38">
                                  <wp:extent cx="8717915" cy="338010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ure6.8-3x3_connectivity_bar_combined_matrix.png"/>
                                          <pic:cNvPicPr/>
                                        </pic:nvPicPr>
                                        <pic:blipFill>
                                          <a:blip r:embed="rId83">
                                            <a:extLst>
                                              <a:ext uri="{28A0092B-C50C-407E-A947-70E740481C1C}">
                                                <a14:useLocalDpi xmlns:a14="http://schemas.microsoft.com/office/drawing/2010/main" val="0"/>
                                              </a:ext>
                                            </a:extLst>
                                          </a:blip>
                                          <a:stretch>
                                            <a:fillRect/>
                                          </a:stretch>
                                        </pic:blipFill>
                                        <pic:spPr>
                                          <a:xfrm>
                                            <a:off x="0" y="0"/>
                                            <a:ext cx="8717915" cy="3380105"/>
                                          </a:xfrm>
                                          <a:prstGeom prst="rect">
                                            <a:avLst/>
                                          </a:prstGeom>
                                        </pic:spPr>
                                      </pic:pic>
                                    </a:graphicData>
                                  </a:graphic>
                                </wp:inline>
                              </w:drawing>
                            </w:r>
                          </w:p>
                          <w:p w14:paraId="5ED17196" w14:textId="02ACF652" w:rsidR="00C93BE0" w:rsidRPr="00BE653D" w:rsidRDefault="00C93BE0" w:rsidP="00925460">
                            <w:pPr>
                              <w:pStyle w:val="Caption"/>
                              <w:spacing w:line="360" w:lineRule="auto"/>
                              <w:jc w:val="both"/>
                              <w:rPr>
                                <w:rFonts w:ascii="Arial" w:hAnsi="Arial" w:cs="Arial"/>
                                <w:i w:val="0"/>
                                <w:color w:val="000000" w:themeColor="text1"/>
                                <w:sz w:val="24"/>
                                <w:szCs w:val="24"/>
                              </w:rPr>
                            </w:pPr>
                            <w:bookmarkStart w:id="863" w:name="_Toc11925697"/>
                            <w:bookmarkStart w:id="864" w:name="_Toc11926474"/>
                            <w:bookmarkStart w:id="865" w:name="_Toc11926776"/>
                            <w:bookmarkStart w:id="866" w:name="_Toc12363368"/>
                            <w:bookmarkStart w:id="867" w:name="_Toc16242725"/>
                            <w:r w:rsidRPr="00C37FB8">
                              <w:rPr>
                                <w:rFonts w:ascii="Arial" w:hAnsi="Arial" w:cs="Arial"/>
                                <w:b/>
                                <w:i w:val="0"/>
                                <w:color w:val="000000" w:themeColor="text1"/>
                                <w:sz w:val="24"/>
                                <w:szCs w:val="24"/>
                              </w:rPr>
                              <w:t xml:space="preserve">Figure </w:t>
                            </w:r>
                            <w:r w:rsidRPr="00C37FB8">
                              <w:rPr>
                                <w:rFonts w:ascii="Arial" w:hAnsi="Arial" w:cs="Arial"/>
                                <w:b/>
                                <w:i w:val="0"/>
                                <w:color w:val="000000" w:themeColor="text1"/>
                                <w:sz w:val="24"/>
                                <w:szCs w:val="24"/>
                              </w:rPr>
                              <w:fldChar w:fldCharType="begin"/>
                            </w:r>
                            <w:r w:rsidRPr="00C37FB8">
                              <w:rPr>
                                <w:rFonts w:ascii="Arial" w:hAnsi="Arial" w:cs="Arial"/>
                                <w:b/>
                                <w:i w:val="0"/>
                                <w:color w:val="000000" w:themeColor="text1"/>
                                <w:sz w:val="24"/>
                                <w:szCs w:val="24"/>
                              </w:rPr>
                              <w:instrText xml:space="preserve"> STYLEREF 1 \s </w:instrText>
                            </w:r>
                            <w:r w:rsidRPr="00C37FB8">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sidRPr="00C37FB8">
                              <w:rPr>
                                <w:rFonts w:ascii="Arial" w:hAnsi="Arial" w:cs="Arial"/>
                                <w:b/>
                                <w:i w:val="0"/>
                                <w:color w:val="000000" w:themeColor="text1"/>
                                <w:sz w:val="24"/>
                                <w:szCs w:val="24"/>
                              </w:rPr>
                              <w:fldChar w:fldCharType="end"/>
                            </w:r>
                            <w:r w:rsidRPr="00C37FB8">
                              <w:rPr>
                                <w:rFonts w:ascii="Arial" w:hAnsi="Arial" w:cs="Arial"/>
                                <w:b/>
                                <w:i w:val="0"/>
                                <w:color w:val="000000" w:themeColor="text1"/>
                                <w:sz w:val="24"/>
                                <w:szCs w:val="24"/>
                              </w:rPr>
                              <w:t>.</w:t>
                            </w:r>
                            <w:r w:rsidRPr="00C37FB8">
                              <w:rPr>
                                <w:rFonts w:ascii="Arial" w:hAnsi="Arial" w:cs="Arial"/>
                                <w:b/>
                                <w:i w:val="0"/>
                                <w:color w:val="000000" w:themeColor="text1"/>
                                <w:sz w:val="24"/>
                                <w:szCs w:val="24"/>
                              </w:rPr>
                              <w:fldChar w:fldCharType="begin"/>
                            </w:r>
                            <w:r w:rsidRPr="00C37FB8">
                              <w:rPr>
                                <w:rFonts w:ascii="Arial" w:hAnsi="Arial" w:cs="Arial"/>
                                <w:b/>
                                <w:i w:val="0"/>
                                <w:color w:val="000000" w:themeColor="text1"/>
                                <w:sz w:val="24"/>
                                <w:szCs w:val="24"/>
                              </w:rPr>
                              <w:instrText xml:space="preserve"> SEQ Figure \* ARABIC \s 1 </w:instrText>
                            </w:r>
                            <w:r w:rsidRPr="00C37FB8">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8</w:t>
                            </w:r>
                            <w:r w:rsidRPr="00C37FB8">
                              <w:rPr>
                                <w:rFonts w:ascii="Arial" w:hAnsi="Arial" w:cs="Arial"/>
                                <w:b/>
                                <w:i w:val="0"/>
                                <w:color w:val="000000" w:themeColor="text1"/>
                                <w:sz w:val="24"/>
                                <w:szCs w:val="24"/>
                              </w:rPr>
                              <w:fldChar w:fldCharType="end"/>
                            </w:r>
                            <w:r w:rsidRPr="00C37FB8">
                              <w:rPr>
                                <w:rFonts w:ascii="Arial" w:hAnsi="Arial" w:cs="Arial"/>
                                <w:i w:val="0"/>
                                <w:color w:val="000000" w:themeColor="text1"/>
                                <w:sz w:val="24"/>
                                <w:szCs w:val="24"/>
                              </w:rPr>
                              <w:t xml:space="preserve"> 3x3 feature timeseries connectivity analyses. Group averaged feature-specific attentional modulation connectivity values, and partial correlation bootstrapped measures indicate significantly different patterns of connectivity across visual ROIs as a function of attentional task.  In the orientation analysis, we identify significantly reduced correlation between ROIs during attention to diagonal than horizontal or vertically-oriented stimuli, and this different is present in connectivity with almost all visual ROIs (A). In the chromatic analysis (B), we identify significantly greater positive connectivity between ROIs during attention to red than to green or blue stimuli in almost all ROIs (excluding V3A/B). In C) we demonstrate significantly greater positive correlation between visual ROIs during attention to square than to circular- or triangular-shapes. This difference was apparent in all visual ROI RMSE partial correlations. Significant differences between pairwise combination of condition are indicated with asterisks.</w:t>
                            </w:r>
                            <w:bookmarkEnd w:id="863"/>
                            <w:bookmarkEnd w:id="864"/>
                            <w:bookmarkEnd w:id="865"/>
                            <w:bookmarkEnd w:id="866"/>
                            <w:bookmarkEnd w:id="867"/>
                            <w:r w:rsidRPr="00C37FB8">
                              <w:rPr>
                                <w:rFonts w:ascii="Arial" w:hAnsi="Arial" w:cs="Arial"/>
                                <w:i w:val="0"/>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69CFA" id="Text Box 131" o:spid="_x0000_s1070" type="#_x0000_t202" style="position:absolute;margin-left:-141.3pt;margin-top:124.05pt;width:701.35pt;height:453.25pt;rotation:-9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" fillcolor="white [3212]" strokecolor="white [3212]" strokeweight=".5pt">
                <v:textbox>
                  <w:txbxContent>
                    <w:p w14:paraId="07C655AD" w14:textId="379467E9" w:rsidR="00C93BE0" w:rsidRDefault="00C93BE0" w:rsidP="00925460">
                      <w:pPr>
                        <w:keepNext/>
                        <w:jc w:val="center"/>
                      </w:pPr>
                      <w:r>
                        <w:rPr>
                          <w:noProof/>
                        </w:rPr>
                        <w:drawing>
                          <wp:inline distT="0" distB="0" distL="0" distR="0" wp14:anchorId="4EE48FEA" wp14:editId="335D8F38">
                            <wp:extent cx="8717915" cy="338010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ure6.8-3x3_connectivity_bar_combined_matrix.png"/>
                                    <pic:cNvPicPr/>
                                  </pic:nvPicPr>
                                  <pic:blipFill>
                                    <a:blip r:embed="rId84">
                                      <a:extLst>
                                        <a:ext uri="{28A0092B-C50C-407E-A947-70E740481C1C}">
                                          <a14:useLocalDpi xmlns:a14="http://schemas.microsoft.com/office/drawing/2010/main" val="0"/>
                                        </a:ext>
                                      </a:extLst>
                                    </a:blip>
                                    <a:stretch>
                                      <a:fillRect/>
                                    </a:stretch>
                                  </pic:blipFill>
                                  <pic:spPr>
                                    <a:xfrm>
                                      <a:off x="0" y="0"/>
                                      <a:ext cx="8717915" cy="3380105"/>
                                    </a:xfrm>
                                    <a:prstGeom prst="rect">
                                      <a:avLst/>
                                    </a:prstGeom>
                                  </pic:spPr>
                                </pic:pic>
                              </a:graphicData>
                            </a:graphic>
                          </wp:inline>
                        </w:drawing>
                      </w:r>
                    </w:p>
                    <w:p w14:paraId="5ED17196" w14:textId="02ACF652" w:rsidR="00C93BE0" w:rsidRPr="00BE653D" w:rsidRDefault="00C93BE0" w:rsidP="00925460">
                      <w:pPr>
                        <w:pStyle w:val="Caption"/>
                        <w:spacing w:line="360" w:lineRule="auto"/>
                        <w:jc w:val="both"/>
                        <w:rPr>
                          <w:rFonts w:ascii="Arial" w:hAnsi="Arial" w:cs="Arial"/>
                          <w:i w:val="0"/>
                          <w:color w:val="000000" w:themeColor="text1"/>
                          <w:sz w:val="24"/>
                          <w:szCs w:val="24"/>
                        </w:rPr>
                      </w:pPr>
                      <w:bookmarkStart w:id="942" w:name="_Toc11925697"/>
                      <w:bookmarkStart w:id="943" w:name="_Toc11926474"/>
                      <w:bookmarkStart w:id="944" w:name="_Toc11926776"/>
                      <w:bookmarkStart w:id="945" w:name="_Toc12363368"/>
                      <w:bookmarkStart w:id="946" w:name="_Toc16242725"/>
                      <w:r w:rsidRPr="00C37FB8">
                        <w:rPr>
                          <w:rFonts w:ascii="Arial" w:hAnsi="Arial" w:cs="Arial"/>
                          <w:b/>
                          <w:i w:val="0"/>
                          <w:color w:val="000000" w:themeColor="text1"/>
                          <w:sz w:val="24"/>
                          <w:szCs w:val="24"/>
                        </w:rPr>
                        <w:t xml:space="preserve">Figure </w:t>
                      </w:r>
                      <w:r w:rsidRPr="00C37FB8">
                        <w:rPr>
                          <w:rFonts w:ascii="Arial" w:hAnsi="Arial" w:cs="Arial"/>
                          <w:b/>
                          <w:i w:val="0"/>
                          <w:color w:val="000000" w:themeColor="text1"/>
                          <w:sz w:val="24"/>
                          <w:szCs w:val="24"/>
                        </w:rPr>
                        <w:fldChar w:fldCharType="begin"/>
                      </w:r>
                      <w:r w:rsidRPr="00C37FB8">
                        <w:rPr>
                          <w:rFonts w:ascii="Arial" w:hAnsi="Arial" w:cs="Arial"/>
                          <w:b/>
                          <w:i w:val="0"/>
                          <w:color w:val="000000" w:themeColor="text1"/>
                          <w:sz w:val="24"/>
                          <w:szCs w:val="24"/>
                        </w:rPr>
                        <w:instrText xml:space="preserve"> STYLEREF 1 \s </w:instrText>
                      </w:r>
                      <w:r w:rsidRPr="00C37FB8">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6</w:t>
                      </w:r>
                      <w:r w:rsidRPr="00C37FB8">
                        <w:rPr>
                          <w:rFonts w:ascii="Arial" w:hAnsi="Arial" w:cs="Arial"/>
                          <w:b/>
                          <w:i w:val="0"/>
                          <w:color w:val="000000" w:themeColor="text1"/>
                          <w:sz w:val="24"/>
                          <w:szCs w:val="24"/>
                        </w:rPr>
                        <w:fldChar w:fldCharType="end"/>
                      </w:r>
                      <w:r w:rsidRPr="00C37FB8">
                        <w:rPr>
                          <w:rFonts w:ascii="Arial" w:hAnsi="Arial" w:cs="Arial"/>
                          <w:b/>
                          <w:i w:val="0"/>
                          <w:color w:val="000000" w:themeColor="text1"/>
                          <w:sz w:val="24"/>
                          <w:szCs w:val="24"/>
                        </w:rPr>
                        <w:t>.</w:t>
                      </w:r>
                      <w:r w:rsidRPr="00C37FB8">
                        <w:rPr>
                          <w:rFonts w:ascii="Arial" w:hAnsi="Arial" w:cs="Arial"/>
                          <w:b/>
                          <w:i w:val="0"/>
                          <w:color w:val="000000" w:themeColor="text1"/>
                          <w:sz w:val="24"/>
                          <w:szCs w:val="24"/>
                        </w:rPr>
                        <w:fldChar w:fldCharType="begin"/>
                      </w:r>
                      <w:r w:rsidRPr="00C37FB8">
                        <w:rPr>
                          <w:rFonts w:ascii="Arial" w:hAnsi="Arial" w:cs="Arial"/>
                          <w:b/>
                          <w:i w:val="0"/>
                          <w:color w:val="000000" w:themeColor="text1"/>
                          <w:sz w:val="24"/>
                          <w:szCs w:val="24"/>
                        </w:rPr>
                        <w:instrText xml:space="preserve"> SEQ Figure \* ARABIC \s 1 </w:instrText>
                      </w:r>
                      <w:r w:rsidRPr="00C37FB8">
                        <w:rPr>
                          <w:rFonts w:ascii="Arial" w:hAnsi="Arial" w:cs="Arial"/>
                          <w:b/>
                          <w:i w:val="0"/>
                          <w:color w:val="000000" w:themeColor="text1"/>
                          <w:sz w:val="24"/>
                          <w:szCs w:val="24"/>
                        </w:rPr>
                        <w:fldChar w:fldCharType="separate"/>
                      </w:r>
                      <w:r>
                        <w:rPr>
                          <w:rFonts w:ascii="Arial" w:hAnsi="Arial" w:cs="Arial"/>
                          <w:b/>
                          <w:i w:val="0"/>
                          <w:noProof/>
                          <w:color w:val="000000" w:themeColor="text1"/>
                          <w:sz w:val="24"/>
                          <w:szCs w:val="24"/>
                        </w:rPr>
                        <w:t>8</w:t>
                      </w:r>
                      <w:r w:rsidRPr="00C37FB8">
                        <w:rPr>
                          <w:rFonts w:ascii="Arial" w:hAnsi="Arial" w:cs="Arial"/>
                          <w:b/>
                          <w:i w:val="0"/>
                          <w:color w:val="000000" w:themeColor="text1"/>
                          <w:sz w:val="24"/>
                          <w:szCs w:val="24"/>
                        </w:rPr>
                        <w:fldChar w:fldCharType="end"/>
                      </w:r>
                      <w:r w:rsidRPr="00C37FB8">
                        <w:rPr>
                          <w:rFonts w:ascii="Arial" w:hAnsi="Arial" w:cs="Arial"/>
                          <w:i w:val="0"/>
                          <w:color w:val="000000" w:themeColor="text1"/>
                          <w:sz w:val="24"/>
                          <w:szCs w:val="24"/>
                        </w:rPr>
                        <w:t xml:space="preserve"> 3x3 feature timeseries connectivity analyses. Group averaged feature-specific attentional modulation connectivity values, and partial correlation bootstrapped measures indicate significantly different patterns of connectivity across visual ROIs as a function of attentional task.  In the orientation analysis, we identify significantly reduced correlation between ROIs during attention to diagonal than horizontal or vertically-oriented stimuli, and this different is present in connectivity with almost all visual ROIs (A). In the chromatic analysis (B), we identify significantly greater positive connectivity between ROIs during attention to red than to green or blue stimuli in almost all ROIs (excluding V3A/B). In C) we demonstrate significantly greater positive correlation between visual ROIs during attention to square than to circular- or triangular-shapes. This difference was apparent in all visual ROI RMSE partial correlations. Significant differences between pairwise combination of condition are indicated with asterisks.</w:t>
                      </w:r>
                      <w:bookmarkEnd w:id="942"/>
                      <w:bookmarkEnd w:id="943"/>
                      <w:bookmarkEnd w:id="944"/>
                      <w:bookmarkEnd w:id="945"/>
                      <w:bookmarkEnd w:id="946"/>
                      <w:r w:rsidRPr="00C37FB8">
                        <w:rPr>
                          <w:rFonts w:ascii="Arial" w:hAnsi="Arial" w:cs="Arial"/>
                          <w:i w:val="0"/>
                          <w:color w:val="000000" w:themeColor="text1"/>
                          <w:sz w:val="24"/>
                          <w:szCs w:val="24"/>
                        </w:rPr>
                        <w:t xml:space="preserve"> </w:t>
                      </w:r>
                    </w:p>
                  </w:txbxContent>
                </v:textbox>
                <w10:wrap type="square"/>
              </v:shape>
            </w:pict>
          </mc:Fallback>
        </mc:AlternateContent>
      </w:r>
    </w:p>
    <w:p w14:paraId="242DD688" w14:textId="77777777" w:rsidR="0060072E" w:rsidRDefault="0060072E" w:rsidP="001811CC">
      <w:pPr>
        <w:pStyle w:val="Heading2"/>
        <w:numPr>
          <w:ilvl w:val="1"/>
          <w:numId w:val="7"/>
        </w:numPr>
        <w:rPr>
          <w:rFonts w:ascii="Arial" w:hAnsi="Arial" w:cs="Arial"/>
          <w:b/>
          <w:color w:val="000000" w:themeColor="text1"/>
          <w:sz w:val="28"/>
          <w:szCs w:val="28"/>
        </w:rPr>
      </w:pPr>
      <w:bookmarkStart w:id="868" w:name="_Toc11148059"/>
      <w:bookmarkStart w:id="869" w:name="_Toc11154009"/>
      <w:bookmarkStart w:id="870" w:name="_Toc11753688"/>
      <w:bookmarkStart w:id="871" w:name="_Toc11926874"/>
      <w:bookmarkStart w:id="872" w:name="_Toc11930142"/>
      <w:bookmarkStart w:id="873" w:name="_Toc16075458"/>
      <w:bookmarkStart w:id="874" w:name="_Toc16237046"/>
      <w:r w:rsidRPr="00F771D6">
        <w:rPr>
          <w:rFonts w:ascii="Arial" w:hAnsi="Arial" w:cs="Arial"/>
          <w:b/>
          <w:color w:val="000000" w:themeColor="text1"/>
          <w:sz w:val="28"/>
          <w:szCs w:val="28"/>
        </w:rPr>
        <w:lastRenderedPageBreak/>
        <w:t>Discussion</w:t>
      </w:r>
      <w:bookmarkEnd w:id="868"/>
      <w:bookmarkEnd w:id="869"/>
      <w:bookmarkEnd w:id="870"/>
      <w:bookmarkEnd w:id="871"/>
      <w:bookmarkEnd w:id="872"/>
      <w:bookmarkEnd w:id="873"/>
      <w:bookmarkEnd w:id="874"/>
    </w:p>
    <w:p w14:paraId="0D8BEC96" w14:textId="77777777" w:rsidR="00F771D6" w:rsidRPr="00F771D6" w:rsidRDefault="00F771D6" w:rsidP="00F771D6">
      <w:pPr>
        <w:pStyle w:val="ListParagraph"/>
      </w:pPr>
    </w:p>
    <w:p w14:paraId="4BFFED6A" w14:textId="63B43BC5" w:rsidR="008B4C1A" w:rsidRDefault="0060072E" w:rsidP="0060072E">
      <w:pPr>
        <w:spacing w:line="480" w:lineRule="auto"/>
        <w:rPr>
          <w:rFonts w:ascii="Arial" w:hAnsi="Arial" w:cs="Arial"/>
        </w:rPr>
      </w:pPr>
      <w:r w:rsidRPr="00225AB0">
        <w:rPr>
          <w:rFonts w:ascii="Arial" w:hAnsi="Arial" w:cs="Arial"/>
        </w:rPr>
        <w:t xml:space="preserve">Here, we investigated patterns of </w:t>
      </w:r>
      <w:r w:rsidRPr="00170639">
        <w:rPr>
          <w:rFonts w:ascii="Arial" w:hAnsi="Arial" w:cs="Arial"/>
        </w:rPr>
        <w:t>attention</w:t>
      </w:r>
      <w:r w:rsidR="00C809E6" w:rsidRPr="00C809E6">
        <w:rPr>
          <w:rFonts w:ascii="Arial" w:hAnsi="Arial" w:cs="Arial"/>
        </w:rPr>
        <w:t>al</w:t>
      </w:r>
      <w:r w:rsidRPr="00225AB0">
        <w:rPr>
          <w:rFonts w:ascii="Arial" w:hAnsi="Arial" w:cs="Arial"/>
        </w:rPr>
        <w:t xml:space="preserve"> modulation during the viewing of a relatively naturalistic stimulus. We demonstrate little difference in univariate fMRI signal modulation across attentional tasks conditions, both at coarse (orientation, colour and shape) and relatively finer (e.g. vertical, horizontal and diagonal orientations) scales. Strikingly, we see no evidence of face-selective responses, indexed by different patterns of modulation for attention to faces than attention to low-level stimulus features, in any of the face-specific regions examined (FFA, OFA and STS). </w:t>
      </w:r>
    </w:p>
    <w:p w14:paraId="3443DAD1" w14:textId="77777777" w:rsidR="008B4C1A" w:rsidRDefault="008B4C1A" w:rsidP="0060072E">
      <w:pPr>
        <w:spacing w:line="480" w:lineRule="auto"/>
        <w:rPr>
          <w:rFonts w:ascii="Arial" w:hAnsi="Arial" w:cs="Arial"/>
        </w:rPr>
      </w:pPr>
    </w:p>
    <w:p w14:paraId="2A2E5F91" w14:textId="41294833" w:rsidR="0060072E" w:rsidRPr="008B4C1A" w:rsidRDefault="0060072E" w:rsidP="0060072E">
      <w:pPr>
        <w:spacing w:line="480" w:lineRule="auto"/>
        <w:rPr>
          <w:rFonts w:ascii="Arial" w:hAnsi="Arial" w:cs="Arial"/>
        </w:rPr>
      </w:pPr>
      <w:r w:rsidRPr="00225AB0">
        <w:rPr>
          <w:rFonts w:ascii="Arial" w:hAnsi="Arial" w:cs="Arial"/>
        </w:rPr>
        <w:t>We believe this is likely a reflection of the fac</w:t>
      </w:r>
      <w:r w:rsidR="008B4C1A">
        <w:rPr>
          <w:rFonts w:ascii="Arial" w:hAnsi="Arial" w:cs="Arial"/>
        </w:rPr>
        <w:t xml:space="preserve">t </w:t>
      </w:r>
      <w:r w:rsidRPr="00225AB0">
        <w:rPr>
          <w:rFonts w:ascii="Arial" w:hAnsi="Arial" w:cs="Arial"/>
        </w:rPr>
        <w:t xml:space="preserve">these face-specific regions have been identified traditionally through manipulation of the stimulus, rather than of attentional focus. For example </w:t>
      </w:r>
      <w:r w:rsidRPr="00225AB0">
        <w:rPr>
          <w:rFonts w:ascii="Arial" w:hAnsi="Arial" w:cs="Arial"/>
        </w:rPr>
        <w:fldChar w:fldCharType="begin"/>
      </w:r>
      <w:r w:rsidR="005B4361">
        <w:rPr>
          <w:rFonts w:ascii="Arial" w:hAnsi="Arial" w:cs="Arial"/>
        </w:rPr>
        <w:instrText xml:space="preserve"> ADDIN ZOTERO_ITEM CSL_CITATION {"citationID":"kNtpI0e5","properties":{"formattedCitation":"(N. Kanwisher et al., 1997)","plainCitation":"(N. Kanwisher et al., 1997)","dontUpdate":true,"noteIndex":0},"citationItems":[{"id":37,"uris":["http://zotero.org/groups/318634/items/M27FKGX4"],"uri":["http://zotero.org/groups/318634/items/M27FKGX4"],"itemData":{"id":37,"type":"article-journal","title":"The fusiform face area: a module in human extrastriate cortex specialized for face perception","container-title":"The Journal of Neuroscience: The Official Journal of the Society for Neuroscience","page":"4302-4311","volume":"17","issue":"11","source":"PubMed","abstract":"Using functional magnetic resonance imaging (fMRI), we found an area in the fusiform gyrus in 12 of the 15 subjects tested that was significantly more active when the subjects viewed faces than when they viewed assorted common objects. This face activation was used to define a specific region of interest individually for each subject, within which several new tests of face specificity were run. In each of five subjects tested, the predefined candidate \"face area\" also responded significantly more strongly to passive viewing of (1) intact than scrambled two-tone faces, (2) full front-view face photos than front-view photos of houses, and (in a different set of five subjects) (3) three-quarter-view face photos (with hair concealed) than photos of human hands; it also responded more strongly during (4) a consecutive matching task performed on three-quarter-view faces versus hands. Our technique of running multiple tests applied to the same region defined functionally within individual subjects provides a solution to two common problems in functional imaging: (1) the requirement to correct for multiple statistical comparisons and (2) the inevitable ambiguity in the interpretation of any study in which only two or three conditions are compared. Our data allow us to reject alternative accounts of the function of the fusiform face area (area \"FF\") that appeal to visual attention, subordinate-level classification, or general processing of any animate or human forms, demonstrating that this region is selectively involved in the perception of faces.","ISSN":"0270-6474","note":"PMID: 9151747","title-short":"The fusiform face area","journalAbbreviation":"J. Neurosci.","language":"eng","author":[{"family":"Kanwisher","given":"N."},{"family":"McDermott","given":"J."},{"family":"Chun","given":"M. M."}],"issued":{"date-parts":[["1997",6,1]]}}}],"schema":"https://github.com/citation-style-language/schema/raw/master/csl-citation.json"} </w:instrText>
      </w:r>
      <w:r w:rsidRPr="00225AB0">
        <w:rPr>
          <w:rFonts w:ascii="Arial" w:hAnsi="Arial" w:cs="Arial"/>
        </w:rPr>
        <w:fldChar w:fldCharType="separate"/>
      </w:r>
      <w:r w:rsidRPr="00225AB0">
        <w:rPr>
          <w:rFonts w:ascii="Arial" w:hAnsi="Arial" w:cs="Arial"/>
          <w:noProof/>
        </w:rPr>
        <w:t>Kanwisher et al., (1997)</w:t>
      </w:r>
      <w:r w:rsidRPr="00225AB0">
        <w:rPr>
          <w:rFonts w:ascii="Arial" w:hAnsi="Arial" w:cs="Arial"/>
        </w:rPr>
        <w:fldChar w:fldCharType="end"/>
      </w:r>
      <w:r w:rsidRPr="00225AB0">
        <w:rPr>
          <w:rFonts w:ascii="Arial" w:hAnsi="Arial" w:cs="Arial"/>
        </w:rPr>
        <w:t xml:space="preserve"> identified face-selective regions through comparison of activation elicited from passive viewing of photographs with faces compared with photographs containing common objects. Additionally, previous research demonstrating attentional modulation of the FFA employed differing paradigms to our own, such as covert attention and repetition attenuation effects </w:t>
      </w:r>
      <w:r w:rsidRPr="00225AB0">
        <w:rPr>
          <w:rFonts w:ascii="Arial" w:hAnsi="Arial" w:cs="Arial"/>
        </w:rPr>
        <w:fldChar w:fldCharType="begin"/>
      </w:r>
      <w:r w:rsidR="005B4361">
        <w:rPr>
          <w:rFonts w:ascii="Arial" w:hAnsi="Arial" w:cs="Arial"/>
        </w:rPr>
        <w:instrText xml:space="preserve"> ADDIN ZOTERO_ITEM CSL_CITATION {"citationID":"WgzIXgl0","properties":{"formattedCitation":"(Wojciulik et al., 1998; Yi et al., 2006)","plainCitation":"(Wojciulik et al., 1998; Yi et al., 2006)","noteIndex":0},"citationItems":[{"id":95,"uris":["http://zotero.org/groups/318634/items/6RY94UGZ"],"uri":["http://zotero.org/groups/318634/items/6RY94UGZ"],"itemData":{"id":95,"type":"article-journal","title":"Covert Visual Attention Modulates Face-Specific Activity in the Human Fusiform Gyrus: fMRI Study","container-title":"Journal of Neurophysiology","page":"1574-1578","volume":"79","issue":"3","source":"physiology.org (Atypon)","abstract":"Wojciulik, Ewa, Nancy Kanwisher, and Jon Driver. Covert visual attention modulates face-specific activity in the human fusiform gyrus: an fMRI study. J. Neurophysiol. 79: 1574–1578, 1998. Several lines of evidence demonstrate that faces undergo specialized processing within the primate visual system. It has been claimed that dedicated modules for such biologically significant stimuli operate in a mandatory fashion whenever their triggering input is presented. However, the possible role of covert attention to the activating stimulus has never been examined for such cases. We used functional magnetic resonance imaging to test whether face-specific activity in the human fusiform face area (FFA) is modulated by covert attention. The FFA was first identified individually in each subject as the ventral occipitotemporal region that responded more strongly to visually presented faces than to other visual objects under passive central viewing. This then served as the region of interest within which attentional modulation was tested independently, using active tasks and a very different stimulus set. Subjects viewed brief displays each comprising two peripheral faces and two peripheral houses (all presented simultaneously). They performed a matching task on either the two faces or the two houses, while maintaining central fixation to equate retinal stimulation across tasks. Signal intensity was reliably stronger during face-matching than house matching in both right- and left-hemisphere predefined FFAs. These results show that face-specific fusiform activity is reduced when stimuli appear outside (vs. inside) the focus of attention. Despite the modular nature of the FFA (i.e., its functional specificity and anatomic localization), face processing in this region nonetheless depends on voluntary attention.","DOI":"10.1152/jn.1998.79.3.1574","ISSN":"0022-3077","title-short":"Covert Visual Attention Modulates Face-Specific Activity in the Human Fusiform Gyrus","journalAbbreviation":"Journal of Neurophysiology","author":[{"family":"Wojciulik","given":"Ewa"},{"family":"Kanwisher","given":"Nancy"},{"family":"Driver","given":"Jon"}],"issued":{"date-parts":[["1998",3,1]]}}},{"id":33,"uris":["http://zotero.org/groups/318634/items/GQ66KDV8"],"uri":["http://zotero.org/groups/318634/items/GQ66KDV8"],"itemData":{"id":33,"type":"article-journal","title":"Attentional modulation of repetition attenuation is anatomically dissociable for scenes and faces","container-title":"Brain Research","page":"53-62","volume":"1080","issue":"1","source":"PubMed","abstract":"Repeating a stimulus generally leads to a decreased response in neural activity compared to that for novel items. This neural attenuation provides a marker for stimulus-specific perceptual encoding and memory that can be detected using functional magnetic resonance imaging (fMRI). Although previously assumed to occur automatically whenever a stimulus is repeated, recent studies have begun to show that the repetition attenuation effect is task-specific and modulated by attention. Here, we demonstrate that attention is crucial for obtaining neural attenuation even after extensive stimulus repetitions. Furthermore, the effect of attention on attenuation is anatomically dissociable for stimuli that have relatively segregated neural representations in high-level perceptual cortex. To manipulate attention, we used overlapping scene and face images, and asked subjects to attend to either category. In a scene-sensitive cortical region known as the parahippocampal place area (PPA), significant attenuation in the fMRI BOLD signal was observed for the attended repeated scenes (relative to attended novel scenes), while no attenuation was observed for ignored repeated scenes or attended repeated faces against their respective novel image baselines. Conversely, in the face-sensitive region known as the fusiform face area (FFA), significant attenuation was observed for attended repeated faces, but not for ignored repeated faces or attended repeated scenes. An additional control experiment ruled out alternative explanations based on global signal level reductions due to inattention. Thus, attention actively governed when neuronal activity was attenuated to repeated perceptual input, and such attenuation was specific to the cortical regions that actively represent the attended category of stimuli.","DOI":"10.1016/j.brainres.2006.01.090","ISSN":"0006-8993","note":"PMID: 16507300","journalAbbreviation":"Brain Res.","language":"eng","author":[{"family":"Yi","given":"Do-Joon"},{"family":"Kelley","given":"Todd A."},{"family":"Marois","given":"René"},{"family":"Chun","given":"Marvin M."}],"issued":{"date-parts":[["2006",3,29]]}}}],"schema":"https://github.com/citation-style-language/schema/raw/master/csl-citation.json"} </w:instrText>
      </w:r>
      <w:r w:rsidRPr="00225AB0">
        <w:rPr>
          <w:rFonts w:ascii="Arial" w:hAnsi="Arial" w:cs="Arial"/>
        </w:rPr>
        <w:fldChar w:fldCharType="separate"/>
      </w:r>
      <w:r w:rsidRPr="00225AB0">
        <w:rPr>
          <w:rFonts w:ascii="Arial" w:hAnsi="Arial" w:cs="Arial"/>
          <w:noProof/>
        </w:rPr>
        <w:t>(Wojciulik et al., 1998; Yi et al., 2006)</w:t>
      </w:r>
      <w:r w:rsidRPr="00225AB0">
        <w:rPr>
          <w:rFonts w:ascii="Arial" w:hAnsi="Arial" w:cs="Arial"/>
        </w:rPr>
        <w:fldChar w:fldCharType="end"/>
      </w:r>
      <w:r w:rsidRPr="00225AB0">
        <w:rPr>
          <w:rFonts w:ascii="Arial" w:hAnsi="Arial" w:cs="Arial"/>
        </w:rPr>
        <w:t xml:space="preserve">. Hence, we believe differences between our task design, in which participants were presented with constant information across all of our stimulus categories and were asked to overtly attend to stimulus features </w:t>
      </w:r>
      <w:r w:rsidR="00D44AC6">
        <w:rPr>
          <w:rFonts w:ascii="Arial" w:hAnsi="Arial" w:cs="Arial"/>
        </w:rPr>
        <w:t>in</w:t>
      </w:r>
      <w:r w:rsidRPr="00225AB0">
        <w:rPr>
          <w:rFonts w:ascii="Arial" w:hAnsi="Arial" w:cs="Arial"/>
        </w:rPr>
        <w:t xml:space="preserve"> a dynamic and uncontrolled stimulus, in comparison to previous attention studies presenting relatively more controlled faces in comparison to scene stimuli, </w:t>
      </w:r>
      <w:r w:rsidR="008B4C1A">
        <w:rPr>
          <w:rFonts w:ascii="Arial" w:hAnsi="Arial" w:cs="Arial"/>
        </w:rPr>
        <w:t>may provide a suggestion as to</w:t>
      </w:r>
      <w:r w:rsidRPr="00225AB0">
        <w:rPr>
          <w:rFonts w:ascii="Arial" w:hAnsi="Arial" w:cs="Arial"/>
        </w:rPr>
        <w:t xml:space="preserve"> why we fail to detect face-selective responses </w:t>
      </w:r>
      <w:r w:rsidR="00D44AC6">
        <w:rPr>
          <w:rFonts w:ascii="Arial" w:hAnsi="Arial" w:cs="Arial"/>
        </w:rPr>
        <w:t>in</w:t>
      </w:r>
      <w:r w:rsidRPr="00225AB0">
        <w:rPr>
          <w:rFonts w:ascii="Arial" w:hAnsi="Arial" w:cs="Arial"/>
        </w:rPr>
        <w:t xml:space="preserve"> these regions. </w:t>
      </w:r>
    </w:p>
    <w:p w14:paraId="5014F6C5" w14:textId="54707E46" w:rsidR="0060072E" w:rsidRPr="00225AB0" w:rsidRDefault="00D44AC6" w:rsidP="0060072E">
      <w:pPr>
        <w:spacing w:line="480" w:lineRule="auto"/>
        <w:rPr>
          <w:rFonts w:ascii="Arial" w:hAnsi="Arial" w:cs="Arial"/>
          <w:color w:val="000000" w:themeColor="text1"/>
        </w:rPr>
      </w:pPr>
      <w:r>
        <w:rPr>
          <w:rFonts w:ascii="Arial" w:hAnsi="Arial" w:cs="Arial"/>
          <w:color w:val="000000" w:themeColor="text1"/>
        </w:rPr>
        <w:lastRenderedPageBreak/>
        <w:t>In</w:t>
      </w:r>
      <w:r w:rsidR="0060072E" w:rsidRPr="00225AB0">
        <w:rPr>
          <w:rFonts w:ascii="Arial" w:hAnsi="Arial" w:cs="Arial"/>
          <w:color w:val="000000" w:themeColor="text1"/>
        </w:rPr>
        <w:t xml:space="preserve"> V3A/B, hV4 and LO-2, we identify significantly reduced BOLD signal modulation during attention to faces than low-level stimulus attributes, which may reflect the relatively more complex and higher-order nature of face stimuli, with reduced processing in earlier visual areas. </w:t>
      </w:r>
      <w:r>
        <w:rPr>
          <w:rFonts w:ascii="Arial" w:hAnsi="Arial" w:cs="Arial"/>
          <w:color w:val="000000" w:themeColor="text1"/>
        </w:rPr>
        <w:t>In</w:t>
      </w:r>
      <w:r w:rsidR="0060072E" w:rsidRPr="00225AB0">
        <w:rPr>
          <w:rFonts w:ascii="Arial" w:hAnsi="Arial" w:cs="Arial"/>
          <w:color w:val="000000" w:themeColor="text1"/>
        </w:rPr>
        <w:t xml:space="preserve"> V3A/B, we also identify significantly greater attentional modulation during attention to orientation, versus when attention is directed towards stimulus colour or shape. </w:t>
      </w:r>
      <w:r>
        <w:rPr>
          <w:rFonts w:ascii="Arial" w:hAnsi="Arial" w:cs="Arial"/>
          <w:color w:val="000000" w:themeColor="text1"/>
        </w:rPr>
        <w:t>In</w:t>
      </w:r>
      <w:r w:rsidR="0060072E" w:rsidRPr="00225AB0">
        <w:rPr>
          <w:rFonts w:ascii="Arial" w:hAnsi="Arial" w:cs="Arial"/>
          <w:color w:val="000000" w:themeColor="text1"/>
        </w:rPr>
        <w:t xml:space="preserve"> the literature, there is no clear consensus regarding the role of V3A/B in the processing of any </w:t>
      </w:r>
      <w:r w:rsidR="005E4376">
        <w:rPr>
          <w:rFonts w:ascii="Arial" w:hAnsi="Arial" w:cs="Arial"/>
          <w:color w:val="000000" w:themeColor="text1"/>
        </w:rPr>
        <w:t>single</w:t>
      </w:r>
      <w:r w:rsidR="0060072E" w:rsidRPr="00225AB0">
        <w:rPr>
          <w:rFonts w:ascii="Arial" w:hAnsi="Arial" w:cs="Arial"/>
          <w:color w:val="000000" w:themeColor="text1"/>
        </w:rPr>
        <w:t xml:space="preserve"> visual feature, hence it’s differential activation here, which we have not identified </w:t>
      </w:r>
      <w:r>
        <w:rPr>
          <w:rFonts w:ascii="Arial" w:hAnsi="Arial" w:cs="Arial"/>
          <w:color w:val="000000" w:themeColor="text1"/>
        </w:rPr>
        <w:t>in</w:t>
      </w:r>
      <w:r w:rsidR="0060072E" w:rsidRPr="00225AB0">
        <w:rPr>
          <w:rFonts w:ascii="Arial" w:hAnsi="Arial" w:cs="Arial"/>
          <w:color w:val="000000" w:themeColor="text1"/>
        </w:rPr>
        <w:t xml:space="preserve"> our previous experiments (see Chapters 4 &amp; 5) is likely a reflection of the nature of the dynamic, uncontrolled relatively naturalistic stimulus used here, which provides a far richer source of visual stimulation than our highly-controlled RF pattern stimulus. </w:t>
      </w:r>
    </w:p>
    <w:p w14:paraId="4F4BCD24" w14:textId="77777777" w:rsidR="0060072E" w:rsidRPr="00225AB0" w:rsidRDefault="0060072E" w:rsidP="0060072E">
      <w:pPr>
        <w:spacing w:line="480" w:lineRule="auto"/>
        <w:rPr>
          <w:rFonts w:ascii="Arial" w:hAnsi="Arial" w:cs="Arial"/>
          <w:color w:val="FF0000"/>
        </w:rPr>
      </w:pPr>
    </w:p>
    <w:p w14:paraId="2A09B54C" w14:textId="33EBB0F7" w:rsidR="0060072E" w:rsidRPr="00225AB0" w:rsidRDefault="0060072E" w:rsidP="0060072E">
      <w:pPr>
        <w:spacing w:line="480" w:lineRule="auto"/>
        <w:rPr>
          <w:rFonts w:ascii="Arial" w:hAnsi="Arial" w:cs="Arial"/>
          <w:color w:val="000000" w:themeColor="text1"/>
        </w:rPr>
      </w:pPr>
      <w:r w:rsidRPr="00225AB0">
        <w:rPr>
          <w:rFonts w:ascii="Arial" w:hAnsi="Arial" w:cs="Arial"/>
          <w:color w:val="000000" w:themeColor="text1"/>
        </w:rPr>
        <w:t xml:space="preserve">We also identify significantly greater BOLD modulation during attention to shape versus colour </w:t>
      </w:r>
      <w:r w:rsidR="00D44AC6">
        <w:rPr>
          <w:rFonts w:ascii="Arial" w:hAnsi="Arial" w:cs="Arial"/>
          <w:color w:val="000000" w:themeColor="text1"/>
        </w:rPr>
        <w:t>in</w:t>
      </w:r>
      <w:r w:rsidRPr="00225AB0">
        <w:rPr>
          <w:rFonts w:ascii="Arial" w:hAnsi="Arial" w:cs="Arial"/>
          <w:color w:val="000000" w:themeColor="text1"/>
        </w:rPr>
        <w:t xml:space="preserve"> LO-2, which supports our previous findings (see Chapters 4 &amp; 5), and provides partial support for the double-dissociation of LO-1 and LO-2, identified by </w:t>
      </w:r>
      <w:r w:rsidRPr="00170639">
        <w:rPr>
          <w:rFonts w:ascii="Arial" w:hAnsi="Arial" w:cs="Arial"/>
          <w:color w:val="000000" w:themeColor="text1"/>
        </w:rPr>
        <w:fldChar w:fldCharType="begin"/>
      </w:r>
      <w:r w:rsidR="005B4361" w:rsidRPr="00170639">
        <w:rPr>
          <w:rFonts w:ascii="Arial" w:hAnsi="Arial" w:cs="Arial"/>
          <w:color w:val="000000" w:themeColor="text1"/>
        </w:rPr>
        <w:instrText xml:space="preserve"> ADDIN ZOTERO_ITEM CSL_CITATION {"citationID":"sdZhgUSQ","properties":{"formattedCitation":"(Silson et al., 2013a)","plainCitation":"(Silson et al., 2013a)","dontUpdate":true,"noteIndex":0},"citationItems":[{"id":229,"uris":["http://zotero.org/groups/318634/items/W2MJSXD2"],"uri":["http://zotero.org/groups/318634/items/W2MJSXD2"],"itemData":{"id":229,"type":"article-journal","title":"Specialized and independent processing of orientation and shape in visual field maps LO1 and LO2","container-title":"Nature Neuroscience","page":"267","volume":"16","issue":"3","source":"Google Scholar","author":[{"family":"Silson","given":"Edward H."},{"family":"McKeefry","given":"Declan J."},{"family":"Rodgers","given":"Jessica"},{"family":"Gouws","given":"Andre D."},{"family":"Hymers","given":"Mark"},{"family":"Morland","given":"Antony B."}],"issued":{"date-parts":[["2013"]]}}}],"schema":"https://github.com/citation-style-language/schema/raw/master/csl-citation.json"} </w:instrText>
      </w:r>
      <w:r w:rsidRPr="00170639">
        <w:rPr>
          <w:rFonts w:ascii="Arial" w:hAnsi="Arial" w:cs="Arial"/>
          <w:color w:val="000000" w:themeColor="text1"/>
        </w:rPr>
        <w:fldChar w:fldCharType="separate"/>
      </w:r>
      <w:r w:rsidR="00967B1F" w:rsidRPr="00170639">
        <w:rPr>
          <w:rFonts w:ascii="Arial" w:hAnsi="Arial" w:cs="Arial"/>
          <w:noProof/>
          <w:color w:val="000000" w:themeColor="text1"/>
        </w:rPr>
        <w:t xml:space="preserve">Silson et al., </w:t>
      </w:r>
      <w:r w:rsidR="00C809E6" w:rsidRPr="00170639">
        <w:rPr>
          <w:rFonts w:ascii="Arial" w:hAnsi="Arial" w:cs="Arial"/>
          <w:noProof/>
          <w:color w:val="000000" w:themeColor="text1"/>
        </w:rPr>
        <w:t>(</w:t>
      </w:r>
      <w:r w:rsidR="00967B1F" w:rsidRPr="00170639">
        <w:rPr>
          <w:rFonts w:ascii="Arial" w:hAnsi="Arial" w:cs="Arial"/>
          <w:noProof/>
          <w:color w:val="000000" w:themeColor="text1"/>
        </w:rPr>
        <w:t>2013)</w:t>
      </w:r>
      <w:r w:rsidRPr="00170639">
        <w:rPr>
          <w:rFonts w:ascii="Arial" w:hAnsi="Arial" w:cs="Arial"/>
          <w:color w:val="000000" w:themeColor="text1"/>
        </w:rPr>
        <w:fldChar w:fldCharType="end"/>
      </w:r>
      <w:r w:rsidRPr="00170639">
        <w:rPr>
          <w:rFonts w:ascii="Arial" w:hAnsi="Arial" w:cs="Arial"/>
          <w:color w:val="000000" w:themeColor="text1"/>
        </w:rPr>
        <w:t>.</w:t>
      </w:r>
      <w:r w:rsidRPr="00225AB0">
        <w:rPr>
          <w:rFonts w:ascii="Arial" w:hAnsi="Arial" w:cs="Arial"/>
          <w:color w:val="000000" w:themeColor="text1"/>
        </w:rPr>
        <w:t xml:space="preserve"> We identify no significant changes in BOLD signal modulation in response to differing attentional task </w:t>
      </w:r>
      <w:r w:rsidR="00D44AC6">
        <w:rPr>
          <w:rFonts w:ascii="Arial" w:hAnsi="Arial" w:cs="Arial"/>
          <w:color w:val="000000" w:themeColor="text1"/>
        </w:rPr>
        <w:t>in</w:t>
      </w:r>
      <w:r w:rsidRPr="00225AB0">
        <w:rPr>
          <w:rFonts w:ascii="Arial" w:hAnsi="Arial" w:cs="Arial"/>
          <w:color w:val="000000" w:themeColor="text1"/>
        </w:rPr>
        <w:t xml:space="preserve"> V1 and LO-1. Overall, examining differences in signatures of attentional modulation across task at the level of individual ROIs is relatively uninformative regarding feature-specific attentional effects across the visual cortex, particularly so for the processing of relatively lower-level stimulus attributes (e.g. orientation, colour and shape). </w:t>
      </w:r>
    </w:p>
    <w:p w14:paraId="517CE892" w14:textId="77777777" w:rsidR="0060072E" w:rsidRPr="00225AB0" w:rsidRDefault="0060072E" w:rsidP="0060072E">
      <w:pPr>
        <w:spacing w:line="480" w:lineRule="auto"/>
        <w:rPr>
          <w:rFonts w:ascii="Arial" w:hAnsi="Arial" w:cs="Arial"/>
          <w:color w:val="000000" w:themeColor="text1"/>
        </w:rPr>
      </w:pPr>
    </w:p>
    <w:p w14:paraId="3FF2F936" w14:textId="3ACC07BD" w:rsidR="0060072E" w:rsidRPr="00225AB0" w:rsidRDefault="00D44AC6" w:rsidP="0060072E">
      <w:pPr>
        <w:spacing w:line="480" w:lineRule="auto"/>
        <w:rPr>
          <w:rFonts w:ascii="Arial" w:hAnsi="Arial" w:cs="Arial"/>
          <w:color w:val="000000" w:themeColor="text1"/>
        </w:rPr>
      </w:pPr>
      <w:r>
        <w:rPr>
          <w:rFonts w:ascii="Arial" w:hAnsi="Arial" w:cs="Arial"/>
          <w:color w:val="000000" w:themeColor="text1"/>
        </w:rPr>
        <w:lastRenderedPageBreak/>
        <w:t>In</w:t>
      </w:r>
      <w:r w:rsidR="0060072E" w:rsidRPr="00225AB0">
        <w:rPr>
          <w:rFonts w:ascii="Arial" w:hAnsi="Arial" w:cs="Arial"/>
          <w:color w:val="000000" w:themeColor="text1"/>
        </w:rPr>
        <w:t xml:space="preserve"> the 3x3 analysis, where we break down the overarching low-level stimulus categories into their three respective dimensions (e.g. red, green and blue), we again </w:t>
      </w:r>
      <w:r w:rsidR="00C57FD6">
        <w:rPr>
          <w:rFonts w:ascii="Arial" w:hAnsi="Arial" w:cs="Arial"/>
          <w:color w:val="000000" w:themeColor="text1"/>
        </w:rPr>
        <w:t>find</w:t>
      </w:r>
      <w:r w:rsidR="00C57FD6" w:rsidRPr="00225AB0">
        <w:rPr>
          <w:rFonts w:ascii="Arial" w:hAnsi="Arial" w:cs="Arial"/>
          <w:color w:val="000000" w:themeColor="text1"/>
        </w:rPr>
        <w:t xml:space="preserve"> </w:t>
      </w:r>
      <w:r w:rsidR="0060072E" w:rsidRPr="00225AB0">
        <w:rPr>
          <w:rFonts w:ascii="Arial" w:hAnsi="Arial" w:cs="Arial"/>
          <w:color w:val="000000" w:themeColor="text1"/>
        </w:rPr>
        <w:t xml:space="preserve">relatively little evidence of differences in attentional modulation across the visual cortex when attending to different low-level stimulus dimensions. </w:t>
      </w:r>
      <w:r>
        <w:rPr>
          <w:rFonts w:ascii="Arial" w:hAnsi="Arial" w:cs="Arial"/>
          <w:color w:val="000000" w:themeColor="text1"/>
        </w:rPr>
        <w:t>In</w:t>
      </w:r>
      <w:r w:rsidR="0060072E" w:rsidRPr="00225AB0">
        <w:rPr>
          <w:rFonts w:ascii="Arial" w:hAnsi="Arial" w:cs="Arial"/>
          <w:color w:val="000000" w:themeColor="text1"/>
        </w:rPr>
        <w:t xml:space="preserve"> our orientation analysis, we identify no evidence of differing patterns of attentional modulation when switching between attention to vertical, horizontal and diagonally-oriented stimuli </w:t>
      </w:r>
      <w:r>
        <w:rPr>
          <w:rFonts w:ascii="Arial" w:hAnsi="Arial" w:cs="Arial"/>
          <w:color w:val="000000" w:themeColor="text1"/>
        </w:rPr>
        <w:t>in</w:t>
      </w:r>
      <w:r w:rsidR="0060072E" w:rsidRPr="00225AB0">
        <w:rPr>
          <w:rFonts w:ascii="Arial" w:hAnsi="Arial" w:cs="Arial"/>
          <w:color w:val="000000" w:themeColor="text1"/>
        </w:rPr>
        <w:t xml:space="preserve"> V1, V3A/B, FFA, OFA or the STS. </w:t>
      </w:r>
      <w:r>
        <w:rPr>
          <w:rFonts w:ascii="Arial" w:hAnsi="Arial" w:cs="Arial"/>
          <w:color w:val="000000" w:themeColor="text1"/>
        </w:rPr>
        <w:t>In</w:t>
      </w:r>
      <w:r w:rsidR="0060072E" w:rsidRPr="00225AB0">
        <w:rPr>
          <w:rFonts w:ascii="Arial" w:hAnsi="Arial" w:cs="Arial"/>
          <w:color w:val="000000" w:themeColor="text1"/>
        </w:rPr>
        <w:t xml:space="preserve"> hV4, LO-1 and LO-2 however, we identified significantly greater BOLD modulation during attention to horizontal than to vertically-oriented stimuli. </w:t>
      </w:r>
      <w:r>
        <w:rPr>
          <w:rFonts w:ascii="Arial" w:hAnsi="Arial" w:cs="Arial"/>
          <w:color w:val="000000" w:themeColor="text1"/>
        </w:rPr>
        <w:t>In</w:t>
      </w:r>
      <w:r w:rsidR="0060072E" w:rsidRPr="00225AB0">
        <w:rPr>
          <w:rFonts w:ascii="Arial" w:hAnsi="Arial" w:cs="Arial"/>
          <w:color w:val="000000" w:themeColor="text1"/>
        </w:rPr>
        <w:t xml:space="preserve"> LO-2, we also identified significantly greater signal modulation during attention to horizontal than to diagonally-oriented stimuli. These regions have been implicated in the relatively higher-level processing of form (see </w:t>
      </w:r>
      <w:r w:rsidR="0060072E"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{"citationID":"SzkVKOKO","properties":{"formattedCitation":"(Loffler, 2008; Silson et al., 2013)","plainCitation":"(Loffler, 2008; Silson et al., 2013)","dontUpdate":true,"noteIndex":0},"citationItems":[{"id":197,"uris":["http://zotero.org/groups/318634/items/MMHEKC4K"],"uri":["http://zotero.org/groups/318634/items/MMHEKC4K"],"itemData":{"id":197,"type":"article-journal","title":"Perception of contours and shapes: low and intermediate stage mechanisms","container-title":"Vision Research","page":"2106-2127","volume":"48","issue":"20","source":"PubMed","abstract":"This review focuses on low and intermediate stages of contour shape processing. It is split into two main sections, 'Contour Detection' and 'Shape Discrimination and Representation'. The first section examines contrast detection of elements within a contour (\"collinear facilitation\") and the detection of contours in noise (\"contour integration\"). The second section deals with the discrimination and representation of simple and complex shapes. Perceptual effects on contour detection have been linked to low-level, long-range lateral interactions between neighbouring neurons in V1. Experimental results suggest a complex network of interactions that are context dependent, with collinearity being the dominant factor. While lateral connections are an obvious candidate for linking contour elements into spatially extended contours, the long-range interactions are insufficient to account for human performance in a variety of tasks. Data suggest the existence of global mechanisms that integrate information beyond that of neighbouring cells and are influenced by the overall features of a stimulus. Evidence from psychophysics and physiology is converging towards the identification of an intermediate level of shape processing, where sensitivity to such global attributes emerge.","DOI":"10.1016/j.visres.2008.03.006","ISSN":"1878-5646","note":"PMID: 18502467","title-short":"Perception of contours and shapes","journalAbbreviation":"Vision Res.","language":"eng","author":[{"family":"Loffler","given":"Gunter"}],"issued":{"date-parts":[["2008",9]]}}},{"id":229,"uris":["http://zotero.org/groups/318634/items/W2MJSXD2"],"uri":["http://zotero.org/groups/318634/items/W2MJSXD2"],"itemData":{"id":229,"type":"article-journal","title":"Specialized and independent processing of orientation and shape in visual field maps LO1 and LO2","container-title":"Nature Neuroscience","page":"267","volume":"16","issue":"3","source":"Google Scholar","author":[{"family":"Silson","given":"Edward H."},{"family":"McKeefry","given":"Declan J."},{"family":"Rodgers","given":"Jessica"},{"family":"Gouws","given":"Andre D."},{"family":"Hymers","given":"Mark"},{"family":"Morland","given":"Antony B."}],"issued":{"date-parts":[["2013"]]}}}],"schema":"https://github.com/citation-style-language/schema/raw/master/csl-citation.json"} </w:instrText>
      </w:r>
      <w:r w:rsidR="0060072E" w:rsidRPr="00225AB0">
        <w:rPr>
          <w:rFonts w:ascii="Arial" w:hAnsi="Arial" w:cs="Arial"/>
          <w:color w:val="000000" w:themeColor="text1"/>
        </w:rPr>
        <w:fldChar w:fldCharType="separate"/>
      </w:r>
      <w:r w:rsidR="0060072E" w:rsidRPr="00225AB0">
        <w:rPr>
          <w:rFonts w:ascii="Arial" w:hAnsi="Arial" w:cs="Arial"/>
          <w:noProof/>
          <w:color w:val="000000" w:themeColor="text1"/>
        </w:rPr>
        <w:t>Loffler, 2008 for a review; Silson et al., 2013)</w:t>
      </w:r>
      <w:r w:rsidR="0060072E" w:rsidRPr="00225AB0">
        <w:rPr>
          <w:rFonts w:ascii="Arial" w:hAnsi="Arial" w:cs="Arial"/>
          <w:color w:val="000000" w:themeColor="text1"/>
        </w:rPr>
        <w:fldChar w:fldCharType="end"/>
      </w:r>
      <w:r w:rsidR="0060072E" w:rsidRPr="00225AB0">
        <w:rPr>
          <w:rFonts w:ascii="Arial" w:hAnsi="Arial" w:cs="Arial"/>
          <w:color w:val="000000" w:themeColor="text1"/>
        </w:rPr>
        <w:t xml:space="preserve">, and it is likely attending to different directions of orientation may stimulate form-selective mechanisms in some capacity, such as the processing of curvature. Orientations </w:t>
      </w:r>
      <w:r>
        <w:rPr>
          <w:rFonts w:ascii="Arial" w:hAnsi="Arial" w:cs="Arial"/>
          <w:color w:val="000000" w:themeColor="text1"/>
        </w:rPr>
        <w:t>in</w:t>
      </w:r>
      <w:r w:rsidR="0060072E" w:rsidRPr="00225AB0">
        <w:rPr>
          <w:rFonts w:ascii="Arial" w:hAnsi="Arial" w:cs="Arial"/>
          <w:color w:val="000000" w:themeColor="text1"/>
        </w:rPr>
        <w:t xml:space="preserve"> this naturalistic stimulus are heavily associated with form and structure, likely to a greater extent than is the case </w:t>
      </w:r>
      <w:r>
        <w:rPr>
          <w:rFonts w:ascii="Arial" w:hAnsi="Arial" w:cs="Arial"/>
          <w:color w:val="000000" w:themeColor="text1"/>
        </w:rPr>
        <w:t>in</w:t>
      </w:r>
      <w:r w:rsidR="0060072E" w:rsidRPr="00225AB0">
        <w:rPr>
          <w:rFonts w:ascii="Arial" w:hAnsi="Arial" w:cs="Arial"/>
          <w:color w:val="000000" w:themeColor="text1"/>
        </w:rPr>
        <w:t xml:space="preserve"> our comparison highly-controlled RF pattern stimulus. </w:t>
      </w:r>
    </w:p>
    <w:p w14:paraId="674F7417" w14:textId="77777777" w:rsidR="0060072E" w:rsidRPr="00225AB0" w:rsidRDefault="0060072E" w:rsidP="0060072E">
      <w:pPr>
        <w:spacing w:line="480" w:lineRule="auto"/>
        <w:rPr>
          <w:rFonts w:ascii="Arial" w:hAnsi="Arial" w:cs="Arial"/>
          <w:color w:val="000000" w:themeColor="text1"/>
        </w:rPr>
      </w:pPr>
    </w:p>
    <w:p w14:paraId="6E2590A3" w14:textId="4051A345" w:rsidR="0060072E" w:rsidRPr="00225AB0" w:rsidRDefault="0060072E" w:rsidP="0060072E">
      <w:pPr>
        <w:spacing w:line="480" w:lineRule="auto"/>
        <w:rPr>
          <w:rFonts w:ascii="Arial" w:hAnsi="Arial" w:cs="Arial"/>
          <w:color w:val="000000" w:themeColor="text1"/>
        </w:rPr>
      </w:pPr>
      <w:r w:rsidRPr="00225AB0">
        <w:rPr>
          <w:rFonts w:ascii="Arial" w:hAnsi="Arial" w:cs="Arial"/>
          <w:color w:val="000000" w:themeColor="text1"/>
        </w:rPr>
        <w:t xml:space="preserve">We identify no significant differences in BOLD signal modulation when attention switched between red, green and blue stimuli. This again, is likely a reflection of our visual stimulus. In our previous research (see Chapter 5) we used isoluminant stimuli (which equated only the relevant chromatic, and not luminance channel) to identify a robust difference in univariate attentional modulation between red-green and blue-yellow stimuli. However, in this experiment, our stimuli were not isoluminant, and we did not probe attention </w:t>
      </w:r>
      <w:r w:rsidRPr="00225AB0">
        <w:rPr>
          <w:rFonts w:ascii="Arial" w:hAnsi="Arial" w:cs="Arial"/>
          <w:color w:val="000000" w:themeColor="text1"/>
        </w:rPr>
        <w:lastRenderedPageBreak/>
        <w:t>to distinct chromatic channels (e.g. L-M, S+(L-M)). Hence, our lack of difference in univariate attentional modulation between red</w:t>
      </w:r>
      <w:r w:rsidR="00140B4B" w:rsidRPr="00225AB0">
        <w:rPr>
          <w:rFonts w:ascii="Arial" w:hAnsi="Arial" w:cs="Arial"/>
          <w:color w:val="000000" w:themeColor="text1"/>
        </w:rPr>
        <w:t>-, green</w:t>
      </w:r>
      <w:r w:rsidRPr="00225AB0">
        <w:rPr>
          <w:rFonts w:ascii="Arial" w:hAnsi="Arial" w:cs="Arial"/>
          <w:color w:val="000000" w:themeColor="text1"/>
        </w:rPr>
        <w:t xml:space="preserve">- and blue-stimuli is likely a reflection of the fact we did not probe clear and segregated channels of chromatic information </w:t>
      </w:r>
      <w:r w:rsidR="00D44AC6">
        <w:rPr>
          <w:rFonts w:ascii="Arial" w:hAnsi="Arial" w:cs="Arial"/>
          <w:color w:val="000000" w:themeColor="text1"/>
        </w:rPr>
        <w:t>in</w:t>
      </w:r>
      <w:r w:rsidRPr="00225AB0">
        <w:rPr>
          <w:rFonts w:ascii="Arial" w:hAnsi="Arial" w:cs="Arial"/>
          <w:color w:val="000000" w:themeColor="text1"/>
        </w:rPr>
        <w:t xml:space="preserve"> the visual cortex. </w:t>
      </w:r>
    </w:p>
    <w:p w14:paraId="322AA7D7" w14:textId="77777777" w:rsidR="0060072E" w:rsidRPr="00225AB0" w:rsidRDefault="0060072E" w:rsidP="0060072E">
      <w:pPr>
        <w:spacing w:line="480" w:lineRule="auto"/>
        <w:rPr>
          <w:rFonts w:ascii="Arial" w:hAnsi="Arial" w:cs="Arial"/>
          <w:color w:val="000000" w:themeColor="text1"/>
        </w:rPr>
      </w:pPr>
    </w:p>
    <w:p w14:paraId="2975A8DE" w14:textId="44B371E5" w:rsidR="0060072E" w:rsidRPr="00225AB0" w:rsidRDefault="0060072E" w:rsidP="0060072E">
      <w:pPr>
        <w:spacing w:line="480" w:lineRule="auto"/>
        <w:rPr>
          <w:rFonts w:ascii="Arial" w:hAnsi="Arial" w:cs="Arial"/>
          <w:color w:val="000000" w:themeColor="text1"/>
        </w:rPr>
      </w:pPr>
      <w:r w:rsidRPr="00225AB0">
        <w:rPr>
          <w:rFonts w:ascii="Arial" w:hAnsi="Arial" w:cs="Arial"/>
          <w:color w:val="000000" w:themeColor="text1"/>
        </w:rPr>
        <w:t xml:space="preserve">Finally, </w:t>
      </w:r>
      <w:r w:rsidR="00D44AC6">
        <w:rPr>
          <w:rFonts w:ascii="Arial" w:hAnsi="Arial" w:cs="Arial"/>
          <w:color w:val="000000" w:themeColor="text1"/>
        </w:rPr>
        <w:t>in</w:t>
      </w:r>
      <w:r w:rsidRPr="00225AB0">
        <w:rPr>
          <w:rFonts w:ascii="Arial" w:hAnsi="Arial" w:cs="Arial"/>
          <w:color w:val="000000" w:themeColor="text1"/>
        </w:rPr>
        <w:t xml:space="preserve"> our univariate analysis identifying differences in patterns of attentional modulation across shape dimensions, we identify no clear evidence of differential patterns of modulation across circular, square or triangular-shape attentional focus. In V3A/B, we identified significantly reduced modulation to circular than to square or triangular stimuli, and </w:t>
      </w:r>
      <w:r w:rsidR="00D44AC6">
        <w:rPr>
          <w:rFonts w:ascii="Arial" w:hAnsi="Arial" w:cs="Arial"/>
          <w:color w:val="000000" w:themeColor="text1"/>
        </w:rPr>
        <w:t>in</w:t>
      </w:r>
      <w:r w:rsidRPr="00225AB0">
        <w:rPr>
          <w:rFonts w:ascii="Arial" w:hAnsi="Arial" w:cs="Arial"/>
          <w:color w:val="000000" w:themeColor="text1"/>
        </w:rPr>
        <w:t xml:space="preserve"> the STS, we identified reduced modulation to triangular than to circular oriented stimuli.  </w:t>
      </w:r>
    </w:p>
    <w:p w14:paraId="21DC043F" w14:textId="77777777" w:rsidR="0060072E" w:rsidRPr="00225AB0" w:rsidRDefault="0060072E" w:rsidP="0060072E">
      <w:pPr>
        <w:spacing w:line="480" w:lineRule="auto"/>
        <w:rPr>
          <w:rFonts w:ascii="Arial" w:hAnsi="Arial" w:cs="Arial"/>
          <w:color w:val="FF0000"/>
        </w:rPr>
      </w:pPr>
    </w:p>
    <w:p w14:paraId="109BB630" w14:textId="6B310E9F" w:rsidR="0060072E" w:rsidRPr="00225AB0" w:rsidRDefault="0060072E" w:rsidP="0060072E">
      <w:pPr>
        <w:spacing w:line="480" w:lineRule="auto"/>
        <w:rPr>
          <w:rFonts w:ascii="Arial" w:hAnsi="Arial" w:cs="Arial"/>
          <w:color w:val="000000" w:themeColor="text1"/>
        </w:rPr>
      </w:pPr>
      <w:r w:rsidRPr="00225AB0">
        <w:rPr>
          <w:rFonts w:ascii="Arial" w:hAnsi="Arial" w:cs="Arial"/>
          <w:color w:val="000000" w:themeColor="text1"/>
        </w:rPr>
        <w:t xml:space="preserve">Next, we sought to identify if feature-specific patterns of attentional modulation could be better distinguished when examining activation across many voxels </w:t>
      </w:r>
      <w:r w:rsidR="00D44AC6">
        <w:rPr>
          <w:rFonts w:ascii="Arial" w:hAnsi="Arial" w:cs="Arial"/>
          <w:color w:val="000000" w:themeColor="text1"/>
        </w:rPr>
        <w:t>in</w:t>
      </w:r>
      <w:r w:rsidRPr="00225AB0">
        <w:rPr>
          <w:rFonts w:ascii="Arial" w:hAnsi="Arial" w:cs="Arial"/>
          <w:color w:val="000000" w:themeColor="text1"/>
        </w:rPr>
        <w:t xml:space="preserve"> a particular ROI, rather than taking a relative</w:t>
      </w:r>
      <w:r w:rsidR="00140B4B">
        <w:rPr>
          <w:rFonts w:ascii="Arial" w:hAnsi="Arial" w:cs="Arial"/>
          <w:color w:val="000000" w:themeColor="text1"/>
        </w:rPr>
        <w:t>ly</w:t>
      </w:r>
      <w:r w:rsidRPr="00225AB0">
        <w:rPr>
          <w:rFonts w:ascii="Arial" w:hAnsi="Arial" w:cs="Arial"/>
          <w:color w:val="000000" w:themeColor="text1"/>
        </w:rPr>
        <w:t xml:space="preserve"> coarse-scale average measure to summarise activity </w:t>
      </w:r>
      <w:r w:rsidR="00D44AC6">
        <w:rPr>
          <w:rFonts w:ascii="Arial" w:hAnsi="Arial" w:cs="Arial"/>
          <w:color w:val="000000" w:themeColor="text1"/>
        </w:rPr>
        <w:t>in</w:t>
      </w:r>
      <w:r w:rsidRPr="00225AB0">
        <w:rPr>
          <w:rFonts w:ascii="Arial" w:hAnsi="Arial" w:cs="Arial"/>
          <w:color w:val="000000" w:themeColor="text1"/>
        </w:rPr>
        <w:t xml:space="preserve"> a visual region. We first demonstrated we could decode attentional state successfully in almost all ROIs examined, when simultaneously classifying data from attend to orientation, colour, shape and face </w:t>
      </w:r>
      <w:r w:rsidRPr="00C809E6">
        <w:rPr>
          <w:rFonts w:ascii="Arial" w:hAnsi="Arial" w:cs="Arial"/>
          <w:color w:val="000000" w:themeColor="text1"/>
        </w:rPr>
        <w:t>conditions</w:t>
      </w:r>
      <w:r w:rsidRPr="00170639">
        <w:rPr>
          <w:rFonts w:ascii="Arial" w:hAnsi="Arial" w:cs="Arial"/>
          <w:color w:val="000000" w:themeColor="text1"/>
        </w:rPr>
        <w:t>. However</w:t>
      </w:r>
      <w:r w:rsidRPr="00C809E6">
        <w:rPr>
          <w:rFonts w:ascii="Arial" w:hAnsi="Arial" w:cs="Arial"/>
          <w:color w:val="000000" w:themeColor="text1"/>
        </w:rPr>
        <w:t>,</w:t>
      </w:r>
      <w:r w:rsidRPr="00225AB0">
        <w:rPr>
          <w:rFonts w:ascii="Arial" w:hAnsi="Arial" w:cs="Arial"/>
          <w:color w:val="000000" w:themeColor="text1"/>
        </w:rPr>
        <w:t xml:space="preserve"> further analysis demonstrated these successful classifications were predominantly driven by voxel-level differences in patterns of activation during attention to faces, versus attention to lower-level stimulus attributes (orientation, colour or shape). For example, in hV4, LO-1, LO-2, FFA and OFA, it was possible to decode faces from orientation, colour and shape at rates significantly higher than expected by chance. </w:t>
      </w:r>
      <w:r w:rsidR="00D44AC6">
        <w:rPr>
          <w:rFonts w:ascii="Arial" w:hAnsi="Arial" w:cs="Arial"/>
          <w:color w:val="000000" w:themeColor="text1"/>
        </w:rPr>
        <w:t>In</w:t>
      </w:r>
      <w:r w:rsidRPr="00225AB0">
        <w:rPr>
          <w:rFonts w:ascii="Arial" w:hAnsi="Arial" w:cs="Arial"/>
          <w:color w:val="000000" w:themeColor="text1"/>
        </w:rPr>
        <w:t xml:space="preserve"> V1 and the STS, the pattern was very similar; </w:t>
      </w:r>
      <w:r w:rsidRPr="00225AB0">
        <w:rPr>
          <w:rFonts w:ascii="Arial" w:hAnsi="Arial" w:cs="Arial"/>
          <w:color w:val="000000" w:themeColor="text1"/>
        </w:rPr>
        <w:lastRenderedPageBreak/>
        <w:t xml:space="preserve">we were able to decode multivariate voxel-level activation during attention to faces versus attention to orientation or colour. The only successful classifications not driven by differences in patterns of activation in comparison with faces, </w:t>
      </w:r>
      <w:r w:rsidR="00140B4B">
        <w:rPr>
          <w:rFonts w:ascii="Arial" w:hAnsi="Arial" w:cs="Arial"/>
          <w:color w:val="000000" w:themeColor="text1"/>
        </w:rPr>
        <w:t>were</w:t>
      </w:r>
      <w:r w:rsidRPr="00225AB0">
        <w:rPr>
          <w:rFonts w:ascii="Arial" w:hAnsi="Arial" w:cs="Arial"/>
          <w:color w:val="000000" w:themeColor="text1"/>
        </w:rPr>
        <w:t xml:space="preserve"> evident </w:t>
      </w:r>
      <w:r w:rsidR="00D44AC6">
        <w:rPr>
          <w:rFonts w:ascii="Arial" w:hAnsi="Arial" w:cs="Arial"/>
          <w:color w:val="000000" w:themeColor="text1"/>
        </w:rPr>
        <w:t>in</w:t>
      </w:r>
      <w:r w:rsidRPr="00225AB0">
        <w:rPr>
          <w:rFonts w:ascii="Arial" w:hAnsi="Arial" w:cs="Arial"/>
          <w:color w:val="000000" w:themeColor="text1"/>
        </w:rPr>
        <w:t xml:space="preserve"> hV4,</w:t>
      </w:r>
      <w:r w:rsidR="008437FC">
        <w:rPr>
          <w:rFonts w:ascii="Arial" w:hAnsi="Arial" w:cs="Arial"/>
          <w:color w:val="000000" w:themeColor="text1"/>
        </w:rPr>
        <w:t xml:space="preserve"> LO-1, LO-2 and IPS0</w:t>
      </w:r>
      <w:r w:rsidRPr="00225AB0">
        <w:rPr>
          <w:rFonts w:ascii="Arial" w:hAnsi="Arial" w:cs="Arial"/>
          <w:color w:val="000000" w:themeColor="text1"/>
        </w:rPr>
        <w:t xml:space="preserve"> where it was possible to decode patterns of modulation across attention to orientation and </w:t>
      </w:r>
      <w:r w:rsidR="008437FC">
        <w:rPr>
          <w:rFonts w:ascii="Arial" w:hAnsi="Arial" w:cs="Arial"/>
          <w:color w:val="000000" w:themeColor="text1"/>
        </w:rPr>
        <w:t>colour</w:t>
      </w:r>
      <w:r w:rsidR="008437FC" w:rsidRPr="00225AB0">
        <w:rPr>
          <w:rFonts w:ascii="Arial" w:hAnsi="Arial" w:cs="Arial"/>
          <w:color w:val="000000" w:themeColor="text1"/>
        </w:rPr>
        <w:t xml:space="preserve"> </w:t>
      </w:r>
      <w:r w:rsidRPr="00225AB0">
        <w:rPr>
          <w:rFonts w:ascii="Arial" w:hAnsi="Arial" w:cs="Arial"/>
          <w:color w:val="000000" w:themeColor="text1"/>
        </w:rPr>
        <w:t xml:space="preserve">conditions. </w:t>
      </w:r>
    </w:p>
    <w:p w14:paraId="40A905FC" w14:textId="77777777" w:rsidR="0060072E" w:rsidRPr="00225AB0" w:rsidRDefault="0060072E" w:rsidP="0060072E">
      <w:pPr>
        <w:spacing w:line="480" w:lineRule="auto"/>
        <w:rPr>
          <w:rFonts w:ascii="Arial" w:hAnsi="Arial" w:cs="Arial"/>
          <w:color w:val="000000" w:themeColor="text1"/>
        </w:rPr>
      </w:pPr>
    </w:p>
    <w:p w14:paraId="01632764" w14:textId="70FBCCE1" w:rsidR="00321AB9" w:rsidRDefault="0060072E" w:rsidP="0060072E">
      <w:pPr>
        <w:spacing w:line="480" w:lineRule="auto"/>
        <w:rPr>
          <w:rFonts w:ascii="Arial" w:hAnsi="Arial" w:cs="Arial"/>
          <w:color w:val="000000" w:themeColor="text1"/>
        </w:rPr>
      </w:pPr>
      <w:r w:rsidRPr="00225AB0">
        <w:rPr>
          <w:rFonts w:ascii="Arial" w:hAnsi="Arial" w:cs="Arial"/>
          <w:color w:val="000000" w:themeColor="text1"/>
        </w:rPr>
        <w:t>Overall, unlike our previous findings (see Chapters 4 &amp; 5), and past research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{"citationID":"Nrm5MNGw","properties":{"formattedCitation":"(Brouwer &amp; Heeger, 2009; Kamitani &amp; Tong, 2005, 2006; Mannion, McDonald, &amp; Clifford, 2009; Sumner et al., 2008)","plainCitation":"(Brouwer &amp; Heeger, 2009; Kamitani &amp; Tong, 2005, 2006; Mannion, McDonald, &amp; Clifford, 2009; Sumner et al., 2008)","dontUpdate":true,"noteIndex":0},"citationItems":[{"id":275,"uris":["http://zotero.org/groups/318634/items/QTDSBB45"],"uri":["http://zotero.org/groups/318634/items/QTDSBB45"],"itemData":{"id":275,"type":"article-journal","title":"Decoding and reconstructing color from responses in human visual cortex","container-title":"The Journal of Neuroscience: The Official Journal of the Society for Neuroscience","page":"13992-14003","volume":"29","issue":"44","source":"PubMed","abstract":"How is color represented by spatially distributed patterns of activity in visual cortex? Functional magnetic resonance imaging responses to several stimulus colors were analyzed with multivariate techniques: conventional pattern classification, a forward model of idealized color tuning, and principal component analysis (PCA). Stimulus color was accurately decoded from activity in V1, V2, V3, V4, and VO1 but not LO1, LO2, V3A/B, or MT+. The conventional classifier and forward model yielded similar accuracies, but the forward model (unlike the classifier) also reliably reconstructed novel stimulus colors not used to train (specify parameters of) the model. The mean responses, averaged across voxels in each visual area, were not reliably distinguishable for the different stimulus colors. Hence, each stimulus color was associated with a unique spatially distributed pattern of activity, presumably reflecting the color selectivity of cortical neurons. Using PCA, a color space was derived from the covariation, across voxels, in the responses to different colors. In V4 and VO1, the first two principal component scores (main source of variation) of the responses revealed a progression through perceptual color space, with perceptually similar colors evoking the most similar responses. This was not the case for any of the other visual cortical areas, including V1, although decoding was most accurate in V1. This dissociation implies a transformation from the color representation in V1 to reflect perceptual color space in V4 and VO1.","DOI":"10.1523/JNEUROSCI.3577-09.2009","ISSN":"1529-2401","note":"PMID: 19890009\nPMCID: PMC2799419","journalAbbreviation":"J. Neurosci.","language":"eng","author":[{"family":"Brouwer","given":"Gijs Joost"},{"family":"Heeger","given":"David J."}],"issued":{"date-parts":[["2009",11,4]]}}},{"id":242,"uris":["http://zotero.org/groups/318634/items/TYYPVP7C"],"uri":["http://zotero.org/groups/318634/items/TYYPVP7C"],"itemData":{"id":242,"type":"article-journal","title":"Decoding the visual and subjective contents of the human brain","container-title":"Nature Neuroscience","page":"679-685","volume":"8","issue":"5","source":"PubMed","abstract":"The potential for human neuroimaging to read out the detailed contents of a person's mental state has yet to be fully explored. We investigated whether the perception of edge orientation, a fundamental visual feature, can be decoded from human brain activity measured with functional magnetic resonance imaging (fMRI). Using statistical algorithms to classify brain states, we found that ensemble fMRI signals in early visual areas could reliably predict on individual trials which of eight stimulus orientations the subject was seeing. Moreover, when subjects had to attend to one of two overlapping orthogonal gratings, feature-based attention strongly biased ensemble activity toward the attended orientation. These results demonstrate that fMRI activity patterns in early visual areas, including primary visual cortex (V1), contain detailed orientation information that can reliably predict subjective perception. Our approach provides a framework for the readout of fine-tuned representations in the human brain and their subjective contents.","DOI":"10.1038/nn1444","ISSN":"1097-6256","note":"PMID: 15852014\nPMCID: PMC1808230","journalAbbreviation":"Nat. Neurosci.","language":"eng","author":[{"family":"Kamitani","given":"Yukiyasu"},{"family":"Tong","given":"Frank"}],"issued":{"date-parts":[["2005",5]]}}},{"id":252,"uris":["http://zotero.org/groups/318634/items/9NXTJXD4"],"uri":["http://zotero.org/groups/318634/items/9NXTJXD4"],"itemData":{"id":252,"type":"article-journal","title":"Decoding seen and attended motion directions from activity in the human visual cortex","container-title":"Current biology: CB","page":"1096-1102","volume":"16","issue":"11","source":"PubMed","abstract":"Functional neuroimaging has successfully identified brain areas that show greater responses to visual motion and adapted responses to repeated motion directions. However, such methods have been thought to lack the sensitivity and spatial resolution to isolate direction-selective responses to individual motion stimuli. Here, we used functional magnetic resonance imaging (fMRI) and pattern classification methods to show that ensemble activity patterns in human visual cortex contain robust direction-selective information, from which it is possible to decode seen and attended motion directions. Ensemble activity in areas V1-V4 and MT+/V5 allowed us to decode which of eight possible motion directions the subject was viewing on individual stimulus blocks. Moreover, ensemble activity evoked by single motion directions could effectively predict which of two overlapping motion directions was the focus of the subject's attention and presumably dominant in perception. Our results indicate that feature-based attention can bias direction-selective population activity in multiple visual areas, including MT+/V5 and early visual areas (V1-V4), consistent with gain-modulation models of feature-based attention and theories of early attentional selection. Our approach for measuring ensemble direction selectivity may provide new opportunities to investigate relationships between attentional selection, conscious perception, and direction-selective responses in the human brain.","DOI":"10.1016/j.cub.2006.04.003","ISSN":"0960-9822","note":"PMID: 16753563\nPMCID: PMC1635016","journalAbbreviation":"Curr. Biol.","language":"eng","author":[{"family":"Kamitani","given":"Yukiyasu"},{"family":"Tong","given":"Frank"}],"issued":{"date-parts":[["2006",6,6]]}}},{"id":99,"uris":["http://zotero.org/groups/318634/items/KGIFYJHF"],"uri":["http://zotero.org/groups/318634/items/KGIFYJHF"],"itemData":{"id":99,"type":"article-journal","title":"Discrimination of the local orientation structure of spiral Glass patterns early in human visual cortex","container-title":"NeuroImage","page":"511-515","volume":"46","issue":"2","source":"PubMed","abstract":"The local orientation structure of a visual image is fundamental to the perception of spatial form. Reports of reliable orientation-selective modulations in the pattern of fMRI activity have demonstrated the potential for investigating the representation of orientation in the human visual cortex. Orientation-selective voxel responses could arise from anisotropies in the preferred orientations of pooled neurons due to the random sampling of the cortical surface. However, it is unclear whether orientation-selective voxel responses reflect biases in the underlying distribution of neuronal orientation preference, such as the demonstrated over-representation of radial orientations (those collinear with fixation). Here, we investigated whether stimuli balanced in their radial components could evoke orientation-selective biases in voxel activity. We attempted to discriminate the sense of spiral Glass patterns (opening anti-clockwise or clockwise), in which the local orientation structure was defined by the placement of paired dots at an orientation offset from the radial. We found that information within the spatial pattern of fMRI responses in each of V1, V2, V3, and V3A/B allowed discrimination of the spiral sense with accuracies significantly above chance. This result demonstrates that orientation-selective voxel responses can arise without the influence of a radial bias. Furthermore, the finding indicates the importance of the early visual areas in representing the local orientation structure for the perception of complex spatial form.","ISSN":"1095-9572","note":"PMID: 19385017","journalAbbreviation":"Neuroimage","language":"eng","author":[{"family":"Mannion","given":"D. J."},{"family":"McDonald","given":"J. S."},{"family":"Clifford","given":"C. W. G."}],"issued":{"date-parts":[["2009",6]]}}},{"id":56,"uris":["http://zotero.org/groups/318634/items/LRFY4LYQ"],"uri":["http://zotero.org/groups/318634/items/LRFY4LYQ"],"itemData":{"id":56,"type":"article-journal","title":"Combined orientation and colour information in human V1 for both L-M and S-cone chromatic axes","container-title":"NeuroImage","page":"814-824","volume":"39","issue":"2","source":"PubMed","abstract":"Although it is widely held that colour and form are processed separately in early visual cortex, there is growing evidence that primary visual cortex (V1) may show some joint selectivity for orientation and colour. Colour is supplied to V1 via two very different pathways: the parvocellular pathway (which also supports detailed form processing) carries L-M (\"red-green\") chromatic information, while a koniocellular pathway carries S-cone (\"lilac-yellow\") information. Therefore on entering V1, S-cone information is segregated from the pathways carrying form information, while L-M information is not. Whether signals from neuronal populations in human V1 reflect combined orientation and S-cone information has not been systematically addressed. We used fMRI in combination with a multivariate data analysis technique to investigate whether BOLD signals recorded from V1 contain information that could directly discriminate between orientations based on different types of chromatic information. We found selectivity in V1 for L-M and luminance-defined orientation signals, and most interestingly, also for S-cone defined orientation. We also found similarly successful orientation discrimination for both colour dimensions in V2 and V3. These results imply that a proportion of cells throughout human visual cortex show joint sensitivity to both colour and orientation. We discuss also the potential role of feedback to V1 from higher visual areas.","DOI":"10.1016/j.neuroimage.2007.09.013","ISSN":"1053-8119","note":"PMID: 17964188","journalAbbreviation":"Neuroimage","language":"eng","author":[{"family":"Sumner","given":"Petroc"},{"family":"Anderson","given":"Elaine J."},{"family":"Sylvester","given":"Richard"},{"family":"Haynes","given":"John-Dylan"},{"family":"Rees","given":"Geraint"}],"issued":{"date-parts":[["2008",1,15]]}}}],"schema":"https://github.com/citation-style-language/schema/raw/master/csl-citation.json"}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e.g. Brouwer &amp; Heeger, 2009; Kamitani &amp; Tong, 2005, 2006; Mannion, McDonald, &amp; Clifford, 2009; Sumner et al., 2008)</w:t>
      </w:r>
      <w:r w:rsidRPr="00225AB0">
        <w:rPr>
          <w:rFonts w:ascii="Arial" w:hAnsi="Arial" w:cs="Arial"/>
          <w:color w:val="000000" w:themeColor="text1"/>
        </w:rPr>
        <w:fldChar w:fldCharType="end"/>
      </w:r>
      <w:r w:rsidRPr="00225AB0">
        <w:rPr>
          <w:rFonts w:ascii="Arial" w:hAnsi="Arial" w:cs="Arial"/>
          <w:color w:val="000000" w:themeColor="text1"/>
        </w:rPr>
        <w:t xml:space="preserve">, we identify little evidence of our ability to decode attentional state when attending to low-level stimulus characteristics in patterns of voxel-level activation (across orientation, colour and shape). We repeated this multivariate classification analysis, also examining patterns of activation across finer-scale dimensions </w:t>
      </w:r>
      <w:r w:rsidR="00D44AC6">
        <w:rPr>
          <w:rFonts w:ascii="Arial" w:hAnsi="Arial" w:cs="Arial"/>
          <w:color w:val="000000" w:themeColor="text1"/>
        </w:rPr>
        <w:t>in</w:t>
      </w:r>
      <w:r w:rsidRPr="00225AB0">
        <w:rPr>
          <w:rFonts w:ascii="Arial" w:hAnsi="Arial" w:cs="Arial"/>
          <w:color w:val="000000" w:themeColor="text1"/>
        </w:rPr>
        <w:t xml:space="preserve"> an overarching stimulus category. Previous research has demonstrated the ability to decode relatively small differences in a stimulus category, such as the ability to correctly predict which of eight different stimulus orientations or directions of motion was attended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{"citationID":"JeLZHUJS","properties":{"formattedCitation":"(Kamitani &amp; Tong, 2005, 2006)","plainCitation":"(Kamitani &amp; Tong, 2005, 2006)","noteIndex":0},"citationItems":[{"id":242,"uris":["http://zotero.org/groups/318634/items/TYYPVP7C"],"uri":["http://zotero.org/groups/318634/items/TYYPVP7C"],"itemData":{"id":242,"type":"article-journal","title":"Decoding the visual and subjective contents of the human brain","container-title":"Nature Neuroscience","page":"679-685","volume":"8","issue":"5","source":"PubMed","abstract":"The potential for human neuroimaging to read out the detailed contents of a person's mental state has yet to be fully explored. We investigated whether the perception of edge orientation, a fundamental visual feature, can be decoded from human brain activity measured with functional magnetic resonance imaging (fMRI). Using statistical algorithms to classify brain states, we found that ensemble fMRI signals in early visual areas could reliably predict on individual trials which of eight stimulus orientations the subject was seeing. Moreover, when subjects had to attend to one of two overlapping orthogonal gratings, feature-based attention strongly biased ensemble activity toward the attended orientation. These results demonstrate that fMRI activity patterns in early visual areas, including primary visual cortex (V1), contain detailed orientation information that can reliably predict subjective perception. Our approach provides a framework for the readout of fine-tuned representations in the human brain and their subjective contents.","DOI":"10.1038/nn1444","ISSN":"1097-6256","note":"PMID: 15852014\nPMCID: PMC1808230","journalAbbreviation":"Nat. Neurosci.","language":"eng","author":[{"family":"Kamitani","given":"Yukiyasu"},{"family":"Tong","given":"Frank"}],"issued":{"date-parts":[["2005",5]]}}},{"id":252,"uris":["http://zotero.org/groups/318634/items/9NXTJXD4"],"uri":["http://zotero.org/groups/318634/items/9NXTJXD4"],"itemData":{"id":252,"type":"article-journal","title":"Decoding seen and attended motion directions from activity in the human visual cortex","container-title":"Current biology: CB","page":"1096-1102","volume":"16","issue":"11","source":"PubMed","abstract":"Functional neuroimaging has successfully identified brain areas that show greater responses to visual motion and adapted responses to repeated motion directions. However, such methods have been thought to lack the sensitivity and spatial resolution to isolate direction-selective responses to individual motion stimuli. Here, we used functional magnetic resonance imaging (fMRI) and pattern classification methods to show that ensemble activity patterns in human visual cortex contain robust direction-selective information, from which it is possible to decode seen and attended motion directions. Ensemble activity in areas V1-V4 and MT+/V5 allowed us to decode which of eight possible motion directions the subject was viewing on individual stimulus blocks. Moreover, ensemble activity evoked by single motion directions could effectively predict which of two overlapping motion directions was the focus of the subject's attention and presumably dominant in perception. Our results indicate that feature-based attention can bias direction-selective population activity in multiple visual areas, including MT+/V5 and early visual areas (V1-V4), consistent with gain-modulation models of feature-based attention and theories of early attentional selection. Our approach for measuring ensemble direction selectivity may provide new opportunities to investigate relationships between attentional selection, conscious perception, and direction-selective responses in the human brain.","DOI":"10.1016/j.cub.2006.04.003","ISSN":"0960-9822","note":"PMID: 16753563\nPMCID: PMC1635016","journalAbbreviation":"Curr. Biol.","language":"eng","author":[{"family":"Kamitani","given":"Yukiyasu"},{"family":"Tong","given":"Frank"}],"issued":{"date-parts":[["2006",6,6]]}}}],"schema":"https://github.com/citation-style-language/schema/raw/master/csl-citation.json"}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(Kamitani &amp; Tong, 2005, 2006)</w:t>
      </w:r>
      <w:r w:rsidRPr="00225AB0">
        <w:rPr>
          <w:rFonts w:ascii="Arial" w:hAnsi="Arial" w:cs="Arial"/>
          <w:color w:val="000000" w:themeColor="text1"/>
        </w:rPr>
        <w:fldChar w:fldCharType="end"/>
      </w:r>
      <w:r w:rsidRPr="00225AB0">
        <w:rPr>
          <w:rFonts w:ascii="Arial" w:hAnsi="Arial" w:cs="Arial"/>
          <w:color w:val="000000" w:themeColor="text1"/>
        </w:rPr>
        <w:t xml:space="preserve">. However, in all three low-level visual feature analyses we detect no evidence of differential patterns of voxel-level activation when we switch our focus between these relatively fine-grained differences </w:t>
      </w:r>
      <w:r w:rsidR="00D44AC6">
        <w:rPr>
          <w:rFonts w:ascii="Arial" w:hAnsi="Arial" w:cs="Arial"/>
          <w:color w:val="000000" w:themeColor="text1"/>
        </w:rPr>
        <w:t>in</w:t>
      </w:r>
      <w:r w:rsidRPr="00225AB0">
        <w:rPr>
          <w:rFonts w:ascii="Arial" w:hAnsi="Arial" w:cs="Arial"/>
          <w:color w:val="000000" w:themeColor="text1"/>
        </w:rPr>
        <w:t xml:space="preserve"> a low-level visual stimulus category (e.g. vertical, horizontal and diagonal orientations). These findings may reflect the uncontrolled nature our naturalistic stimuli; we did not ask our participants to maintain central fixation, and our stimulus covered a far greater proportion of the visual field in comparison to our RF pattern stimuli. </w:t>
      </w:r>
      <w:r w:rsidR="00321AB9">
        <w:rPr>
          <w:rFonts w:ascii="Arial" w:hAnsi="Arial" w:cs="Arial"/>
          <w:color w:val="000000" w:themeColor="text1"/>
        </w:rPr>
        <w:t xml:space="preserve">Alternatively, the previous results identified (e.g. </w:t>
      </w:r>
      <w:r w:rsidR="00321AB9" w:rsidRPr="00225AB0">
        <w:rPr>
          <w:rFonts w:ascii="Arial" w:hAnsi="Arial" w:cs="Arial"/>
          <w:color w:val="000000" w:themeColor="text1"/>
        </w:rPr>
        <w:fldChar w:fldCharType="begin"/>
      </w:r>
      <w:r w:rsidR="003A1754">
        <w:rPr>
          <w:rFonts w:ascii="Arial" w:hAnsi="Arial" w:cs="Arial"/>
          <w:color w:val="000000" w:themeColor="text1"/>
        </w:rPr>
        <w:instrText xml:space="preserve"> ADDIN ZOTERO_ITEM CSL_CITATION {"citationID":"QcTdiX9F","properties":{"formattedCitation":"(Kamitani &amp; Tong, 2005, 2006)","plainCitation":"(Kamitani &amp; Tong, 2005, 2006)","dontUpdate":true,"noteIndex":0},"citationItems":[{"id":242,"uris":["http://zotero.org/groups/318634/items/TYYPVP7C"],"uri":["http://zotero.org/groups/318634/items/TYYPVP7C"],"itemData":{"id":242,"type":"article-journal","title":"Decoding the visual and subjective contents of the human brain","container-title":"Nature Neuroscience","page":"679-685","volume":"8","issue":"5","source":"PubMed","abstract":"The potential for human neuroimaging to read out the detailed contents of a person's mental state has yet to be fully explored. We investigated whether the perception of edge orientation, a fundamental visual feature, can be decoded from human brain activity measured with functional magnetic resonance imaging (fMRI). Using statistical algorithms to classify brain states, we found that ensemble fMRI signals in early visual areas could reliably predict on individual trials which of eight stimulus orientations the subject was seeing. Moreover, when subjects had to attend to one of two overlapping orthogonal gratings, feature-based attention strongly biased ensemble activity toward the attended orientation. These results demonstrate that fMRI activity patterns in early visual areas, including primary visual cortex (V1), contain detailed orientation information that can reliably predict subjective perception. Our approach provides a framework for the readout of fine-tuned representations in the human brain and their subjective contents.","DOI":"10.1038/nn1444","ISSN":"1097-6256","note":"PMID: 15852014\nPMCID: PMC1808230","journalAbbreviation":"Nat. Neurosci.","language":"eng","author":[{"family":"Kamitani","given":"Yukiyasu"},{"family":"Tong","given":"Frank"}],"issued":{"date-parts":[["2005",5]]}}},{"id":252,"uris":["http://zotero.org/groups/318634/items/9NXTJXD4"],"uri":["http://zotero.org/groups/318634/items/9NXTJXD4"],"itemData":{"id":252,"type":"article-journal","title":"Decoding seen and attended motion directions from activity in the human visual cortex","container-title":"Current biology: CB","page":"1096-1102","volume":"16","issue":"11","source":"PubMed","abstract":"Functional neuroimaging has successfully identified brain areas that show greater responses to visual motion and adapted responses to repeated motion directions. However, such methods have been thought to lack the sensitivity and spatial resolution to isolate direction-selective responses to individual motion stimuli. Here, we used functional magnetic resonance imaging (fMRI) and pattern classification methods to show that ensemble activity patterns in human visual cortex contain robust direction-selective information, from which it is possible to decode seen and attended motion directions. Ensemble activity in areas V1-V4 and MT+/V5 allowed us to decode which of eight possible motion directions the subject was viewing on individual stimulus blocks. Moreover, ensemble activity evoked by single motion directions could effectively predict which of two overlapping motion directions was the focus of the subject's attention and presumably dominant in perception. Our results indicate that feature-based attention can bias direction-selective population activity in multiple visual areas, including MT+/V5 and early visual areas (V1-V4), consistent with gain-modulation models of feature-based attention and theories of early attentional selection. Our approach for measuring ensemble direction selectivity may provide new opportunities to investigate relationships between attentional selection, conscious perception, and direction-selective responses in the human brain.","DOI":"10.1016/j.cub.2006.04.003","ISSN":"0960-9822","note":"PMID: 16753563\nPMCID: PMC1635016","journalAbbreviation":"Curr. Biol.","language":"eng","author":[{"family":"Kamitani","given":"Yukiyasu"},{"family":"Tong","given":"Frank"}],"issued":{"date-parts":[["2006",6,6]]}}}],"schema":"https://github.com/citation-style-language/schema/raw/master/csl-citation.json"} </w:instrText>
      </w:r>
      <w:r w:rsidR="00321AB9" w:rsidRPr="00225AB0">
        <w:rPr>
          <w:rFonts w:ascii="Arial" w:hAnsi="Arial" w:cs="Arial"/>
          <w:color w:val="000000" w:themeColor="text1"/>
        </w:rPr>
        <w:fldChar w:fldCharType="separate"/>
      </w:r>
      <w:r w:rsidR="00321AB9" w:rsidRPr="00225AB0">
        <w:rPr>
          <w:rFonts w:ascii="Arial" w:hAnsi="Arial" w:cs="Arial"/>
          <w:noProof/>
          <w:color w:val="000000" w:themeColor="text1"/>
        </w:rPr>
        <w:t xml:space="preserve">Kamitani &amp; Tong, </w:t>
      </w:r>
      <w:r w:rsidR="00321AB9" w:rsidRPr="00225AB0">
        <w:rPr>
          <w:rFonts w:ascii="Arial" w:hAnsi="Arial" w:cs="Arial"/>
          <w:noProof/>
          <w:color w:val="000000" w:themeColor="text1"/>
        </w:rPr>
        <w:lastRenderedPageBreak/>
        <w:t>2005)</w:t>
      </w:r>
      <w:r w:rsidR="00321AB9" w:rsidRPr="00225AB0">
        <w:rPr>
          <w:rFonts w:ascii="Arial" w:hAnsi="Arial" w:cs="Arial"/>
          <w:color w:val="000000" w:themeColor="text1"/>
        </w:rPr>
        <w:fldChar w:fldCharType="end"/>
      </w:r>
      <w:r w:rsidR="00321AB9">
        <w:rPr>
          <w:rFonts w:ascii="Arial" w:hAnsi="Arial" w:cs="Arial"/>
          <w:color w:val="000000" w:themeColor="text1"/>
        </w:rPr>
        <w:t xml:space="preserve"> may have been driven by artefactual responses linked to spatial attention or large-scale spatial biases. Attention to vertical versus horizontal central gratings might, for example, drive the vertical versus horizontal midline. </w:t>
      </w:r>
      <w:r w:rsidR="003A1754">
        <w:rPr>
          <w:rFonts w:ascii="Arial" w:hAnsi="Arial" w:cs="Arial"/>
          <w:color w:val="000000" w:themeColor="text1"/>
        </w:rPr>
        <w:t xml:space="preserve">Our naturalistic stimulus has no consistent spatial display of attended stimuli, and participants were free to fixate anywhere </w:t>
      </w:r>
      <w:r w:rsidR="00D44AC6">
        <w:rPr>
          <w:rFonts w:ascii="Arial" w:hAnsi="Arial" w:cs="Arial"/>
          <w:color w:val="000000" w:themeColor="text1"/>
        </w:rPr>
        <w:t>in</w:t>
      </w:r>
      <w:r w:rsidR="003A1754">
        <w:rPr>
          <w:rFonts w:ascii="Arial" w:hAnsi="Arial" w:cs="Arial"/>
          <w:color w:val="000000" w:themeColor="text1"/>
        </w:rPr>
        <w:t xml:space="preserve"> the visual scene, therefore, our findings are unlikely to reflect any such large-scale spatial biases. </w:t>
      </w:r>
    </w:p>
    <w:p w14:paraId="72B68F91" w14:textId="77777777" w:rsidR="00321AB9" w:rsidRDefault="00321AB9" w:rsidP="0060072E">
      <w:pPr>
        <w:spacing w:line="480" w:lineRule="auto"/>
        <w:rPr>
          <w:rFonts w:ascii="Arial" w:hAnsi="Arial" w:cs="Arial"/>
          <w:color w:val="000000" w:themeColor="text1"/>
        </w:rPr>
      </w:pPr>
    </w:p>
    <w:p w14:paraId="2F577761" w14:textId="53EAD33C" w:rsidR="0060072E" w:rsidRPr="00225AB0" w:rsidRDefault="0060072E" w:rsidP="0060072E">
      <w:pPr>
        <w:spacing w:line="480" w:lineRule="auto"/>
        <w:rPr>
          <w:rFonts w:ascii="Arial" w:hAnsi="Arial" w:cs="Arial"/>
          <w:color w:val="000000" w:themeColor="text1"/>
        </w:rPr>
      </w:pPr>
      <w:r w:rsidRPr="00225AB0">
        <w:rPr>
          <w:rFonts w:ascii="Arial" w:hAnsi="Arial" w:cs="Arial"/>
          <w:color w:val="000000" w:themeColor="text1"/>
        </w:rPr>
        <w:t xml:space="preserve">These factors, in combination with the dynamic nature of a movie stimulus may mean we do not see consistent patterns of activation across voxels, which is far likelier to result from fixed viewing of a highly controlled low-level visual stimulus. This greater variation in voxel-level activation is likely to have negatively impacted the ability of our classifier to identify consistent patterns in activation across attention to different low-level stimulus attributes. As noted in previous literature, natural stimuli do not always replicate results obtained in artificial settings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{"citationID":"MtFiupYe","properties":{"formattedCitation":"(A Bartels et al., 2008)","plainCitation":"(A Bartels et al., 2008)","dontUpdate":true,"noteIndex":0},"citationItems":[{"id":40,"uris":["http://zotero.org/groups/318634/items/V3DABKWD"],"uri":["http://zotero.org/groups/318634/items/V3DABKWD"],"itemData":{"id":40,"type":"article-journal","title":"Natural vision reveals regional specialization to local motion and to contrast-invariant, global flow in the human brain","container-title":"Cerebral Cortex (New York, N.Y.: 1991)","page":"705-717","volume":"18","issue":"3","source":"PubMed","abstract":"Visual changes in feature movies, like in real-live, can be partitioned into global flow due to self/camera motion, local/differential flow due to object motion, and residuals, for example, due to illumination changes. We correlated these measures with brain responses of human volunteers viewing movies in an fMRI scanner. Early visual areas responded only to residual changes, thus lacking responses to equally large motion-induced changes, consistent with predictive coding. Motion activated V5+ (MT+), V3A, medial posterior parietal cortex (mPPC) and, weakly, lateral occipital cortex (LOC). V5+ responded to local/differential motion and depended on visual contrast, whereas mPPC responded to global flow spanning the whole visual field and was contrast independent. mPPC thus codes for flow compatible with unbiased heading estimation in natural scenes and for the comparison of visual flow with nonretinal, multimodal motion cues in it or downstream. mPPC was functionally connected to anterior portions of V5+, whereas laterally neighboring putative homologue of lateral intraparietal area (LIP) connected with frontal eye fields. Our results demonstrate a progression of selectivity from local and contrast-dependent motion processing in V5+ toward global and contrast-independent motion processing in mPPC. The function, connectivity, and anatomical neighborhood of mPPC imply several parallels to monkey ventral intraparietal area (VIP).","DOI":"10.1093/cercor/bhm107","ISSN":"1460-2199","note":"PMID: 17615246","journalAbbreviation":"Cereb. Cortex","language":"eng","author":[{"family":"Bartels","given":"A"},{"family":"Zeki","given":"S"},{"family":"Logothetis","given":"N. K."}],"issued":{"date-parts":[["2008",3]]}}}],"schema":"https://github.com/citation-style-language/schema/raw/master/csl-citation.json"}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(Bartels et al., 2008)</w:t>
      </w:r>
      <w:r w:rsidRPr="00225AB0">
        <w:rPr>
          <w:rFonts w:ascii="Arial" w:hAnsi="Arial" w:cs="Arial"/>
          <w:color w:val="000000" w:themeColor="text1"/>
        </w:rPr>
        <w:fldChar w:fldCharType="end"/>
      </w:r>
      <w:r w:rsidRPr="00225AB0">
        <w:rPr>
          <w:rFonts w:ascii="Arial" w:hAnsi="Arial" w:cs="Arial"/>
          <w:color w:val="000000" w:themeColor="text1"/>
        </w:rPr>
        <w:t xml:space="preserve">. </w:t>
      </w:r>
    </w:p>
    <w:p w14:paraId="498B8E1E" w14:textId="77777777" w:rsidR="0060072E" w:rsidRPr="00225AB0" w:rsidRDefault="0060072E" w:rsidP="0060072E">
      <w:pPr>
        <w:rPr>
          <w:rFonts w:ascii="Arial" w:hAnsi="Arial" w:cs="Arial"/>
          <w:color w:val="000000" w:themeColor="text1"/>
        </w:rPr>
      </w:pPr>
    </w:p>
    <w:p w14:paraId="09D7F27D" w14:textId="61ABA48D" w:rsidR="0060072E" w:rsidRPr="00225AB0" w:rsidRDefault="0060072E" w:rsidP="0060072E">
      <w:pPr>
        <w:spacing w:line="480" w:lineRule="auto"/>
        <w:rPr>
          <w:rFonts w:ascii="Arial" w:hAnsi="Arial" w:cs="Arial"/>
          <w:color w:val="000000" w:themeColor="text1"/>
        </w:rPr>
      </w:pPr>
      <w:r w:rsidRPr="00225AB0">
        <w:rPr>
          <w:rFonts w:ascii="Arial" w:hAnsi="Arial" w:cs="Arial"/>
          <w:color w:val="000000" w:themeColor="text1"/>
        </w:rPr>
        <w:t xml:space="preserve">Finally, we investigated effects of attentional modulation across multiple ROIs, rather than considering any </w:t>
      </w:r>
      <w:r w:rsidR="005E4376">
        <w:rPr>
          <w:rFonts w:ascii="Arial" w:hAnsi="Arial" w:cs="Arial"/>
          <w:color w:val="000000" w:themeColor="text1"/>
        </w:rPr>
        <w:t>single</w:t>
      </w:r>
      <w:r w:rsidRPr="00225AB0">
        <w:rPr>
          <w:rFonts w:ascii="Arial" w:hAnsi="Arial" w:cs="Arial"/>
          <w:color w:val="000000" w:themeColor="text1"/>
        </w:rPr>
        <w:t xml:space="preserve"> visual region in isolation. </w:t>
      </w:r>
      <w:r w:rsidR="00D44AC6">
        <w:rPr>
          <w:rFonts w:ascii="Arial" w:hAnsi="Arial" w:cs="Arial"/>
          <w:color w:val="000000" w:themeColor="text1"/>
        </w:rPr>
        <w:t>In</w:t>
      </w:r>
      <w:r w:rsidRPr="00225AB0">
        <w:rPr>
          <w:rFonts w:ascii="Arial" w:hAnsi="Arial" w:cs="Arial"/>
          <w:color w:val="000000" w:themeColor="text1"/>
        </w:rPr>
        <w:t xml:space="preserve"> our 3-feature, overall visual feature category analysis, we identify relatively little evidence of attentional modulation at both the univariate and multivariate analysis levels when we remove the robust differential modulations, we see in response to relatively high-level face stimuli. Hence, as we have identified </w:t>
      </w:r>
      <w:r w:rsidR="00D44AC6">
        <w:rPr>
          <w:rFonts w:ascii="Arial" w:hAnsi="Arial" w:cs="Arial"/>
          <w:color w:val="000000" w:themeColor="text1"/>
        </w:rPr>
        <w:t>in</w:t>
      </w:r>
      <w:r w:rsidRPr="00225AB0">
        <w:rPr>
          <w:rFonts w:ascii="Arial" w:hAnsi="Arial" w:cs="Arial"/>
          <w:color w:val="000000" w:themeColor="text1"/>
        </w:rPr>
        <w:t xml:space="preserve"> previous experiments (see Chapters 4 &amp; 5), differential effects of attentional modulation in response to a naturalistic stimulus may be better characterised </w:t>
      </w:r>
      <w:r w:rsidR="00D44AC6">
        <w:rPr>
          <w:rFonts w:ascii="Arial" w:hAnsi="Arial" w:cs="Arial"/>
          <w:color w:val="000000" w:themeColor="text1"/>
        </w:rPr>
        <w:t>in</w:t>
      </w:r>
      <w:r w:rsidRPr="00225AB0">
        <w:rPr>
          <w:rFonts w:ascii="Arial" w:hAnsi="Arial" w:cs="Arial"/>
          <w:color w:val="000000" w:themeColor="text1"/>
        </w:rPr>
        <w:t xml:space="preserve"> measures of functional connectivity (i.e. the relative </w:t>
      </w:r>
      <w:r w:rsidRPr="00225AB0">
        <w:rPr>
          <w:rFonts w:ascii="Arial" w:hAnsi="Arial" w:cs="Arial"/>
          <w:color w:val="000000" w:themeColor="text1"/>
        </w:rPr>
        <w:lastRenderedPageBreak/>
        <w:t>synchronisation or desynchronization of task-specific activity in particular visual regions over time). To examine this prediction, we correlated timeseries of activations for each visual feature and analysed the relative correlations between areas a function of attentional focus.</w:t>
      </w:r>
    </w:p>
    <w:p w14:paraId="3C7E53DE" w14:textId="77777777" w:rsidR="0060072E" w:rsidRPr="00225AB0" w:rsidRDefault="0060072E" w:rsidP="0060072E">
      <w:pPr>
        <w:spacing w:line="480" w:lineRule="auto"/>
        <w:rPr>
          <w:rFonts w:ascii="Arial" w:hAnsi="Arial" w:cs="Arial"/>
          <w:color w:val="000000" w:themeColor="text1"/>
        </w:rPr>
      </w:pPr>
    </w:p>
    <w:p w14:paraId="556436CD" w14:textId="10D49C2D" w:rsidR="0060072E" w:rsidRPr="00225AB0" w:rsidRDefault="0060072E" w:rsidP="0060072E">
      <w:pPr>
        <w:spacing w:line="480" w:lineRule="auto"/>
        <w:rPr>
          <w:rFonts w:ascii="Arial" w:hAnsi="Arial" w:cs="Arial"/>
          <w:color w:val="000000" w:themeColor="text1"/>
        </w:rPr>
      </w:pPr>
      <w:r w:rsidRPr="00225AB0">
        <w:rPr>
          <w:rFonts w:ascii="Arial" w:hAnsi="Arial" w:cs="Arial"/>
          <w:color w:val="000000" w:themeColor="text1"/>
        </w:rPr>
        <w:t xml:space="preserve">This connectivity analysis replicated a robust effect identified </w:t>
      </w:r>
      <w:r w:rsidR="00D44AC6">
        <w:rPr>
          <w:rFonts w:ascii="Arial" w:hAnsi="Arial" w:cs="Arial"/>
          <w:color w:val="000000" w:themeColor="text1"/>
        </w:rPr>
        <w:t>in</w:t>
      </w:r>
      <w:r w:rsidRPr="00225AB0">
        <w:rPr>
          <w:rFonts w:ascii="Arial" w:hAnsi="Arial" w:cs="Arial"/>
          <w:color w:val="000000" w:themeColor="text1"/>
        </w:rPr>
        <w:t xml:space="preserve"> our previous experiments (see Chapters 4 &amp; 5). We demonstrated a significantly greater positive correlation between visual ROIs during passive viewing than during attention directed towards any of our low-level visual feature conditions (orientation, contrast or shape). We believe this high relative connectivity across visual areas is akin to a default-mode network type of activation, in which during rest, or during undemanding tasks, regions across the cortex possess synchronised activity, which decreases during completion of a demanding task </w:t>
      </w:r>
      <w:r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{"citationID":"MN74w8xN","properties":{"formattedCitation":"(Buckner, Andrews-Hanna, &amp; Schacter, 2008)","plainCitation":"(Buckner, Andrews-Hanna, &amp; Schacter, 2008)","dontUpdate":true,"noteIndex":0},"citationItems":[{"id":153,"uris":["http://zotero.org/groups/318634/items/X3P4ESBH"],"uri":["http://zotero.org/groups/318634/items/X3P4ESBH"],"itemData":{"id":153,"type":"article-journal","title":"The brain's default network: anatomy, function, and relevance to disease","container-title":"Annals of the New York Academy of Sciences","page":"1-38","volume":"1124","source":"PubMed","abstract":"Thirty years of brain imaging research has converged to define the brain's default network-a novel and only recently appreciated brain system that participates in internal modes of cognition. Here we synthesize past observations to provide strong evidence that the default network is a specific, anatomically defined brain system preferentially active when individuals are not focused on the external environment. Analysis of connectional anatomy in the monkey supports the presence of an interconnected brain system. Providing insight into function, the default network is active when individuals are engaged in internally focused tasks including autobiographical memory retrieval, envisioning the future, and conceiving the perspectives of others. Probing the functional anatomy of the network in detail reveals that it is best understood as multiple interacting subsystems. The medial temporal lobe subsystem provides information from prior experiences in the form of memories and associations that are the building blocks of mental simulation. The medial prefrontal subsystem facilitates the flexible use of this information during the construction of self-relevant mental simulations. These two subsystems converge on important nodes of integration including the posterior cingulate cortex. The implications of these functional and anatomical observations are discussed in relation to possible adaptive roles of the default network for using past experiences to plan for the future, navigate social interactions, and maximize the utility of moments when we are not otherwise engaged by the external world. We conclude by discussing the relevance of the default network for understanding mental disorders including autism, schizophrenia, and Alzheimer's disease.","DOI":"10.1196/annals.1440.011","ISSN":"0077-8923","note":"PMID: 18400922","title-short":"The brain's default network","journalAbbreviation":"Ann. N. Y. Acad. Sci.","language":"eng","author":[{"family":"Buckner","given":"Randy L."},{"family":"Andrews-Hanna","given":"Jessica R."},{"family":"Schacter","given":"Daniel L."}],"issued":{"date-parts":[["2008",3]]}}}],"schema":"https://github.com/citation-style-language/schema/raw/master/csl-citation.json"} </w:instrText>
      </w:r>
      <w:r w:rsidRPr="00225AB0">
        <w:rPr>
          <w:rFonts w:ascii="Arial" w:hAnsi="Arial" w:cs="Arial"/>
          <w:color w:val="000000" w:themeColor="text1"/>
        </w:rPr>
        <w:fldChar w:fldCharType="separate"/>
      </w:r>
      <w:r w:rsidRPr="00225AB0">
        <w:rPr>
          <w:rFonts w:ascii="Arial" w:hAnsi="Arial" w:cs="Arial"/>
          <w:noProof/>
          <w:color w:val="000000" w:themeColor="text1"/>
        </w:rPr>
        <w:t>(see Buckner, Andrews-Hanna, &amp; Schacter, 2008, for a review)</w:t>
      </w:r>
      <w:r w:rsidRPr="00225AB0">
        <w:rPr>
          <w:rFonts w:ascii="Arial" w:hAnsi="Arial" w:cs="Arial"/>
          <w:color w:val="000000" w:themeColor="text1"/>
        </w:rPr>
        <w:fldChar w:fldCharType="end"/>
      </w:r>
      <w:r w:rsidRPr="00225AB0">
        <w:rPr>
          <w:rFonts w:ascii="Arial" w:hAnsi="Arial" w:cs="Arial"/>
          <w:color w:val="000000" w:themeColor="text1"/>
        </w:rPr>
        <w:t xml:space="preserve">. </w:t>
      </w:r>
    </w:p>
    <w:p w14:paraId="0097376F" w14:textId="77777777" w:rsidR="0060072E" w:rsidRPr="00225AB0" w:rsidRDefault="0060072E" w:rsidP="0060072E">
      <w:pPr>
        <w:spacing w:line="480" w:lineRule="auto"/>
        <w:rPr>
          <w:rFonts w:ascii="Arial" w:hAnsi="Arial" w:cs="Arial"/>
          <w:color w:val="000000" w:themeColor="text1"/>
        </w:rPr>
      </w:pPr>
    </w:p>
    <w:p w14:paraId="44365273" w14:textId="25735A66" w:rsidR="0060072E" w:rsidRPr="00225AB0" w:rsidRDefault="0060072E" w:rsidP="0060072E">
      <w:pPr>
        <w:spacing w:line="480" w:lineRule="auto"/>
        <w:rPr>
          <w:rFonts w:ascii="Arial" w:hAnsi="Arial" w:cs="Arial"/>
          <w:color w:val="FF0000"/>
        </w:rPr>
      </w:pPr>
      <w:r w:rsidRPr="00225AB0">
        <w:rPr>
          <w:rFonts w:ascii="Arial" w:hAnsi="Arial" w:cs="Arial"/>
          <w:color w:val="000000" w:themeColor="text1"/>
        </w:rPr>
        <w:t>We also identified significantly greater positive connectivity between visual ROIs during attention to faces versus all other attention conditions. T</w:t>
      </w:r>
      <w:r w:rsidR="00942980">
        <w:rPr>
          <w:rFonts w:ascii="Arial" w:hAnsi="Arial" w:cs="Arial"/>
          <w:color w:val="000000" w:themeColor="text1"/>
        </w:rPr>
        <w:t xml:space="preserve">hese </w:t>
      </w:r>
      <w:r w:rsidRPr="00225AB0">
        <w:rPr>
          <w:rFonts w:ascii="Arial" w:hAnsi="Arial" w:cs="Arial"/>
          <w:color w:val="000000" w:themeColor="text1"/>
        </w:rPr>
        <w:t xml:space="preserve">similar patterns of positive connectivity across ROIs both in the passive viewing and attend to faces conditions is likely reflective of the nature of our task. During passive viewing, participants were asked to view the stimulus, without explicitly directing attention towards any one stimulus feature. However, faces are inherently attention-grabbing, and humans attend to faces frequently in day-to-day life for successful social interaction. </w:t>
      </w:r>
      <w:r w:rsidR="00C809E6" w:rsidRPr="00170639">
        <w:rPr>
          <w:rFonts w:ascii="Arial" w:hAnsi="Arial" w:cs="Arial"/>
          <w:color w:val="000000" w:themeColor="text1"/>
        </w:rPr>
        <w:t xml:space="preserve">Additionally, attention directed towards faces as oppose to relatively lower-level stimulus features may have resulted in more consistent eye </w:t>
      </w:r>
      <w:r w:rsidR="00C809E6" w:rsidRPr="00170639">
        <w:rPr>
          <w:rFonts w:ascii="Arial" w:hAnsi="Arial" w:cs="Arial"/>
          <w:color w:val="000000" w:themeColor="text1"/>
        </w:rPr>
        <w:lastRenderedPageBreak/>
        <w:t>movements, due to the inherent nature of a movie stimulus (where faces are typically the key focus of attention). These differing patterns of eye movements between faces and relatively lower-level stimuli may be reflected within both our classification and connectivity findings here.</w:t>
      </w:r>
      <w:r w:rsidR="00C809E6">
        <w:rPr>
          <w:rFonts w:ascii="Arial" w:hAnsi="Arial" w:cs="Arial"/>
          <w:color w:val="000000" w:themeColor="text1"/>
        </w:rPr>
        <w:t xml:space="preserve"> </w:t>
      </w:r>
      <w:r w:rsidRPr="00225AB0">
        <w:rPr>
          <w:rFonts w:ascii="Arial" w:hAnsi="Arial" w:cs="Arial"/>
          <w:color w:val="000000" w:themeColor="text1"/>
        </w:rPr>
        <w:t xml:space="preserve">We believe </w:t>
      </w:r>
      <w:r w:rsidR="00D44AC6">
        <w:rPr>
          <w:rFonts w:ascii="Arial" w:hAnsi="Arial" w:cs="Arial"/>
          <w:color w:val="000000" w:themeColor="text1"/>
        </w:rPr>
        <w:t>in</w:t>
      </w:r>
      <w:r w:rsidRPr="00225AB0">
        <w:rPr>
          <w:rFonts w:ascii="Arial" w:hAnsi="Arial" w:cs="Arial"/>
          <w:color w:val="000000" w:themeColor="text1"/>
        </w:rPr>
        <w:t xml:space="preserve"> our passive viewing condition, participants</w:t>
      </w:r>
      <w:r w:rsidR="00331B19">
        <w:rPr>
          <w:rFonts w:ascii="Arial" w:hAnsi="Arial" w:cs="Arial"/>
          <w:color w:val="000000" w:themeColor="text1"/>
        </w:rPr>
        <w:t>’</w:t>
      </w:r>
      <w:r w:rsidRPr="00225AB0">
        <w:rPr>
          <w:rFonts w:ascii="Arial" w:hAnsi="Arial" w:cs="Arial"/>
          <w:color w:val="000000" w:themeColor="text1"/>
        </w:rPr>
        <w:t xml:space="preserve"> attention is likely to have been drawn towards faces </w:t>
      </w:r>
      <w:r w:rsidR="00D44AC6">
        <w:rPr>
          <w:rFonts w:ascii="Arial" w:hAnsi="Arial" w:cs="Arial"/>
          <w:color w:val="000000" w:themeColor="text1"/>
        </w:rPr>
        <w:t>in</w:t>
      </w:r>
      <w:r w:rsidRPr="00225AB0">
        <w:rPr>
          <w:rFonts w:ascii="Arial" w:hAnsi="Arial" w:cs="Arial"/>
          <w:color w:val="000000" w:themeColor="text1"/>
        </w:rPr>
        <w:t xml:space="preserve"> the scenes, providing a suggestion as to why patterns of connectivity </w:t>
      </w:r>
      <w:r w:rsidR="00D44AC6">
        <w:rPr>
          <w:rFonts w:ascii="Arial" w:hAnsi="Arial" w:cs="Arial"/>
          <w:color w:val="000000" w:themeColor="text1"/>
        </w:rPr>
        <w:t>in</w:t>
      </w:r>
      <w:r w:rsidRPr="00225AB0">
        <w:rPr>
          <w:rFonts w:ascii="Arial" w:hAnsi="Arial" w:cs="Arial"/>
          <w:color w:val="000000" w:themeColor="text1"/>
        </w:rPr>
        <w:t xml:space="preserve"> the passive and face conditions are so similar. </w:t>
      </w:r>
    </w:p>
    <w:p w14:paraId="7305D74C" w14:textId="77777777" w:rsidR="0060072E" w:rsidRPr="00225AB0" w:rsidRDefault="0060072E" w:rsidP="0060072E">
      <w:pPr>
        <w:spacing w:line="480" w:lineRule="auto"/>
        <w:rPr>
          <w:rFonts w:ascii="Arial" w:hAnsi="Arial" w:cs="Arial"/>
          <w:color w:val="000000" w:themeColor="text1"/>
        </w:rPr>
      </w:pPr>
    </w:p>
    <w:p w14:paraId="42217BE4" w14:textId="1267B0FF" w:rsidR="0060072E" w:rsidRPr="00225AB0" w:rsidRDefault="0060072E" w:rsidP="0060072E">
      <w:pPr>
        <w:spacing w:line="480" w:lineRule="auto"/>
        <w:rPr>
          <w:rFonts w:ascii="Arial" w:hAnsi="Arial" w:cs="Arial"/>
          <w:color w:val="000000" w:themeColor="text1"/>
        </w:rPr>
      </w:pPr>
      <w:r w:rsidRPr="00225AB0">
        <w:rPr>
          <w:rFonts w:ascii="Arial" w:hAnsi="Arial" w:cs="Arial"/>
          <w:color w:val="000000" w:themeColor="text1"/>
        </w:rPr>
        <w:t xml:space="preserve">Our partial correlation connectivity analysis revealed that all regions of interest had significantly different patterns of connectivity across ROIs </w:t>
      </w:r>
      <w:r w:rsidR="00D44AC6">
        <w:rPr>
          <w:rFonts w:ascii="Arial" w:hAnsi="Arial" w:cs="Arial"/>
          <w:color w:val="000000" w:themeColor="text1"/>
        </w:rPr>
        <w:t>in</w:t>
      </w:r>
      <w:r w:rsidRPr="00225AB0">
        <w:rPr>
          <w:rFonts w:ascii="Arial" w:hAnsi="Arial" w:cs="Arial"/>
          <w:color w:val="000000" w:themeColor="text1"/>
        </w:rPr>
        <w:t xml:space="preserve"> the face and passive conditions, in comparison to attention towards low-level visual features.  Additionally, in almost all visual ROIs, we also identified significantly different patterns of connectivity between orientation </w:t>
      </w:r>
      <w:r w:rsidR="00C57FD6">
        <w:rPr>
          <w:rFonts w:ascii="Arial" w:hAnsi="Arial" w:cs="Arial"/>
          <w:color w:val="000000" w:themeColor="text1"/>
        </w:rPr>
        <w:t xml:space="preserve">and </w:t>
      </w:r>
      <w:r w:rsidRPr="00225AB0">
        <w:rPr>
          <w:rFonts w:ascii="Arial" w:hAnsi="Arial" w:cs="Arial"/>
          <w:color w:val="000000" w:themeColor="text1"/>
        </w:rPr>
        <w:t>colour</w:t>
      </w:r>
      <w:r w:rsidR="00C57FD6">
        <w:rPr>
          <w:rFonts w:ascii="Arial" w:hAnsi="Arial" w:cs="Arial"/>
          <w:color w:val="000000" w:themeColor="text1"/>
        </w:rPr>
        <w:t xml:space="preserve"> attention conditions</w:t>
      </w:r>
      <w:r w:rsidRPr="00225AB0">
        <w:rPr>
          <w:rFonts w:ascii="Arial" w:hAnsi="Arial" w:cs="Arial"/>
          <w:color w:val="000000" w:themeColor="text1"/>
        </w:rPr>
        <w:t xml:space="preserve">. </w:t>
      </w:r>
    </w:p>
    <w:p w14:paraId="199AA848" w14:textId="77777777" w:rsidR="0060072E" w:rsidRPr="00225AB0" w:rsidRDefault="0060072E" w:rsidP="0060072E">
      <w:pPr>
        <w:rPr>
          <w:rFonts w:ascii="Arial" w:hAnsi="Arial" w:cs="Arial"/>
          <w:color w:val="000000" w:themeColor="text1"/>
        </w:rPr>
      </w:pPr>
    </w:p>
    <w:p w14:paraId="5D368C73" w14:textId="67B449C7" w:rsidR="0060072E" w:rsidRPr="00225AB0" w:rsidRDefault="0060072E" w:rsidP="0060072E">
      <w:pPr>
        <w:spacing w:line="480" w:lineRule="auto"/>
        <w:rPr>
          <w:rFonts w:ascii="Arial" w:hAnsi="Arial" w:cs="Arial"/>
          <w:color w:val="000000" w:themeColor="text1"/>
        </w:rPr>
      </w:pPr>
      <w:r w:rsidRPr="00225AB0">
        <w:rPr>
          <w:rFonts w:ascii="Arial" w:hAnsi="Arial" w:cs="Arial"/>
          <w:color w:val="000000" w:themeColor="text1"/>
        </w:rPr>
        <w:t xml:space="preserve">Analysis also revealed significant differences in patterns of connectivity across categories </w:t>
      </w:r>
      <w:r w:rsidR="00D44AC6">
        <w:rPr>
          <w:rFonts w:ascii="Arial" w:hAnsi="Arial" w:cs="Arial"/>
          <w:color w:val="000000" w:themeColor="text1"/>
        </w:rPr>
        <w:t>in</w:t>
      </w:r>
      <w:r w:rsidRPr="00225AB0">
        <w:rPr>
          <w:rFonts w:ascii="Arial" w:hAnsi="Arial" w:cs="Arial"/>
          <w:color w:val="000000" w:themeColor="text1"/>
        </w:rPr>
        <w:t xml:space="preserve"> a stimulus dimension (e.g. vertical, horizontal and diagonal orientations). </w:t>
      </w:r>
      <w:r w:rsidR="00D44AC6">
        <w:rPr>
          <w:rFonts w:ascii="Arial" w:hAnsi="Arial" w:cs="Arial"/>
          <w:color w:val="000000" w:themeColor="text1"/>
        </w:rPr>
        <w:t>In</w:t>
      </w:r>
      <w:r w:rsidRPr="00225AB0">
        <w:rPr>
          <w:rFonts w:ascii="Arial" w:hAnsi="Arial" w:cs="Arial"/>
          <w:color w:val="000000" w:themeColor="text1"/>
        </w:rPr>
        <w:t xml:space="preserve"> the orientation analysis, we identified significantly reduced relative connectivity during attention to diagonally-oriented stimuli in comparison with vertical</w:t>
      </w:r>
      <w:r w:rsidR="00942980">
        <w:rPr>
          <w:rFonts w:ascii="Arial" w:hAnsi="Arial" w:cs="Arial"/>
          <w:color w:val="000000" w:themeColor="text1"/>
        </w:rPr>
        <w:t>ly</w:t>
      </w:r>
      <w:r w:rsidRPr="00225AB0">
        <w:rPr>
          <w:rFonts w:ascii="Arial" w:hAnsi="Arial" w:cs="Arial"/>
          <w:color w:val="000000" w:themeColor="text1"/>
        </w:rPr>
        <w:t>- or horizontal</w:t>
      </w:r>
      <w:r w:rsidR="00942980">
        <w:rPr>
          <w:rFonts w:ascii="Arial" w:hAnsi="Arial" w:cs="Arial"/>
          <w:color w:val="000000" w:themeColor="text1"/>
        </w:rPr>
        <w:t>ly</w:t>
      </w:r>
      <w:r w:rsidRPr="00225AB0">
        <w:rPr>
          <w:rFonts w:ascii="Arial" w:hAnsi="Arial" w:cs="Arial"/>
          <w:color w:val="000000" w:themeColor="text1"/>
        </w:rPr>
        <w:t>-oriented stimuli. From our partial correlation analyses, we demonstrated these differing patterns of connectivity between diagonally oriented versus vertical or horizontal stimuli were present</w:t>
      </w:r>
      <w:r w:rsidR="00942980">
        <w:rPr>
          <w:rFonts w:ascii="Arial" w:hAnsi="Arial" w:cs="Arial"/>
          <w:color w:val="000000" w:themeColor="text1"/>
        </w:rPr>
        <w:t xml:space="preserve"> </w:t>
      </w:r>
      <w:r w:rsidRPr="00225AB0">
        <w:rPr>
          <w:rFonts w:ascii="Arial" w:hAnsi="Arial" w:cs="Arial"/>
          <w:color w:val="000000" w:themeColor="text1"/>
        </w:rPr>
        <w:t xml:space="preserve">in correlations with almost all visual ROIs.  Finally, V1and LO-2 ROI correlations with all other ROIs exhibited significant differences in connectivity during attention to vertical versus horizontally-oriented stimuli. This provides clear evidence for differential patterns of attentional modulation </w:t>
      </w:r>
      <w:r w:rsidRPr="00225AB0">
        <w:rPr>
          <w:rFonts w:ascii="Arial" w:hAnsi="Arial" w:cs="Arial"/>
          <w:color w:val="000000" w:themeColor="text1"/>
        </w:rPr>
        <w:lastRenderedPageBreak/>
        <w:t xml:space="preserve">in response to attending to relatively fine-grain changes </w:t>
      </w:r>
      <w:r w:rsidR="00D44AC6">
        <w:rPr>
          <w:rFonts w:ascii="Arial" w:hAnsi="Arial" w:cs="Arial"/>
          <w:color w:val="000000" w:themeColor="text1"/>
        </w:rPr>
        <w:t>in</w:t>
      </w:r>
      <w:r w:rsidRPr="00225AB0">
        <w:rPr>
          <w:rFonts w:ascii="Arial" w:hAnsi="Arial" w:cs="Arial"/>
          <w:color w:val="000000" w:themeColor="text1"/>
        </w:rPr>
        <w:t xml:space="preserve"> a stimulus dimension, when we study activation across several ROIs simultaneously; a result that we were unable to clearly identify at univariate or multivariate levels of analyses with this complex, naturalistic stimulus. </w:t>
      </w:r>
    </w:p>
    <w:p w14:paraId="10B6FDC2" w14:textId="77777777" w:rsidR="0060072E" w:rsidRPr="00225AB0" w:rsidRDefault="0060072E" w:rsidP="0060072E">
      <w:pPr>
        <w:spacing w:line="480" w:lineRule="auto"/>
        <w:rPr>
          <w:rFonts w:ascii="Arial" w:hAnsi="Arial" w:cs="Arial"/>
          <w:color w:val="000000" w:themeColor="text1"/>
        </w:rPr>
      </w:pPr>
    </w:p>
    <w:p w14:paraId="5731B71E" w14:textId="4F5596F3" w:rsidR="0060072E" w:rsidRPr="00225AB0" w:rsidRDefault="00D44AC6" w:rsidP="0060072E">
      <w:pPr>
        <w:spacing w:line="480" w:lineRule="auto"/>
        <w:rPr>
          <w:rFonts w:ascii="Arial" w:hAnsi="Arial" w:cs="Arial"/>
          <w:color w:val="000000" w:themeColor="text1"/>
        </w:rPr>
      </w:pPr>
      <w:r>
        <w:rPr>
          <w:rFonts w:ascii="Arial" w:hAnsi="Arial" w:cs="Arial"/>
          <w:color w:val="000000" w:themeColor="text1"/>
        </w:rPr>
        <w:t>In</w:t>
      </w:r>
      <w:r w:rsidR="0060072E" w:rsidRPr="00225AB0">
        <w:rPr>
          <w:rFonts w:ascii="Arial" w:hAnsi="Arial" w:cs="Arial"/>
          <w:color w:val="000000" w:themeColor="text1"/>
        </w:rPr>
        <w:t xml:space="preserve"> the colour analysis, we also identified significantly greater overall positive connectivity during attention to red stimuli than attention to green or blue. This difference in connectivity between red- and green-attention was identified in patterns of correlation across almost all ROIs examined </w:t>
      </w:r>
      <w:r>
        <w:rPr>
          <w:rFonts w:ascii="Arial" w:hAnsi="Arial" w:cs="Arial"/>
          <w:color w:val="000000" w:themeColor="text1"/>
        </w:rPr>
        <w:t>in</w:t>
      </w:r>
      <w:r w:rsidR="0060072E" w:rsidRPr="00225AB0">
        <w:rPr>
          <w:rFonts w:ascii="Arial" w:hAnsi="Arial" w:cs="Arial"/>
          <w:color w:val="000000" w:themeColor="text1"/>
        </w:rPr>
        <w:t xml:space="preserve"> our partial correlation analysis. When examining correlations across visual ROIs with hV4, we also identified significant differences in connectivity during attention to green versus attention to blue. </w:t>
      </w:r>
      <w:r w:rsidR="00C57FD6">
        <w:rPr>
          <w:rFonts w:ascii="Arial" w:hAnsi="Arial" w:cs="Arial"/>
          <w:color w:val="000000" w:themeColor="text1"/>
        </w:rPr>
        <w:t>The</w:t>
      </w:r>
      <w:r w:rsidR="00C57FD6" w:rsidRPr="00225AB0">
        <w:rPr>
          <w:rFonts w:ascii="Arial" w:hAnsi="Arial" w:cs="Arial"/>
          <w:color w:val="000000" w:themeColor="text1"/>
        </w:rPr>
        <w:t xml:space="preserve"> </w:t>
      </w:r>
      <w:r w:rsidR="0060072E" w:rsidRPr="00225AB0">
        <w:rPr>
          <w:rFonts w:ascii="Arial" w:hAnsi="Arial" w:cs="Arial"/>
          <w:color w:val="000000" w:themeColor="text1"/>
        </w:rPr>
        <w:t>differen</w:t>
      </w:r>
      <w:r w:rsidR="00C57FD6">
        <w:rPr>
          <w:rFonts w:ascii="Arial" w:hAnsi="Arial" w:cs="Arial"/>
          <w:color w:val="000000" w:themeColor="text1"/>
        </w:rPr>
        <w:t>t</w:t>
      </w:r>
      <w:r w:rsidR="0060072E" w:rsidRPr="00225AB0">
        <w:rPr>
          <w:rFonts w:ascii="Arial" w:hAnsi="Arial" w:cs="Arial"/>
          <w:color w:val="000000" w:themeColor="text1"/>
        </w:rPr>
        <w:t xml:space="preserve"> patterns of correlation </w:t>
      </w:r>
      <w:r w:rsidR="00C57FD6">
        <w:rPr>
          <w:rFonts w:ascii="Arial" w:hAnsi="Arial" w:cs="Arial"/>
          <w:color w:val="000000" w:themeColor="text1"/>
        </w:rPr>
        <w:t xml:space="preserve">between </w:t>
      </w:r>
      <w:r w:rsidR="0060072E" w:rsidRPr="00225AB0">
        <w:rPr>
          <w:rFonts w:ascii="Arial" w:hAnsi="Arial" w:cs="Arial"/>
          <w:color w:val="000000" w:themeColor="text1"/>
        </w:rPr>
        <w:t xml:space="preserve">hV4 </w:t>
      </w:r>
      <w:r w:rsidR="00C57FD6">
        <w:rPr>
          <w:rFonts w:ascii="Arial" w:hAnsi="Arial" w:cs="Arial"/>
          <w:color w:val="000000" w:themeColor="text1"/>
        </w:rPr>
        <w:t xml:space="preserve">and other ROIs </w:t>
      </w:r>
      <w:r w:rsidR="0060072E" w:rsidRPr="00225AB0">
        <w:rPr>
          <w:rFonts w:ascii="Arial" w:hAnsi="Arial" w:cs="Arial"/>
          <w:color w:val="000000" w:themeColor="text1"/>
        </w:rPr>
        <w:t xml:space="preserve">in all chromatic conditions is reflective of previous research demonstrating a clear role for hV4 in the processing of colour </w:t>
      </w:r>
      <w:r w:rsidR="0060072E" w:rsidRPr="00225AB0">
        <w:rPr>
          <w:rFonts w:ascii="Arial" w:hAnsi="Arial" w:cs="Arial"/>
          <w:color w:val="000000" w:themeColor="text1"/>
        </w:rPr>
        <w:fldChar w:fldCharType="begin"/>
      </w:r>
      <w:r w:rsidR="005B4361">
        <w:rPr>
          <w:rFonts w:ascii="Arial" w:hAnsi="Arial" w:cs="Arial"/>
          <w:color w:val="000000" w:themeColor="text1"/>
        </w:rPr>
        <w:instrText xml:space="preserve"> ADDIN ZOTERO_ITEM CSL_CITATION {"citationID":"hQ1UD1j2","properties":{"formattedCitation":"(Meadows, 1974; Zeki, 1990)","plainCitation":"(Meadows, 1974; Zeki, 1990)","dontUpdate":true,"noteIndex":0},"citationItems":[{"id":3,"uris":["http://zotero.org/groups/318634/items/5BYZLGRY"],"uri":["http://zotero.org/groups/318634/items/5BYZLGRY"],"itemData":{"id":3,"type":"article-journal","title":"Disturbed perception of colours associated with localized cerebral lesions","container-title":"Brain: A Journal of Neurology","page":"615-632","volume":"97","issue":"4","source":"PubMed","DOI":"10.1093/brain/97.1.615","ISSN":"0006-8950","note":"PMID: 4547992","journalAbbreviation":"Brain","language":"eng","author":[{"family":"Meadows","given":"J. C."}],"issued":{"date-parts":[["1974",12]]}}},{"id":2,"uris":["http://zotero.org/groups/318634/items/GKSNUJ28"],"uri":["http://zotero.org/groups/318634/items/GKSNUJ28"],"itemData":{"id":2,"type":"article-journal","title":"A century of cerebral achromatopsia","container-title":"Brain: A Journal of Neurology","page":"1721-1777","volume":"113 ( Pt 6)","source":"PubMed","abstract":"This review is an enquiry into why the early clinical evidence for a colour centre in the cerebral cortex of man was so successfully dismissed for the best part of a century. The imperfection of this evidence cannot be the reason, for the same evidence that was rejected earlier is accepted today. Instead, it was because the prevalent concepts of vision as a function, and of the role of the cerebral cortex in it, dominated facts and prevented acceptance of evidence showing a specialization for colour in the visual cortex. It was only after those concepts were overthrown by the demonstration of functional specialization in the visual cortex of the primate that the evidence for a colour centre in the human brain became acceptable. Today, our new knowledge of the colour areas and pathways in the primate brain allows us to give a more complete account of the pathophysiology of cerebral achromatopsia in man.","DOI":"10.1093/brain/113.6.1721","ISSN":"0006-8950","note":"PMID: 2276043","journalAbbreviation":"Brain","language":"eng","author":[{"family":"Zeki","given":"S."}],"issued":{"date-parts":[["1990",12]]}}}],"schema":"https://github.com/citation-style-language/schema/raw/master/csl-citation.json"} </w:instrText>
      </w:r>
      <w:r w:rsidR="0060072E" w:rsidRPr="00225AB0">
        <w:rPr>
          <w:rFonts w:ascii="Arial" w:hAnsi="Arial" w:cs="Arial"/>
          <w:color w:val="000000" w:themeColor="text1"/>
        </w:rPr>
        <w:fldChar w:fldCharType="separate"/>
      </w:r>
      <w:r w:rsidR="0060072E" w:rsidRPr="00225AB0">
        <w:rPr>
          <w:rFonts w:ascii="Arial" w:hAnsi="Arial" w:cs="Arial"/>
          <w:noProof/>
          <w:color w:val="000000" w:themeColor="text1"/>
        </w:rPr>
        <w:t>(e.g. Meadows, 1974; Zeki, 1990)</w:t>
      </w:r>
      <w:r w:rsidR="0060072E" w:rsidRPr="00225AB0">
        <w:rPr>
          <w:rFonts w:ascii="Arial" w:hAnsi="Arial" w:cs="Arial"/>
          <w:color w:val="000000" w:themeColor="text1"/>
        </w:rPr>
        <w:fldChar w:fldCharType="end"/>
      </w:r>
      <w:r w:rsidR="0060072E" w:rsidRPr="00225AB0">
        <w:rPr>
          <w:rFonts w:ascii="Arial" w:hAnsi="Arial" w:cs="Arial"/>
          <w:color w:val="000000" w:themeColor="text1"/>
        </w:rPr>
        <w:t xml:space="preserve">. </w:t>
      </w:r>
    </w:p>
    <w:p w14:paraId="294AEA38" w14:textId="77777777" w:rsidR="0060072E" w:rsidRPr="00225AB0" w:rsidRDefault="0060072E" w:rsidP="0060072E">
      <w:pPr>
        <w:rPr>
          <w:rFonts w:ascii="Arial" w:hAnsi="Arial" w:cs="Arial"/>
          <w:color w:val="FF0000"/>
        </w:rPr>
      </w:pPr>
    </w:p>
    <w:p w14:paraId="656E6C77" w14:textId="1849982F" w:rsidR="0060072E" w:rsidRPr="00225AB0" w:rsidRDefault="0060072E" w:rsidP="00170639">
      <w:pPr>
        <w:spacing w:line="480" w:lineRule="auto"/>
        <w:rPr>
          <w:rFonts w:ascii="Arial" w:hAnsi="Arial" w:cs="Arial"/>
          <w:color w:val="000000" w:themeColor="text1"/>
        </w:rPr>
      </w:pPr>
      <w:r w:rsidRPr="00225AB0">
        <w:rPr>
          <w:rFonts w:ascii="Arial" w:hAnsi="Arial" w:cs="Arial"/>
          <w:color w:val="000000" w:themeColor="text1"/>
        </w:rPr>
        <w:t xml:space="preserve">Finally, </w:t>
      </w:r>
      <w:r w:rsidR="00D44AC6">
        <w:rPr>
          <w:rFonts w:ascii="Arial" w:hAnsi="Arial" w:cs="Arial"/>
          <w:color w:val="000000" w:themeColor="text1"/>
        </w:rPr>
        <w:t>in</w:t>
      </w:r>
      <w:r w:rsidRPr="00225AB0">
        <w:rPr>
          <w:rFonts w:ascii="Arial" w:hAnsi="Arial" w:cs="Arial"/>
          <w:color w:val="000000" w:themeColor="text1"/>
        </w:rPr>
        <w:t xml:space="preserve"> our shape analysis, we identified significantly greater overall positive connectivity during attention to square stimuli versus attention to circular, or triangular shaped features. This was reflected </w:t>
      </w:r>
      <w:r w:rsidR="00D44AC6">
        <w:rPr>
          <w:rFonts w:ascii="Arial" w:hAnsi="Arial" w:cs="Arial"/>
          <w:color w:val="000000" w:themeColor="text1"/>
        </w:rPr>
        <w:t>in</w:t>
      </w:r>
      <w:r w:rsidRPr="00225AB0">
        <w:rPr>
          <w:rFonts w:ascii="Arial" w:hAnsi="Arial" w:cs="Arial"/>
          <w:color w:val="000000" w:themeColor="text1"/>
        </w:rPr>
        <w:t xml:space="preserve"> the partial correlation analysis; all visual ROIs examined had different patterns of </w:t>
      </w:r>
      <w:r w:rsidR="00942980">
        <w:rPr>
          <w:rFonts w:ascii="Arial" w:hAnsi="Arial" w:cs="Arial"/>
          <w:color w:val="000000" w:themeColor="text1"/>
        </w:rPr>
        <w:t xml:space="preserve">partial correlation </w:t>
      </w:r>
      <w:r w:rsidRPr="00225AB0">
        <w:rPr>
          <w:rFonts w:ascii="Arial" w:hAnsi="Arial" w:cs="Arial"/>
          <w:color w:val="000000" w:themeColor="text1"/>
        </w:rPr>
        <w:t xml:space="preserve">between attention to square versus circular, or triangular-shaped stimuli. </w:t>
      </w:r>
    </w:p>
    <w:p w14:paraId="796F5FFC" w14:textId="6A6CD240" w:rsidR="009927A8" w:rsidRDefault="0060072E" w:rsidP="00085A82">
      <w:pPr>
        <w:spacing w:line="480" w:lineRule="auto"/>
        <w:rPr>
          <w:rFonts w:ascii="Arial" w:hAnsi="Arial" w:cs="Arial"/>
          <w:color w:val="000000" w:themeColor="text1"/>
        </w:rPr>
      </w:pPr>
      <w:r w:rsidRPr="00225AB0">
        <w:rPr>
          <w:rFonts w:ascii="Arial" w:hAnsi="Arial" w:cs="Arial"/>
          <w:color w:val="000000" w:themeColor="text1"/>
        </w:rPr>
        <w:t xml:space="preserve">In conclusion, here we used a relatively novel approach for investigating visual attention, using a dynamic, uncontrolled and relatively naturalistic stimulus, to assess the extent our previous findings with highly controlled, low-level visual stimuli generalise to a real-world context. We identify </w:t>
      </w:r>
      <w:r w:rsidRPr="00225AB0">
        <w:rPr>
          <w:rFonts w:ascii="Arial" w:hAnsi="Arial" w:cs="Arial"/>
          <w:color w:val="000000" w:themeColor="text1"/>
        </w:rPr>
        <w:lastRenderedPageBreak/>
        <w:t xml:space="preserve">relatively little evidence of differential patterns of attentional modulation at both the univariate and multivariate levels when attending to low-level visual features. However, we do identify significant differing patterns of attentional modulation to a relatively higher-level face stimulus in comparison to low-level visual ROIs in many early visual areas. When examining patterns of attentional modulation across many visual ROIs simultaneously however, we identify robust differences in patterns of connectivity across attentional conditions. We demonstrate here the importance of </w:t>
      </w:r>
      <w:r w:rsidR="00942980">
        <w:rPr>
          <w:rFonts w:ascii="Arial" w:hAnsi="Arial" w:cs="Arial"/>
          <w:color w:val="000000" w:themeColor="text1"/>
        </w:rPr>
        <w:t xml:space="preserve">analysing activity at multiple spatial scales </w:t>
      </w:r>
      <w:r w:rsidRPr="00225AB0">
        <w:rPr>
          <w:rFonts w:ascii="Arial" w:hAnsi="Arial" w:cs="Arial"/>
          <w:color w:val="000000" w:themeColor="text1"/>
        </w:rPr>
        <w:t>to gain a more informative picture of the influence of featural attention across the visual cortex.</w:t>
      </w:r>
    </w:p>
    <w:p w14:paraId="6BCAD4B6" w14:textId="5F4F46CC" w:rsidR="007B68C2" w:rsidRDefault="007B68C2" w:rsidP="00085A82">
      <w:pPr>
        <w:spacing w:line="480" w:lineRule="auto"/>
        <w:rPr>
          <w:rFonts w:ascii="Arial" w:hAnsi="Arial" w:cs="Arial"/>
          <w:color w:val="000000" w:themeColor="text1"/>
        </w:rPr>
      </w:pPr>
    </w:p>
    <w:p w14:paraId="7F5BE389" w14:textId="3BDA9D1A" w:rsidR="007B68C2" w:rsidRDefault="007B68C2" w:rsidP="00085A82">
      <w:pPr>
        <w:spacing w:line="480" w:lineRule="auto"/>
        <w:rPr>
          <w:rFonts w:ascii="Arial" w:hAnsi="Arial" w:cs="Arial"/>
          <w:color w:val="000000" w:themeColor="text1"/>
        </w:rPr>
      </w:pPr>
    </w:p>
    <w:p w14:paraId="4CC9BBB2" w14:textId="50AD8B09" w:rsidR="007B68C2" w:rsidRDefault="007B68C2" w:rsidP="00085A82">
      <w:pPr>
        <w:spacing w:line="480" w:lineRule="auto"/>
        <w:rPr>
          <w:rFonts w:ascii="Arial" w:hAnsi="Arial" w:cs="Arial"/>
          <w:color w:val="000000" w:themeColor="text1"/>
        </w:rPr>
      </w:pPr>
    </w:p>
    <w:p w14:paraId="2CBBBB2D" w14:textId="05237EB0" w:rsidR="007B68C2" w:rsidRDefault="007B68C2" w:rsidP="00085A82">
      <w:pPr>
        <w:spacing w:line="480" w:lineRule="auto"/>
        <w:rPr>
          <w:rFonts w:ascii="Arial" w:hAnsi="Arial" w:cs="Arial"/>
          <w:color w:val="000000" w:themeColor="text1"/>
        </w:rPr>
      </w:pPr>
    </w:p>
    <w:p w14:paraId="3DBFC735" w14:textId="75B52965" w:rsidR="007B68C2" w:rsidRDefault="007B68C2" w:rsidP="00085A82">
      <w:pPr>
        <w:spacing w:line="480" w:lineRule="auto"/>
        <w:rPr>
          <w:rFonts w:ascii="Arial" w:hAnsi="Arial" w:cs="Arial"/>
          <w:color w:val="000000" w:themeColor="text1"/>
        </w:rPr>
      </w:pPr>
    </w:p>
    <w:p w14:paraId="42021113" w14:textId="7F48E0DA" w:rsidR="007B68C2" w:rsidRDefault="007B68C2" w:rsidP="00085A82">
      <w:pPr>
        <w:spacing w:line="480" w:lineRule="auto"/>
        <w:rPr>
          <w:rFonts w:ascii="Arial" w:hAnsi="Arial" w:cs="Arial"/>
          <w:color w:val="000000" w:themeColor="text1"/>
        </w:rPr>
      </w:pPr>
    </w:p>
    <w:p w14:paraId="29E71A76" w14:textId="6C951D59" w:rsidR="007B68C2" w:rsidRDefault="007B68C2" w:rsidP="00085A82">
      <w:pPr>
        <w:spacing w:line="480" w:lineRule="auto"/>
        <w:rPr>
          <w:rFonts w:ascii="Arial" w:hAnsi="Arial" w:cs="Arial"/>
          <w:color w:val="000000" w:themeColor="text1"/>
        </w:rPr>
      </w:pPr>
    </w:p>
    <w:p w14:paraId="2F93C024" w14:textId="0EB75C52" w:rsidR="007B68C2" w:rsidRDefault="007B68C2" w:rsidP="00085A82">
      <w:pPr>
        <w:spacing w:line="480" w:lineRule="auto"/>
        <w:rPr>
          <w:rFonts w:ascii="Arial" w:hAnsi="Arial" w:cs="Arial"/>
          <w:color w:val="000000" w:themeColor="text1"/>
        </w:rPr>
      </w:pPr>
    </w:p>
    <w:p w14:paraId="2B5D6CF0" w14:textId="3DE4C3DD" w:rsidR="007B68C2" w:rsidRDefault="007B68C2" w:rsidP="00085A82">
      <w:pPr>
        <w:spacing w:line="480" w:lineRule="auto"/>
        <w:rPr>
          <w:rFonts w:ascii="Arial" w:hAnsi="Arial" w:cs="Arial"/>
          <w:color w:val="000000" w:themeColor="text1"/>
        </w:rPr>
      </w:pPr>
    </w:p>
    <w:p w14:paraId="10FEAEAA" w14:textId="7D23A88B" w:rsidR="007B68C2" w:rsidRDefault="007B68C2" w:rsidP="00085A82">
      <w:pPr>
        <w:spacing w:line="480" w:lineRule="auto"/>
        <w:rPr>
          <w:rFonts w:ascii="Arial" w:hAnsi="Arial" w:cs="Arial"/>
          <w:color w:val="000000" w:themeColor="text1"/>
        </w:rPr>
      </w:pPr>
    </w:p>
    <w:p w14:paraId="5C05CF96" w14:textId="65F98754" w:rsidR="00AE6937" w:rsidRDefault="00AE6937" w:rsidP="00085A82">
      <w:pPr>
        <w:spacing w:line="480" w:lineRule="auto"/>
        <w:rPr>
          <w:rFonts w:ascii="Arial" w:hAnsi="Arial" w:cs="Arial"/>
          <w:color w:val="000000" w:themeColor="text1"/>
        </w:rPr>
      </w:pPr>
    </w:p>
    <w:p w14:paraId="30C9998D" w14:textId="539EFE17" w:rsidR="00AE6937" w:rsidRDefault="00AE6937" w:rsidP="00085A82">
      <w:pPr>
        <w:spacing w:line="480" w:lineRule="auto"/>
        <w:rPr>
          <w:rFonts w:ascii="Arial" w:hAnsi="Arial" w:cs="Arial"/>
          <w:color w:val="000000" w:themeColor="text1"/>
        </w:rPr>
      </w:pPr>
    </w:p>
    <w:p w14:paraId="1586AAB3" w14:textId="71B598E1" w:rsidR="00AE6937" w:rsidRDefault="00AE6937" w:rsidP="00085A82">
      <w:pPr>
        <w:spacing w:line="480" w:lineRule="auto"/>
        <w:rPr>
          <w:rFonts w:ascii="Arial" w:hAnsi="Arial" w:cs="Arial"/>
          <w:color w:val="000000" w:themeColor="text1"/>
        </w:rPr>
      </w:pPr>
    </w:p>
    <w:p w14:paraId="5EB6E141" w14:textId="77777777" w:rsidR="00AE6937" w:rsidRPr="00225AB0" w:rsidRDefault="00AE6937" w:rsidP="00085A82">
      <w:pPr>
        <w:spacing w:line="480" w:lineRule="auto"/>
        <w:rPr>
          <w:rFonts w:ascii="Arial" w:hAnsi="Arial" w:cs="Arial"/>
          <w:color w:val="000000" w:themeColor="text1"/>
        </w:rPr>
      </w:pPr>
    </w:p>
    <w:p w14:paraId="40C244A7" w14:textId="64EDFB9A" w:rsidR="0060072E" w:rsidRDefault="0060072E" w:rsidP="00C37FB8">
      <w:pPr>
        <w:pStyle w:val="Heading1"/>
        <w:numPr>
          <w:ilvl w:val="0"/>
          <w:numId w:val="10"/>
        </w:numPr>
        <w:rPr>
          <w:rFonts w:ascii="Arial" w:hAnsi="Arial" w:cs="Arial"/>
          <w:b/>
          <w:color w:val="000000" w:themeColor="text1"/>
          <w:sz w:val="44"/>
          <w:szCs w:val="44"/>
        </w:rPr>
      </w:pPr>
      <w:bookmarkStart w:id="875" w:name="_Toc11154010"/>
      <w:bookmarkStart w:id="876" w:name="_Toc11753689"/>
      <w:bookmarkStart w:id="877" w:name="_Toc11926875"/>
      <w:bookmarkStart w:id="878" w:name="_Toc11930143"/>
      <w:bookmarkStart w:id="879" w:name="_Toc16075459"/>
      <w:bookmarkStart w:id="880" w:name="_Toc16237047"/>
      <w:r w:rsidRPr="00225AB0">
        <w:rPr>
          <w:rFonts w:ascii="Arial" w:hAnsi="Arial" w:cs="Arial"/>
          <w:b/>
          <w:color w:val="000000" w:themeColor="text1"/>
          <w:sz w:val="44"/>
          <w:szCs w:val="44"/>
        </w:rPr>
        <w:lastRenderedPageBreak/>
        <w:t>Conclusions</w:t>
      </w:r>
      <w:bookmarkEnd w:id="875"/>
      <w:bookmarkEnd w:id="876"/>
      <w:bookmarkEnd w:id="877"/>
      <w:bookmarkEnd w:id="878"/>
      <w:bookmarkEnd w:id="879"/>
      <w:bookmarkEnd w:id="880"/>
    </w:p>
    <w:p w14:paraId="18DA40AD" w14:textId="77777777" w:rsidR="00085A82" w:rsidRPr="00085A82" w:rsidRDefault="00085A82" w:rsidP="00085A82"/>
    <w:p w14:paraId="77D0891D" w14:textId="77777777" w:rsidR="00892C2F" w:rsidRPr="00225AB0" w:rsidRDefault="00892C2F" w:rsidP="00892C2F">
      <w:pPr>
        <w:rPr>
          <w:rFonts w:ascii="Arial" w:hAnsi="Arial" w:cs="Arial"/>
        </w:rPr>
      </w:pPr>
    </w:p>
    <w:p w14:paraId="1629248F" w14:textId="77777777" w:rsidR="0060072E" w:rsidRDefault="0060072E" w:rsidP="00F771D6">
      <w:pPr>
        <w:pStyle w:val="Heading2"/>
        <w:rPr>
          <w:rFonts w:ascii="Arial" w:hAnsi="Arial" w:cs="Arial"/>
          <w:b/>
          <w:color w:val="000000" w:themeColor="text1"/>
          <w:sz w:val="28"/>
          <w:szCs w:val="28"/>
        </w:rPr>
      </w:pPr>
      <w:bookmarkStart w:id="881" w:name="_Toc11148060"/>
      <w:bookmarkStart w:id="882" w:name="_Toc11154011"/>
      <w:bookmarkStart w:id="883" w:name="_Toc11753690"/>
      <w:bookmarkStart w:id="884" w:name="_Toc11926876"/>
      <w:bookmarkStart w:id="885" w:name="_Toc11930144"/>
      <w:bookmarkStart w:id="886" w:name="_Toc16075460"/>
      <w:bookmarkStart w:id="887" w:name="_Toc16237048"/>
      <w:r w:rsidRPr="00F771D6">
        <w:rPr>
          <w:rFonts w:ascii="Arial" w:hAnsi="Arial" w:cs="Arial"/>
          <w:b/>
          <w:color w:val="000000" w:themeColor="text1"/>
          <w:sz w:val="28"/>
          <w:szCs w:val="28"/>
        </w:rPr>
        <w:t>7.1 Overview of the thesis findings</w:t>
      </w:r>
      <w:bookmarkEnd w:id="881"/>
      <w:bookmarkEnd w:id="882"/>
      <w:bookmarkEnd w:id="883"/>
      <w:bookmarkEnd w:id="884"/>
      <w:bookmarkEnd w:id="885"/>
      <w:bookmarkEnd w:id="886"/>
      <w:bookmarkEnd w:id="887"/>
    </w:p>
    <w:p w14:paraId="436C41B7" w14:textId="77777777" w:rsidR="00F771D6" w:rsidRPr="00F771D6" w:rsidRDefault="00F771D6" w:rsidP="00F771D6"/>
    <w:p w14:paraId="2B21D310" w14:textId="5A5FF14E" w:rsidR="0060072E" w:rsidRPr="00225AB0" w:rsidRDefault="0060072E" w:rsidP="0060072E">
      <w:pPr>
        <w:spacing w:line="480" w:lineRule="auto"/>
        <w:rPr>
          <w:rFonts w:ascii="Arial" w:hAnsi="Arial" w:cs="Arial"/>
        </w:rPr>
      </w:pPr>
      <w:r w:rsidRPr="00225AB0">
        <w:rPr>
          <w:rFonts w:ascii="Arial" w:hAnsi="Arial" w:cs="Arial"/>
        </w:rPr>
        <w:t xml:space="preserve">This thesis includes four experiments which have </w:t>
      </w:r>
      <w:r w:rsidR="00282194">
        <w:rPr>
          <w:rFonts w:ascii="Arial" w:hAnsi="Arial" w:cs="Arial"/>
        </w:rPr>
        <w:t>examined</w:t>
      </w:r>
      <w:r w:rsidRPr="00225AB0">
        <w:rPr>
          <w:rFonts w:ascii="Arial" w:hAnsi="Arial" w:cs="Arial"/>
        </w:rPr>
        <w:t xml:space="preserve"> the existence and spatial scale of feature-specific patterns of attentional modulation across the visual cortex. </w:t>
      </w:r>
      <w:r w:rsidR="00282194">
        <w:rPr>
          <w:rFonts w:ascii="Arial" w:hAnsi="Arial" w:cs="Arial"/>
        </w:rPr>
        <w:t>In</w:t>
      </w:r>
      <w:r w:rsidR="00282194" w:rsidRPr="00225AB0">
        <w:rPr>
          <w:rFonts w:ascii="Arial" w:hAnsi="Arial" w:cs="Arial"/>
        </w:rPr>
        <w:t xml:space="preserve"> </w:t>
      </w:r>
      <w:r w:rsidRPr="00225AB0">
        <w:rPr>
          <w:rFonts w:ascii="Arial" w:hAnsi="Arial" w:cs="Arial"/>
        </w:rPr>
        <w:t xml:space="preserve">our first psychophysical experiment, we sought to replicate the findings of the well-established selective versus distributed attentional paradigm to validate the use of the RF pattern as an effective stimulus to probe mechanisms of visual attention. The three remaining experiments investigated the existence of differential patterns of modulation across the visual cortex in response to attention directed towards different stimulus features and chromaticities in </w:t>
      </w:r>
      <w:r w:rsidR="00D44AC6">
        <w:rPr>
          <w:rFonts w:ascii="Arial" w:hAnsi="Arial" w:cs="Arial"/>
        </w:rPr>
        <w:t>in</w:t>
      </w:r>
      <w:r w:rsidRPr="00225AB0">
        <w:rPr>
          <w:rFonts w:ascii="Arial" w:hAnsi="Arial" w:cs="Arial"/>
        </w:rPr>
        <w:t xml:space="preserve"> both situations with low-level, highly controlled and dynamic, uncontrolled and relatively naturalistic visual stimuli. The four experiments described in this thesis make novel contributions in their findings and in the methods used. </w:t>
      </w:r>
    </w:p>
    <w:p w14:paraId="4BAACE86" w14:textId="77777777" w:rsidR="0060072E" w:rsidRPr="00225AB0" w:rsidRDefault="0060072E" w:rsidP="0060072E">
      <w:pPr>
        <w:spacing w:line="480" w:lineRule="auto"/>
        <w:rPr>
          <w:rFonts w:ascii="Arial" w:hAnsi="Arial" w:cs="Arial"/>
        </w:rPr>
      </w:pPr>
    </w:p>
    <w:p w14:paraId="72C1CFFB" w14:textId="2DB919F3" w:rsidR="0060072E" w:rsidRPr="00225AB0" w:rsidRDefault="0060072E" w:rsidP="0060072E">
      <w:pPr>
        <w:spacing w:line="480" w:lineRule="auto"/>
        <w:rPr>
          <w:rFonts w:ascii="Arial" w:hAnsi="Arial" w:cs="Arial"/>
        </w:rPr>
      </w:pPr>
      <w:r w:rsidRPr="00225AB0">
        <w:rPr>
          <w:rFonts w:ascii="Arial" w:hAnsi="Arial" w:cs="Arial"/>
        </w:rPr>
        <w:t xml:space="preserve">Firstly, we demonstrated we were able to replicate the well-established results of the selective versus distributed attentional paradigm of </w:t>
      </w:r>
      <w:r w:rsidRPr="00225AB0">
        <w:rPr>
          <w:rFonts w:ascii="Arial" w:hAnsi="Arial" w:cs="Arial"/>
        </w:rPr>
        <w:fldChar w:fldCharType="begin"/>
      </w:r>
      <w:r w:rsidR="005B4361">
        <w:rPr>
          <w:rFonts w:ascii="Arial" w:hAnsi="Arial" w:cs="Arial"/>
        </w:rPr>
        <w:instrText xml:space="preserve"> ADDIN ZOTERO_ITEM CSL_CITATION {"citationID":"ndsJERFJ","properties":{"formattedCitation":"(Corbetta, Miezin, Dobmeyer, Shulman, &amp; Petersen, 1990)","plainCitation":"(Corbetta, Miezin, Dobmeyer, Shulman, &amp; Petersen, 1990)","dontUpdate":true,"noteIndex":0},"citationItems":[{"id":128,"uris":["http://zotero.org/groups/318634/items/LHCBHC5P"],"uri":["http://zotero.org/groups/318634/items/LHCBHC5P"],"itemData":{"id":128,"type":"article-journal","title":"Attentional modulation of neural processing of shape, color, and velocity in humans","container-title":"Science","page":"1556–1559","volume":"248","issue":"4962","source":"Google Scholar","author":[{"family":"Corbetta","given":"Maurizio"},{"family":"Miezin","given":"Francis M."},{"family":"Dobmeyer","given":"Susan"},{"family":"Shulman","given":"Gordon L."},{"family":"Petersen","given":"Steven E."}],"issued":{"date-parts":[["1990"]]}}}],"schema":"https://github.com/citation-style-language/schema/raw/master/csl-citation.json"} </w:instrText>
      </w:r>
      <w:r w:rsidRPr="00225AB0">
        <w:rPr>
          <w:rFonts w:ascii="Arial" w:hAnsi="Arial" w:cs="Arial"/>
        </w:rPr>
        <w:fldChar w:fldCharType="separate"/>
      </w:r>
      <w:r w:rsidRPr="00225AB0">
        <w:rPr>
          <w:rFonts w:ascii="Arial" w:hAnsi="Arial" w:cs="Arial"/>
          <w:noProof/>
        </w:rPr>
        <w:t>Corbetta, Miezin, Dobmeyer, Shulman, &amp; Petersen, (1990)</w:t>
      </w:r>
      <w:r w:rsidRPr="00225AB0">
        <w:rPr>
          <w:rFonts w:ascii="Arial" w:hAnsi="Arial" w:cs="Arial"/>
        </w:rPr>
        <w:fldChar w:fldCharType="end"/>
      </w:r>
      <w:r w:rsidRPr="00225AB0">
        <w:rPr>
          <w:rFonts w:ascii="Arial" w:hAnsi="Arial" w:cs="Arial"/>
        </w:rPr>
        <w:t xml:space="preserve">, using an RF pattern stimulus. The use of these RF patterns allowed us to not only to manipulate both the contrast and orientation of stimulus, as is the case with many traditional visual stimuli such as Gabors, but we could also manipulate the shape (‘spikiness’) of our stimulus as an effective measure to probe shape processing across the visual cortex. We demonstrated significant decreases in accuracy (indexed by loglinear d’) and increases in response time, when participants made responses whilst their attention was distributed across </w:t>
      </w:r>
      <w:r w:rsidRPr="00225AB0">
        <w:rPr>
          <w:rFonts w:ascii="Arial" w:hAnsi="Arial" w:cs="Arial"/>
        </w:rPr>
        <w:lastRenderedPageBreak/>
        <w:t xml:space="preserve">multiple stimulus features, in comparison to conditions in which they were attending to changes in only a single visual feature. This simple, clear result validates the use of the relatively novel RF pattern stimulus as an effective stimulus to probe attentional mechanisms </w:t>
      </w:r>
      <w:r w:rsidR="00D44AC6">
        <w:rPr>
          <w:rFonts w:ascii="Arial" w:hAnsi="Arial" w:cs="Arial"/>
        </w:rPr>
        <w:t>in</w:t>
      </w:r>
      <w:r w:rsidRPr="00225AB0">
        <w:rPr>
          <w:rFonts w:ascii="Arial" w:hAnsi="Arial" w:cs="Arial"/>
        </w:rPr>
        <w:t xml:space="preserve"> future work. </w:t>
      </w:r>
    </w:p>
    <w:p w14:paraId="1054C034" w14:textId="77777777" w:rsidR="0060072E" w:rsidRPr="00225AB0" w:rsidRDefault="0060072E" w:rsidP="0060072E">
      <w:pPr>
        <w:spacing w:line="480" w:lineRule="auto"/>
        <w:rPr>
          <w:rFonts w:ascii="Arial" w:hAnsi="Arial" w:cs="Arial"/>
        </w:rPr>
      </w:pPr>
    </w:p>
    <w:p w14:paraId="1E5E53A6" w14:textId="7E044628" w:rsidR="0060072E" w:rsidRPr="00225AB0" w:rsidRDefault="0060072E" w:rsidP="0060072E">
      <w:pPr>
        <w:spacing w:line="480" w:lineRule="auto"/>
        <w:rPr>
          <w:rFonts w:ascii="Arial" w:hAnsi="Arial" w:cs="Arial"/>
        </w:rPr>
      </w:pPr>
      <w:r w:rsidRPr="00225AB0">
        <w:rPr>
          <w:rFonts w:ascii="Arial" w:hAnsi="Arial" w:cs="Arial"/>
        </w:rPr>
        <w:t xml:space="preserve">Secondly, we investigated patterns of attentional modulation across the visual cortex when participants shifted attention between orientation, contrast, shape and passive viewing conditions in the presence of a constant RF pattern stimulus, </w:t>
      </w:r>
      <w:r w:rsidR="00D44AC6">
        <w:rPr>
          <w:rFonts w:ascii="Arial" w:hAnsi="Arial" w:cs="Arial"/>
        </w:rPr>
        <w:t>in</w:t>
      </w:r>
      <w:r w:rsidRPr="00225AB0">
        <w:rPr>
          <w:rFonts w:ascii="Arial" w:hAnsi="Arial" w:cs="Arial"/>
        </w:rPr>
        <w:t xml:space="preserve"> an fMRI scanner. At the univariate level of analysis, we identified relatively little evidence of differential patterns of attentional modulation </w:t>
      </w:r>
      <w:r w:rsidR="00D44AC6">
        <w:rPr>
          <w:rFonts w:ascii="Arial" w:hAnsi="Arial" w:cs="Arial"/>
        </w:rPr>
        <w:t>in</w:t>
      </w:r>
      <w:r w:rsidRPr="00225AB0">
        <w:rPr>
          <w:rFonts w:ascii="Arial" w:hAnsi="Arial" w:cs="Arial"/>
        </w:rPr>
        <w:t xml:space="preserve"> any visual ROI examined. We also identified no differences in BOLD signal modulation driven by changes in the stimulus features, suggesting bottom-up stimulus changes were not driving any attentional effects we identified. </w:t>
      </w:r>
    </w:p>
    <w:p w14:paraId="23BBC918" w14:textId="77777777" w:rsidR="0060072E" w:rsidRPr="00225AB0" w:rsidRDefault="0060072E" w:rsidP="0060072E">
      <w:pPr>
        <w:spacing w:line="480" w:lineRule="auto"/>
        <w:rPr>
          <w:rFonts w:ascii="Arial" w:hAnsi="Arial" w:cs="Arial"/>
        </w:rPr>
      </w:pPr>
    </w:p>
    <w:p w14:paraId="761E63A0" w14:textId="60564574" w:rsidR="0060072E" w:rsidRPr="00225AB0" w:rsidRDefault="0060072E" w:rsidP="0060072E">
      <w:pPr>
        <w:spacing w:line="480" w:lineRule="auto"/>
        <w:rPr>
          <w:rFonts w:ascii="Arial" w:hAnsi="Arial" w:cs="Arial"/>
        </w:rPr>
      </w:pPr>
      <w:r w:rsidRPr="00225AB0">
        <w:rPr>
          <w:rFonts w:ascii="Arial" w:hAnsi="Arial" w:cs="Arial"/>
        </w:rPr>
        <w:t xml:space="preserve">However, at the multivariate level, we were able to demonstrate that attention directed towards different stimulus features produced robust, distinguishable patterns of attentional modulation across voxels </w:t>
      </w:r>
      <w:r w:rsidR="00D44AC6">
        <w:rPr>
          <w:rFonts w:ascii="Arial" w:hAnsi="Arial" w:cs="Arial"/>
        </w:rPr>
        <w:t>in</w:t>
      </w:r>
      <w:r w:rsidRPr="00225AB0">
        <w:rPr>
          <w:rFonts w:ascii="Arial" w:hAnsi="Arial" w:cs="Arial"/>
        </w:rPr>
        <w:t xml:space="preserve"> a particular visual ROI. These differential patterns of attentional modulation differed as a function of the ROI examined, suggesting attentional mechanisms do not exert the same patterns of modulations </w:t>
      </w:r>
      <w:r w:rsidR="00D44AC6">
        <w:rPr>
          <w:rFonts w:ascii="Arial" w:hAnsi="Arial" w:cs="Arial"/>
        </w:rPr>
        <w:t>in</w:t>
      </w:r>
      <w:r w:rsidRPr="00225AB0">
        <w:rPr>
          <w:rFonts w:ascii="Arial" w:hAnsi="Arial" w:cs="Arial"/>
        </w:rPr>
        <w:t xml:space="preserve"> all areas across the visual hierarchy. Importantly, we demonstrated that these successful classifications were not driven by group-level coarse scale topographical maps of the organisation of particular visual features, and we instead suggest attentional modulation alters the fine-scale voxel-level patterns of activation </w:t>
      </w:r>
      <w:r w:rsidR="00D44AC6">
        <w:rPr>
          <w:rFonts w:ascii="Arial" w:hAnsi="Arial" w:cs="Arial"/>
        </w:rPr>
        <w:t>in</w:t>
      </w:r>
      <w:r w:rsidRPr="00225AB0">
        <w:rPr>
          <w:rFonts w:ascii="Arial" w:hAnsi="Arial" w:cs="Arial"/>
        </w:rPr>
        <w:t xml:space="preserve"> an ROI. Finally, we analysed patterns of connectivity </w:t>
      </w:r>
      <w:r w:rsidRPr="00225AB0">
        <w:rPr>
          <w:rFonts w:ascii="Arial" w:hAnsi="Arial" w:cs="Arial"/>
        </w:rPr>
        <w:lastRenderedPageBreak/>
        <w:t xml:space="preserve">across multiple visual ROIs simultaneously and demonstrate a significantly greater positive connectivity between ROIs during passive viewing in comparison to directed attention conditions, which we suggest is reflective of a default-mode type network activation, and regions selectively disengage from this synchronised network during attentionally demanding tasks. This identification of differential patterns of connectivity across different attentional tasks is one of the first demonstrations of this analysis </w:t>
      </w:r>
      <w:r w:rsidR="00D44AC6">
        <w:rPr>
          <w:rFonts w:ascii="Arial" w:hAnsi="Arial" w:cs="Arial"/>
        </w:rPr>
        <w:t>in</w:t>
      </w:r>
      <w:r w:rsidRPr="00225AB0">
        <w:rPr>
          <w:rFonts w:ascii="Arial" w:hAnsi="Arial" w:cs="Arial"/>
        </w:rPr>
        <w:t xml:space="preserve"> the visual literature and highlights the importance of probing multiple spatial scales of activation </w:t>
      </w:r>
      <w:r w:rsidR="00D44AC6">
        <w:rPr>
          <w:rFonts w:ascii="Arial" w:hAnsi="Arial" w:cs="Arial"/>
        </w:rPr>
        <w:t>in</w:t>
      </w:r>
      <w:r w:rsidRPr="00225AB0">
        <w:rPr>
          <w:rFonts w:ascii="Arial" w:hAnsi="Arial" w:cs="Arial"/>
        </w:rPr>
        <w:t xml:space="preserve"> the visual cortex when examining attentional effects. </w:t>
      </w:r>
    </w:p>
    <w:p w14:paraId="06E0DD07" w14:textId="77777777" w:rsidR="0060072E" w:rsidRPr="00225AB0" w:rsidRDefault="0060072E" w:rsidP="0060072E">
      <w:pPr>
        <w:spacing w:line="480" w:lineRule="auto"/>
        <w:rPr>
          <w:rFonts w:ascii="Arial" w:hAnsi="Arial" w:cs="Arial"/>
        </w:rPr>
      </w:pPr>
    </w:p>
    <w:p w14:paraId="7B8BF83B" w14:textId="68B35D9D" w:rsidR="0060072E" w:rsidRPr="00225AB0" w:rsidRDefault="00282194" w:rsidP="0060072E">
      <w:pPr>
        <w:spacing w:line="480" w:lineRule="auto"/>
        <w:rPr>
          <w:rFonts w:ascii="Arial" w:hAnsi="Arial" w:cs="Arial"/>
        </w:rPr>
      </w:pPr>
      <w:r>
        <w:rPr>
          <w:rFonts w:ascii="Arial" w:hAnsi="Arial" w:cs="Arial"/>
        </w:rPr>
        <w:t>In</w:t>
      </w:r>
      <w:r w:rsidRPr="00225AB0">
        <w:rPr>
          <w:rFonts w:ascii="Arial" w:hAnsi="Arial" w:cs="Arial"/>
        </w:rPr>
        <w:t xml:space="preserve"> </w:t>
      </w:r>
      <w:r w:rsidR="0060072E" w:rsidRPr="00225AB0">
        <w:rPr>
          <w:rFonts w:ascii="Arial" w:hAnsi="Arial" w:cs="Arial"/>
        </w:rPr>
        <w:t xml:space="preserve">our third experiment, we used fMRI and psychophysical methods to again </w:t>
      </w:r>
      <w:r>
        <w:rPr>
          <w:rFonts w:ascii="Arial" w:hAnsi="Arial" w:cs="Arial"/>
        </w:rPr>
        <w:t>measure</w:t>
      </w:r>
      <w:r w:rsidRPr="00225AB0">
        <w:rPr>
          <w:rFonts w:ascii="Arial" w:hAnsi="Arial" w:cs="Arial"/>
        </w:rPr>
        <w:t xml:space="preserve"> </w:t>
      </w:r>
      <w:r w:rsidR="0060072E" w:rsidRPr="00225AB0">
        <w:rPr>
          <w:rFonts w:ascii="Arial" w:hAnsi="Arial" w:cs="Arial"/>
        </w:rPr>
        <w:t xml:space="preserve">differential patterns of attentional modulation, but this time, </w:t>
      </w:r>
      <w:r>
        <w:rPr>
          <w:rFonts w:ascii="Arial" w:hAnsi="Arial" w:cs="Arial"/>
        </w:rPr>
        <w:t xml:space="preserve">we </w:t>
      </w:r>
      <w:r w:rsidR="0060072E" w:rsidRPr="00225AB0">
        <w:rPr>
          <w:rFonts w:ascii="Arial" w:hAnsi="Arial" w:cs="Arial"/>
        </w:rPr>
        <w:t xml:space="preserve">probed responses during attention directed towards different stimulus colours. We performed two different analyses, the first, examining differential patterns of attentional modulation across features (irrespective of the stimulus chromaticity). Here, we replicated the main findings of our previous experiment, finding relatively little difference in attentional modulation across features at the univariate level, but robust differences in patterns of BOLD signal modulation at both the multivariate and connectivity levels, which were not driven by any coarse-scale spatial maps </w:t>
      </w:r>
      <w:r w:rsidR="00D44AC6">
        <w:rPr>
          <w:rFonts w:ascii="Arial" w:hAnsi="Arial" w:cs="Arial"/>
        </w:rPr>
        <w:t>in</w:t>
      </w:r>
      <w:r w:rsidR="0060072E" w:rsidRPr="00225AB0">
        <w:rPr>
          <w:rFonts w:ascii="Arial" w:hAnsi="Arial" w:cs="Arial"/>
        </w:rPr>
        <w:t xml:space="preserve"> ROIs.   </w:t>
      </w:r>
    </w:p>
    <w:p w14:paraId="43BEF375" w14:textId="77777777" w:rsidR="0060072E" w:rsidRPr="00225AB0" w:rsidRDefault="0060072E" w:rsidP="0060072E">
      <w:pPr>
        <w:spacing w:line="480" w:lineRule="auto"/>
        <w:rPr>
          <w:rFonts w:ascii="Arial" w:hAnsi="Arial" w:cs="Arial"/>
        </w:rPr>
      </w:pPr>
    </w:p>
    <w:p w14:paraId="0F8EAB72" w14:textId="441B2E25" w:rsidR="0060072E" w:rsidRPr="00225AB0" w:rsidRDefault="0060072E" w:rsidP="0060072E">
      <w:pPr>
        <w:spacing w:line="480" w:lineRule="auto"/>
        <w:rPr>
          <w:rFonts w:ascii="Arial" w:hAnsi="Arial" w:cs="Arial"/>
        </w:rPr>
      </w:pPr>
      <w:r w:rsidRPr="00225AB0">
        <w:rPr>
          <w:rFonts w:ascii="Arial" w:hAnsi="Arial" w:cs="Arial"/>
        </w:rPr>
        <w:t xml:space="preserve">We then repeated our analysis pipeline, examining patterns of activation when attention was directed towards the chromaticity of the stimulus (in three segregated dimensions; L+M, L-M and S-(L+M)). At the univariate level, we identified a significant difference in BOLD signal modulation between red-green and blue-yellow attentional conditions in almost all visual ROIs </w:t>
      </w:r>
      <w:r w:rsidRPr="00225AB0">
        <w:rPr>
          <w:rFonts w:ascii="Arial" w:hAnsi="Arial" w:cs="Arial"/>
        </w:rPr>
        <w:lastRenderedPageBreak/>
        <w:t xml:space="preserve">examined, in fitting with previous literature suggesting a relatively weaker blue-yellow signal across the visual cortex </w:t>
      </w:r>
      <w:r w:rsidRPr="00225AB0">
        <w:rPr>
          <w:rFonts w:ascii="Arial" w:hAnsi="Arial" w:cs="Arial"/>
        </w:rPr>
        <w:fldChar w:fldCharType="begin"/>
      </w:r>
      <w:r w:rsidR="00321AB9">
        <w:rPr>
          <w:rFonts w:ascii="Arial" w:hAnsi="Arial" w:cs="Arial"/>
        </w:rPr>
        <w:instrText xml:space="preserve"> ADDIN ZOTERO_ITEM CSL_CITATION {"citationID":"gA8lLHd3","properties":{"formattedCitation":"(Liu &amp; Wandell, 2005; Mullen, Chang, &amp; Hess, 2015; Wang &amp; Wade, 2011)","plainCitation":"(Liu &amp; Wandell, 2005; Mullen, Chang, &amp; Hess, 2015; Wang &amp; Wade, 2011)","dontUpdate":true,"noteIndex":0},"citationItems":[{"id":16,"uris":["http://zotero.org/groups/318634/items/3UZVGQ63"],"uri":["http://zotero.org/groups/318634/items/3UZVGQ63"],"itemData":{"id":16,"type":"article-journal","title":"Specializations for chromatic and temporal signals in human visual cortex","container-title":"The Journal of Neuroscience: The Official Journal of the Society for Neuroscience","page":"3459-3468","volume":"25","issue":"13","source":"PubMed","abstract":"Neurological case studies and qualitative measurements suggest that regions within human extrastriate cortex are specialized for different perceptual functions, including color. However, there are few quantitative measurements of human extrastriate color specializations. We studied the chromatic and temporal responses in several different clusters of human visual field maps using functional magnetic resonance imaging. Contrast response functions were measured for luminance [(L + M)-cone], red-green [(L - M)-cone] and blue-yellow (S-cone) modulations at various temporal frequencies. In primary visual cortex (V1), temporal responsivities to luminance and red-green modulations are approximately constant up to 10 Hz, but responsivities to blue-yellow modulations decrease significantly. In ventral occipital cortex (VO), all colors elicit strong responses, and, for each color, low temporal frequency modulations are more effective than high temporal frequency modulations. Hence, VO represents the full range of color information but does not respond well to rapid modulations. Conversely, in human motion-selective cortex (MT+) and V3A, blue-yellow modulations elicit very weak responses, whereas luminance and red-green high temporal frequency modulations are equally or more effective than low temporal frequency modulations. Hence, these dorsal occipital regions respond well to rapid modulations, but not all color information is represented. Similar to human motion perception, MT+ and V3A respond powerfully to all temporal frequencies but only to some colors. Similar to human color perception, VO responds powerfully to all colors but only to relatively low temporal frequencies.","DOI":"10.1523/JNEUROSCI.4206-04.2005","ISSN":"1529-2401","note":"PMID: 15800201","journalAbbreviation":"J. Neurosci.","language":"eng","author":[{"family":"Liu","given":"Junjie"},{"family":"Wandell","given":"Brian A."}],"issued":{"date-parts":[["2005",3,30]]}}},{"id":121,"uris":["http://zotero.org/groups/318634/items/NGXDLKZ6"],"uri":["http://zotero.org/groups/318634/items/NGXDLKZ6"],"itemData":{"id":121,"type":"article-journal","title":"The selectivity of responses to red-green colour and achromatic contrast in the human visual cortex: an fMRI adaptation study","container-title":"The European Journal of Neuroscience","page":"2923-2933","volume":"42","issue":"11","source":"PubMed","abstract":"There is controversy as to how responses to colour in the human brain are organized within the visual pathways. A key issue is whether there are modular pathways that respond selectively to colour or whether there are common neural substrates for both colour and achromatic (Ach) contrast. We used functional magnetic resonance imaging (fMRI) adaptation to investigate the responses of early and extrastriate visual areas to colour and Ach contrast. High-contrast red-green (RG) and Ach sinewave rings (0.5 cycles/degree, 2 Hz) were used as both adapting stimuli and test stimuli in a block design. We found robust adaptation to RG or Ach contrast in all visual areas. Cross-adaptation between RG and Ach contrast occurred in all areas indicating the presence of integrated, colour and Ach responses. Notably, we revealed contrasting trends for the two test stimuli. For the RG test, unselective processing (robust adaptation to both RG and Ach contrast) was most evident in the early visual areas (V1 and V2), but selective responses, revealed as greater adaptation between the same stimuli than cross-adaptation between different stimuli, emerged in the ventral cortex, in V4 and VO in particular. For the Ach test, unselective responses were again most evident in early visual areas but Ach selectivity emerged in the dorsal cortex (V3a and hMT+). Our findings support a strong presence of integrated mechanisms for colour and Ach contrast across the visual hierarchy, with a progression towards selective processing in extrastriate visual areas.","DOI":"10.1111/ejn.13090","ISSN":"1460-9568","note":"PMID: 26414774\nPMCID: PMC4738417","title-short":"The selectivity of responses to red-green colour and achromatic contrast in the human visual cortex","journalAbbreviation":"Eur. J. Neurosci.","language":"eng","author":[{"family":"Mullen","given":"Kathy T."},{"family":"Chang","given":"Dorita H. F."},{"family":"Hess","given":"Robert F."}],"issued":{"date-parts":[["2015",12]]}}},{"id":289,"uris":["http://zotero.org/groups/318634/items/QSDMITNB"],"uri":["http://zotero.org/groups/318634/items/QSDMITNB"],"itemData":{"id":289,"type":"article-journal","title":"Differential attentional modulation of cortical responses to S-cone and luminance stimuli","container-title":"Journal of Vision","page":"1-15","volume":"11","issue":"6","abstract":"Neural signals driven by short-wave-sensitive (S) cones are, to a large degree, anatomically and functionally separate from the achromatic luminance pathway until at least one synapse into V1. Attentional mechanisms that act at an anatomically early stage in V1 may, therefore, affect S-cone and luminance signals differently. Here, we used a steady-state visually evoked potential (SSVEP) paradigm combined with electrical source imaging to study the effects of contrast and attention on neural responses to both chromatic S-cone isolating and achromatic stimuli in five human visual areas including V1. The responses to these gratings were affected very differently by changes in contrast and attention. Increasing cone contrast increased the response amplitude for both types of stimulus. For the S-cone-defined stimuli, we also observed a systematic decrease in the response phase of the first harmonic with increasing stimulus contrast, but there was no corresponding change in phase for the first harmonic of the luminance probes. Attending to the contrast of the grating increased the amplitude and phase of luminance-driven responses but had no effect on S-cone-driven responses. We conclude that while attentional modulation can be observed in achromatic pathways as early as V1, attention may not affect SSVEP signals generated by S-cone stimuli.","DOI":"10.1167/11.6.1","ISSN":"1534-7362 (Electronic) 1534-7362 (Linking)","language":"eng","author":[{"family":"Wang","given":"J"},{"family":"Wade","given":"A R"}],"issued":{"date-parts":[["2011"]]}}}],"schema":"https://github.com/citation-style-language/schema/raw/master/csl-citation.json"} </w:instrText>
      </w:r>
      <w:r w:rsidRPr="00225AB0">
        <w:rPr>
          <w:rFonts w:ascii="Arial" w:hAnsi="Arial" w:cs="Arial"/>
        </w:rPr>
        <w:fldChar w:fldCharType="separate"/>
      </w:r>
      <w:r w:rsidRPr="00225AB0">
        <w:rPr>
          <w:rFonts w:ascii="Arial" w:hAnsi="Arial" w:cs="Arial"/>
          <w:noProof/>
        </w:rPr>
        <w:t>(e.g. Liu &amp; Wandell, 2005; Mullen, Chang, &amp; Hess, 2015; Wang &amp; Wade, 2011)</w:t>
      </w:r>
      <w:r w:rsidRPr="00225AB0">
        <w:rPr>
          <w:rFonts w:ascii="Arial" w:hAnsi="Arial" w:cs="Arial"/>
        </w:rPr>
        <w:fldChar w:fldCharType="end"/>
      </w:r>
      <w:r w:rsidRPr="00225AB0">
        <w:rPr>
          <w:rFonts w:ascii="Arial" w:hAnsi="Arial" w:cs="Arial"/>
        </w:rPr>
        <w:t xml:space="preserve">. At the multivariate level however, we identify significant differences in voxel-level patterns of attentional modulation across all three stimulus chromaticities in almost all visual ROIs. Again, these differences do not appear to be driven by underlying coarse-scale organisations of chromatic information </w:t>
      </w:r>
      <w:r w:rsidR="00D44AC6">
        <w:rPr>
          <w:rFonts w:ascii="Arial" w:hAnsi="Arial" w:cs="Arial"/>
        </w:rPr>
        <w:t>in</w:t>
      </w:r>
      <w:r w:rsidRPr="00225AB0">
        <w:rPr>
          <w:rFonts w:ascii="Arial" w:hAnsi="Arial" w:cs="Arial"/>
        </w:rPr>
        <w:t xml:space="preserve"> the visual cortex. Finally, we clearly replicate our previous findings demonstrating significantly greater connectivity between visual ROIs during passive viewing versus directed attention in all three of our stimulus chromaticity conditions. This demonstrates the robust nature of our ‘visual default-mode’ effect and provides clear evidence of differential effects of attentional modulation in response to the attended chromaticity of the stimulus. </w:t>
      </w:r>
    </w:p>
    <w:p w14:paraId="6F53E304" w14:textId="77777777" w:rsidR="0060072E" w:rsidRPr="00225AB0" w:rsidRDefault="0060072E" w:rsidP="0060072E">
      <w:pPr>
        <w:spacing w:line="480" w:lineRule="auto"/>
        <w:rPr>
          <w:rFonts w:ascii="Arial" w:hAnsi="Arial" w:cs="Arial"/>
        </w:rPr>
      </w:pPr>
    </w:p>
    <w:p w14:paraId="00390FE9" w14:textId="5960C46C" w:rsidR="0060072E" w:rsidRPr="00225AB0" w:rsidRDefault="0060072E" w:rsidP="0060072E">
      <w:pPr>
        <w:spacing w:line="480" w:lineRule="auto"/>
        <w:rPr>
          <w:rFonts w:ascii="Arial" w:hAnsi="Arial" w:cs="Arial"/>
        </w:rPr>
      </w:pPr>
      <w:r w:rsidRPr="00225AB0">
        <w:rPr>
          <w:rFonts w:ascii="Arial" w:hAnsi="Arial" w:cs="Arial"/>
        </w:rPr>
        <w:t xml:space="preserve">Finally, </w:t>
      </w:r>
      <w:r w:rsidR="00282194">
        <w:rPr>
          <w:rFonts w:ascii="Arial" w:hAnsi="Arial" w:cs="Arial"/>
        </w:rPr>
        <w:t>in</w:t>
      </w:r>
      <w:r w:rsidR="00282194" w:rsidRPr="00225AB0">
        <w:rPr>
          <w:rFonts w:ascii="Arial" w:hAnsi="Arial" w:cs="Arial"/>
        </w:rPr>
        <w:t xml:space="preserve"> </w:t>
      </w:r>
      <w:r w:rsidRPr="00225AB0">
        <w:rPr>
          <w:rFonts w:ascii="Arial" w:hAnsi="Arial" w:cs="Arial"/>
        </w:rPr>
        <w:t xml:space="preserve">our fourth experiment, we used a relatively naturalistic, dynamic and uncontrolled visual stimulus to assess the extent our findings with low-level controlled stimuli generalised to a more real-world visual environment. Our fMRI analyses demonstrated that the vast majority of differences in feature-specific attentional modulation we identified at the univariate level were driven by reduced BOLD signal modulation during attention to faces in low-level visual areas. We also identified relatively little evidence of differential attentional modulation at the univariate level when we examined attentional modulation to relatively fine-grain dimensions with a stimulus category (e.g. vertical, horizontal and diagonal orientations). </w:t>
      </w:r>
    </w:p>
    <w:p w14:paraId="28241013" w14:textId="77777777" w:rsidR="0060072E" w:rsidRPr="00225AB0" w:rsidRDefault="0060072E" w:rsidP="0060072E">
      <w:pPr>
        <w:spacing w:line="480" w:lineRule="auto"/>
        <w:rPr>
          <w:rFonts w:ascii="Arial" w:hAnsi="Arial" w:cs="Arial"/>
        </w:rPr>
      </w:pPr>
    </w:p>
    <w:p w14:paraId="0A8965C0" w14:textId="77777777" w:rsidR="0060072E" w:rsidRPr="00225AB0" w:rsidRDefault="0060072E" w:rsidP="0060072E">
      <w:pPr>
        <w:spacing w:line="480" w:lineRule="auto"/>
        <w:rPr>
          <w:rFonts w:ascii="Arial" w:hAnsi="Arial" w:cs="Arial"/>
        </w:rPr>
      </w:pPr>
      <w:r w:rsidRPr="00225AB0">
        <w:rPr>
          <w:rFonts w:ascii="Arial" w:hAnsi="Arial" w:cs="Arial"/>
        </w:rPr>
        <w:lastRenderedPageBreak/>
        <w:t xml:space="preserve">In contrast with our previous two fMRI experiments, at the multivariate level, any successful classification of voxel-level patterns of attentional modulation were predominantly driven by comparison with attention to faces. When excluding activation associated with attention to faces, we identified almost no multivariate differences in patterns of attentional modulation across voxels in any visual area for both the overarching stimulus category (e.g. orientation versus shape) or fine-grain (e.g. vertical versus horizontal comparisons). We believe this difference in reflective of the unconstrained nature of this naturalistic experiment and the dynamic and uncontrolled nature of the stimulus. </w:t>
      </w:r>
    </w:p>
    <w:p w14:paraId="54112521" w14:textId="77777777" w:rsidR="0060072E" w:rsidRPr="00225AB0" w:rsidRDefault="0060072E" w:rsidP="0060072E">
      <w:pPr>
        <w:spacing w:line="480" w:lineRule="auto"/>
        <w:rPr>
          <w:rFonts w:ascii="Arial" w:hAnsi="Arial" w:cs="Arial"/>
        </w:rPr>
      </w:pPr>
    </w:p>
    <w:p w14:paraId="30CA4D8A" w14:textId="08E06185" w:rsidR="0060072E" w:rsidRPr="00225AB0" w:rsidRDefault="0060072E" w:rsidP="0060072E">
      <w:pPr>
        <w:spacing w:line="480" w:lineRule="auto"/>
        <w:rPr>
          <w:rFonts w:ascii="Arial" w:hAnsi="Arial" w:cs="Arial"/>
        </w:rPr>
      </w:pPr>
      <w:r w:rsidRPr="00225AB0">
        <w:rPr>
          <w:rFonts w:ascii="Arial" w:hAnsi="Arial" w:cs="Arial"/>
        </w:rPr>
        <w:t xml:space="preserve">Finally, we again identified clear evidence of significantly greater positive correlation between ROIs during passive viewing that directed attention towards low-level stimulus features. We also identified a similar pattern of positive connectivity between ROIs during attention to </w:t>
      </w:r>
      <w:r w:rsidR="00CB265E">
        <w:rPr>
          <w:rFonts w:ascii="Arial" w:hAnsi="Arial" w:cs="Arial"/>
        </w:rPr>
        <w:t>faces</w:t>
      </w:r>
      <w:r w:rsidRPr="00225AB0">
        <w:rPr>
          <w:rFonts w:ascii="Arial" w:hAnsi="Arial" w:cs="Arial"/>
        </w:rPr>
        <w:t>, which we believe is a reflection of a task design; it is likely during passive viewing participants</w:t>
      </w:r>
      <w:r w:rsidR="00331B19">
        <w:rPr>
          <w:rFonts w:ascii="Arial" w:hAnsi="Arial" w:cs="Arial"/>
        </w:rPr>
        <w:t>’</w:t>
      </w:r>
      <w:r w:rsidRPr="00225AB0">
        <w:rPr>
          <w:rFonts w:ascii="Arial" w:hAnsi="Arial" w:cs="Arial"/>
        </w:rPr>
        <w:t xml:space="preserve"> attention was drawn to the inherently salient face stimuli </w:t>
      </w:r>
      <w:r w:rsidR="00D44AC6">
        <w:rPr>
          <w:rFonts w:ascii="Arial" w:hAnsi="Arial" w:cs="Arial"/>
        </w:rPr>
        <w:t>in</w:t>
      </w:r>
      <w:r w:rsidRPr="00225AB0">
        <w:rPr>
          <w:rFonts w:ascii="Arial" w:hAnsi="Arial" w:cs="Arial"/>
        </w:rPr>
        <w:t xml:space="preserve"> the movie. We also identify significant differences in patterns of connectivity between the fine-grain stimulus dimensions, and these patterns differed to some extent as a function of the ROI partial correlations examined. Hence, even when using an uncontrolled, dynamic, rich visual stimulus, we were still able to detect differential patterns of attentional modulation when examining patterns of connectivity at the fine-grain within-feature level. </w:t>
      </w:r>
    </w:p>
    <w:p w14:paraId="5C0D65D9" w14:textId="12B03575" w:rsidR="0060072E" w:rsidRDefault="0060072E" w:rsidP="0060072E">
      <w:pPr>
        <w:spacing w:line="480" w:lineRule="auto"/>
        <w:rPr>
          <w:rFonts w:ascii="Arial" w:hAnsi="Arial" w:cs="Arial"/>
        </w:rPr>
      </w:pPr>
    </w:p>
    <w:p w14:paraId="0CFF9556" w14:textId="77777777" w:rsidR="00AE6937" w:rsidRPr="00225AB0" w:rsidRDefault="00AE6937" w:rsidP="0060072E">
      <w:pPr>
        <w:spacing w:line="480" w:lineRule="auto"/>
        <w:rPr>
          <w:rFonts w:ascii="Arial" w:hAnsi="Arial" w:cs="Arial"/>
        </w:rPr>
      </w:pPr>
    </w:p>
    <w:p w14:paraId="090910F3" w14:textId="77777777" w:rsidR="0060072E" w:rsidRDefault="0060072E" w:rsidP="00F771D6">
      <w:pPr>
        <w:pStyle w:val="Heading2"/>
        <w:rPr>
          <w:rFonts w:ascii="Arial" w:hAnsi="Arial" w:cs="Arial"/>
          <w:b/>
          <w:color w:val="000000" w:themeColor="text1"/>
          <w:sz w:val="28"/>
          <w:szCs w:val="28"/>
        </w:rPr>
      </w:pPr>
      <w:bookmarkStart w:id="888" w:name="_Toc11148061"/>
      <w:bookmarkStart w:id="889" w:name="_Toc11154012"/>
      <w:bookmarkStart w:id="890" w:name="_Toc11753691"/>
      <w:bookmarkStart w:id="891" w:name="_Toc11926877"/>
      <w:bookmarkStart w:id="892" w:name="_Toc11930145"/>
      <w:bookmarkStart w:id="893" w:name="_Toc16075461"/>
      <w:bookmarkStart w:id="894" w:name="_Toc16237049"/>
      <w:r w:rsidRPr="00F771D6">
        <w:rPr>
          <w:rFonts w:ascii="Arial" w:hAnsi="Arial" w:cs="Arial"/>
          <w:b/>
          <w:color w:val="000000" w:themeColor="text1"/>
          <w:sz w:val="28"/>
          <w:szCs w:val="28"/>
        </w:rPr>
        <w:lastRenderedPageBreak/>
        <w:t>7.2 Future work</w:t>
      </w:r>
      <w:bookmarkEnd w:id="888"/>
      <w:bookmarkEnd w:id="889"/>
      <w:bookmarkEnd w:id="890"/>
      <w:bookmarkEnd w:id="891"/>
      <w:bookmarkEnd w:id="892"/>
      <w:bookmarkEnd w:id="893"/>
      <w:bookmarkEnd w:id="894"/>
    </w:p>
    <w:p w14:paraId="3BDBE8F5" w14:textId="77777777" w:rsidR="00F771D6" w:rsidRPr="00F771D6" w:rsidRDefault="00F771D6" w:rsidP="00F771D6"/>
    <w:p w14:paraId="7E84DF0F" w14:textId="7493D708" w:rsidR="0043574A" w:rsidRDefault="0060072E" w:rsidP="0060072E">
      <w:pPr>
        <w:spacing w:line="480" w:lineRule="auto"/>
        <w:rPr>
          <w:rFonts w:ascii="Arial" w:hAnsi="Arial" w:cs="Arial"/>
        </w:rPr>
      </w:pPr>
      <w:r w:rsidRPr="00225AB0">
        <w:rPr>
          <w:rFonts w:ascii="Arial" w:hAnsi="Arial" w:cs="Arial"/>
        </w:rPr>
        <w:t>Our investigation into signatures of featural attention across the visual cortex suggest</w:t>
      </w:r>
      <w:r w:rsidR="003A1754">
        <w:rPr>
          <w:rFonts w:ascii="Arial" w:hAnsi="Arial" w:cs="Arial"/>
        </w:rPr>
        <w:t xml:space="preserve">s </w:t>
      </w:r>
      <w:r w:rsidR="00282194">
        <w:rPr>
          <w:rFonts w:ascii="Arial" w:hAnsi="Arial" w:cs="Arial"/>
        </w:rPr>
        <w:t xml:space="preserve">many directions </w:t>
      </w:r>
      <w:r w:rsidRPr="00225AB0">
        <w:rPr>
          <w:rFonts w:ascii="Arial" w:hAnsi="Arial" w:cs="Arial"/>
        </w:rPr>
        <w:t xml:space="preserve">for future research. For example, our connectivity analysis </w:t>
      </w:r>
      <w:r w:rsidR="00282194">
        <w:rPr>
          <w:rFonts w:ascii="Arial" w:hAnsi="Arial" w:cs="Arial"/>
        </w:rPr>
        <w:t>identifies</w:t>
      </w:r>
      <w:r w:rsidRPr="00225AB0">
        <w:rPr>
          <w:rFonts w:ascii="Arial" w:hAnsi="Arial" w:cs="Arial"/>
        </w:rPr>
        <w:t xml:space="preserve"> patterns of communication between ROIs </w:t>
      </w:r>
      <w:r w:rsidR="00282194">
        <w:rPr>
          <w:rFonts w:ascii="Arial" w:hAnsi="Arial" w:cs="Arial"/>
        </w:rPr>
        <w:t xml:space="preserve">that differ </w:t>
      </w:r>
      <w:r w:rsidRPr="00225AB0">
        <w:rPr>
          <w:rFonts w:ascii="Arial" w:hAnsi="Arial" w:cs="Arial"/>
        </w:rPr>
        <w:t>as a function of the attentional task. We have also revealed that particular ROIs decorrelate</w:t>
      </w:r>
      <w:r w:rsidR="00282194">
        <w:rPr>
          <w:rFonts w:ascii="Arial" w:hAnsi="Arial" w:cs="Arial"/>
        </w:rPr>
        <w:t xml:space="preserve"> or disengage</w:t>
      </w:r>
      <w:r w:rsidRPr="00225AB0">
        <w:rPr>
          <w:rFonts w:ascii="Arial" w:hAnsi="Arial" w:cs="Arial"/>
        </w:rPr>
        <w:t xml:space="preserve"> from our ‘visual default mode’ passive, highly correlated network when attention is directed towards a specific visual feature. Given </w:t>
      </w:r>
      <w:r w:rsidR="00282194">
        <w:rPr>
          <w:rFonts w:ascii="Arial" w:hAnsi="Arial" w:cs="Arial"/>
        </w:rPr>
        <w:t xml:space="preserve">the fact that </w:t>
      </w:r>
      <w:r w:rsidRPr="00225AB0">
        <w:rPr>
          <w:rFonts w:ascii="Arial" w:hAnsi="Arial" w:cs="Arial"/>
        </w:rPr>
        <w:t xml:space="preserve">previous research has demonstrated positive effects associated with an ability to efficiently shift between different patterns of connectivity (i.e. the shift from passive, default-mode to task-focused networks) </w:t>
      </w:r>
      <w:r w:rsidRPr="00225AB0">
        <w:rPr>
          <w:rFonts w:ascii="Arial" w:hAnsi="Arial" w:cs="Arial"/>
        </w:rPr>
        <w:fldChar w:fldCharType="begin"/>
      </w:r>
      <w:r w:rsidR="005B4361">
        <w:rPr>
          <w:rFonts w:ascii="Arial" w:hAnsi="Arial" w:cs="Arial"/>
        </w:rPr>
        <w:instrText xml:space="preserve"> ADDIN ZOTERO_ITEM CSL_CITATION {"citationID":"R5O8ovHV","properties":{"formattedCitation":"(Dajani &amp; Uddin, 2015; Li et al., 2017; Reineberg, Gustavson, Benca, Banich, &amp; Friedman, 2018; Vatansever, Manktelow, Sahakian, Menon, &amp; Stamatakis, 2016)","plainCitation":"(Dajani &amp; Uddin, 2015; Li et al., 2017; Reineberg, Gustavson, Benca, Banich, &amp; Friedman, 2018; Vatansever, Manktelow, Sahakian, Menon, &amp; Stamatakis, 2016)","dontUpdate":true,"noteIndex":0},"citationItems":[{"id":272,"uris":["http://zotero.org/groups/318634/items/9SGVIVLV"],"uri":["http://zotero.org/groups/318634/items/9SGVIVLV"],"itemData":{"id":272,"type":"article-journal","title":"Demystifying cognitive flexibility: Implications for clinical and developmental neuroscience","container-title":"Trends in Neurosciences","page":"571-578","volume":"38","issue":"9","source":"PubMed","abstract":"Cognitive flexibility, the readiness with which one can selectively switch between mental processes to generate appropriate behavioral responses, develops in a protracted manner and is compromised in several prevalent neurodevelopmental disorders. It is unclear whether cognitive flexibility arises from neural substrates distinct from the executive control network (ECN) or from the interplay of nodes within this and other networks. Here we review neuroimaging studies of cognitive flexibility, focusing on set shifting and task switching. We propose that more consistent operationalization and study of cognitive flexibility is required in clinical and developmental neuroscience. We suggest that an important avenue for future research is the characterization of the relationship between neural flexibility and cognitive flexibility in typical and atypical development.","DOI":"10.1016/j.tins.2015.07.003","ISSN":"1878-108X","note":"PMID: 26343956\nPMCID: PMC5414037","title-short":"Demystifying cognitive flexibility","journalAbbreviation":"Trends Neurosci.","language":"eng","author":[{"family":"Dajani","given":"Dina R."},{"family":"Uddin","given":"Lucina Q."}],"issued":{"date-parts":[["2015",9]]}}},{"id":249,"uris":["http://zotero.org/groups/318634/items/L9XI39ZI"],"uri":["http://zotero.org/groups/318634/items/L9XI39ZI"],"itemData":{"id":249,"type":"article-journal","title":"High transition frequencies of dynamic functional connectivity states in the creative brain","container-title":"Scientific Reports","page":"46072","volume":"7","source":"PubMed","abstract":"Creativity is thought to require the flexible reconfiguration of multiple brain regions that interact in transient and complex communication patterns. In contrast to prior emphases on searching for specific regions or networks associated with creative performance, we focused on exploring the association between the reconfiguration of dynamic functional connectivity states and creative ability. We hypothesized that a high frequency of dynamic functional connectivity state transitions will be associated with creative ability. To test this hypothesis, we recruited a high-creative group (HCG) and a low-creative group (LCG) of participants and collected resting-state fMRI (R-fMRI) data and Torrance Tests of Creative Thinking (TTCT) scores from each participant. By combining an independent component analysis with a dynamic network analysis approach, we discovered the HCG had more frequent transitions between dynamic functional connectivity (dFC) states than the LCG. Moreover, a confirmatory analysis using multiplication of temporal derivatives also indicated that there were more frequent dFC state transitions in the HCG. Taken together, these results provided empirical evidence for a linkage between the flexible reconfiguration of dynamic functional connectivity states and creative ability. These findings have the potential to provide new insights into the neural basis of creativity.","DOI":"10.1038/srep46072","ISSN":"2045-2322","note":"PMID: 28383052\nPMCID: PMC5382673","journalAbbreviation":"Sci Rep","language":"eng","author":[{"family":"Li","given":"Junchao"},{"family":"Zhang","given":"Delong"},{"family":"Liang","given":"Aiying"},{"family":"Liang","given":"Bishan"},{"family":"Wang","given":"Zengjian"},{"family":"Cai","given":"Yuxuan"},{"family":"Gao","given":"Mengxia"},{"family":"Gao","given":"Zhenni"},{"family":"Chang","given":"Song"},{"family":"Jiao","given":"Bingqing"},{"family":"Huang","given":"Ruiwang"},{"family":"Liu","given":"Ming"}],"issued":{"date-parts":[["2017"]],"season":"06"}}},{"id":221,"uris":["http://zotero.org/groups/318634/items/482K87P4"],"uri":["http://zotero.org/groups/318634/items/482K87P4"],"itemData":{"id":221,"type":"article-journal","title":"The Relationship Between Resting State Network Connectivity and Individual Differences in Executive Functions","container-title":"Frontiers in Psychology","page":"1600","volume":"9","source":"PubMed","abstract":"The brain is organized into a number of large networks based on shared function, for example, high-level cognitive functions (frontoparietal network), attentional capabilities (dorsal and ventral attention networks), and internal mentation (default network). The correlations of these networks during resting-state fMRI scans varies across individuals and is an indicator of individual differences in ability. Prior work shows higher cognitive functioning (as measured by working memory and attention tasks) is associated with stronger negative correlations between frontoparietal/attention and default networks, suggesting that increased ability may depend upon the diverging activation of networks with contrasting function. However, these prior studies lack specificity with regard to the higher-level cognitive functions involved, particularly with regards to separable components of executive function (EF). Here we decompose EF into three factors from the unity/diversity model of EFs: Common EF, Shifting-specific EF, and Updating-specific EF, measuring each via factor scores derived from a battery of behavioral tasks completed by 250 adult participants (age 28) at the time of a resting-state scan. We found the hypothesized segregated pattern only for Shifting-specific EF. Specifically, after accounting for one's general EF ability (Common EF), individuals better able to fluidly switch between task sets have a stronger negative correlation between the ventral attention network and the default network. We also report non-predicted novel findings in that individuals with higher Shifting-specific abilities exhibited more positive connectivity between frontoparietal and visual networks, while those individuals with higher Common EF exhibited increased connectivity between sensory and default networks. Overall, these results reveal a new degree of specificity with regard to connectivity/EF relationships.","DOI":"10.3389/fpsyg.2018.01600","ISSN":"1664-1078","note":"PMID: 30233455\nPMCID: PMC6134071","journalAbbreviation":"Front Psychol","language":"eng","author":[{"family":"Reineberg","given":"Andrew E."},{"family":"Gustavson","given":"Daniel E."},{"family":"Benca","given":"Chelsie"},{"family":"Banich","given":"Marie T."},{"family":"Friedman","given":"Naomi P."}],"issued":{"date-parts":[["2018"]]}}},{"id":215,"uris":["http://zotero.org/groups/318634/items/K48VSQMZ"],"uri":["http://zotero.org/groups/318634/items/K48VSQMZ"],"itemData":{"id":215,"type":"article-journal","title":"Cognitive Flexibility: A Default Network and Basal Ganglia Connectivity Perspective","container-title":"Brain Connectivity","page":"201-207","volume":"6","issue":"3","source":"PubMed","abstract":"The intra/extradimensional set-shifting task (IED) provides a reliable assessment of cognitive flexibility, the shifting of attention to select behaviorally relevant stimuli in a given context. Impairments in this domain were previously reported in patients with altered neurotransmitter systems such as schizophrenia and Parkinson's disease. Consequently, corticostriatal connections were implicated in the mediation of this function. In addition, parts of the default mode network (DMN), namely the medial prefrontal and posterior cingulate/precuneus cortices, are also being progressively described in association with set-shifting paradigms. Nevertheless, a definitive link between cognitive flexibility and DMN connectivity remains to be established. To this end, we related resting state functional magnetic resonance imaging (fMRI)-based functional connectivity of DMN with IED task performance in a healthy population, measured outside the scanner. The results demonstrated that greater posterior cingulate cortex/precuneus (DMN) connectivity with the ventromedial striatopallidum at rest correlated with fewer total adjusted errors on the IED task. This finding points to a relationship between DMN and basal ganglia connectivity for cognitive flexibility, further highlighting this network's potential role in adaptive human cognition.","DOI":"10.1089/brain.2015.0388","ISSN":"2158-0022","note":"PMID: 26652748\nPMCID: PMC5118962","title-short":"Cognitive Flexibility","journalAbbreviation":"Brain Connect","language":"eng","author":[{"family":"Vatansever","given":"Deniz"},{"family":"Manktelow","given":"Anne E."},{"family":"Sahakian","given":"Barbara J."},{"family":"Menon","given":"David K."},{"family":"Stamatakis","given":"Emmanuel A."}],"issued":{"date-parts":[["2016",4]]}}}],"schema":"https://github.com/citation-style-language/schema/raw/master/csl-citation.json"} </w:instrText>
      </w:r>
      <w:r w:rsidRPr="00225AB0">
        <w:rPr>
          <w:rFonts w:ascii="Arial" w:hAnsi="Arial" w:cs="Arial"/>
        </w:rPr>
        <w:fldChar w:fldCharType="separate"/>
      </w:r>
      <w:r w:rsidRPr="00225AB0">
        <w:rPr>
          <w:rFonts w:ascii="Arial" w:hAnsi="Arial" w:cs="Arial"/>
          <w:noProof/>
        </w:rPr>
        <w:t>(e.g. Dajani &amp; Uddin, 2015; Li et al., 2017; Reineberg, Gustavson, Benca, Banich, &amp; Friedman, 2018; Vatansever, Manktelow, Sahakian, Menon, &amp; Stamatakis, 2016)</w:t>
      </w:r>
      <w:r w:rsidRPr="00225AB0">
        <w:rPr>
          <w:rFonts w:ascii="Arial" w:hAnsi="Arial" w:cs="Arial"/>
        </w:rPr>
        <w:fldChar w:fldCharType="end"/>
      </w:r>
      <w:r w:rsidR="00282194">
        <w:rPr>
          <w:rFonts w:ascii="Arial" w:hAnsi="Arial" w:cs="Arial"/>
        </w:rPr>
        <w:t>, f</w:t>
      </w:r>
      <w:r w:rsidRPr="00225AB0">
        <w:rPr>
          <w:rFonts w:ascii="Arial" w:hAnsi="Arial" w:cs="Arial"/>
        </w:rPr>
        <w:t>uture work should seek to investigate whether the changing patterns of connectivity across ROIs as a function of attentional task demonstrated here can predict individual participants</w:t>
      </w:r>
      <w:r w:rsidR="00331B19">
        <w:rPr>
          <w:rFonts w:ascii="Arial" w:hAnsi="Arial" w:cs="Arial"/>
        </w:rPr>
        <w:t>’</w:t>
      </w:r>
      <w:r w:rsidRPr="00225AB0">
        <w:rPr>
          <w:rFonts w:ascii="Arial" w:hAnsi="Arial" w:cs="Arial"/>
        </w:rPr>
        <w:t xml:space="preserve"> abilities on particular visual tasks. For example, perhaps participants who demonstrate a bigger shift in patterns of connectivity between passive viewing and attention to orientation, may have better performance on an orientation discrimination task for example. </w:t>
      </w:r>
    </w:p>
    <w:p w14:paraId="4A6E3D68" w14:textId="77777777" w:rsidR="0043574A" w:rsidRDefault="0043574A" w:rsidP="0043574A">
      <w:pPr>
        <w:spacing w:line="480" w:lineRule="auto"/>
        <w:rPr>
          <w:rFonts w:ascii="Arial" w:hAnsi="Arial" w:cs="Arial"/>
        </w:rPr>
      </w:pPr>
    </w:p>
    <w:p w14:paraId="02369B79" w14:textId="4E2A929B" w:rsidR="0043574A" w:rsidRPr="001574C8" w:rsidRDefault="0043574A" w:rsidP="0043574A">
      <w:pPr>
        <w:spacing w:line="480" w:lineRule="auto"/>
        <w:rPr>
          <w:rFonts w:ascii="Arial" w:hAnsi="Arial" w:cs="Arial"/>
        </w:rPr>
      </w:pPr>
      <w:r w:rsidRPr="001574C8">
        <w:rPr>
          <w:rFonts w:ascii="Arial" w:hAnsi="Arial" w:cs="Arial"/>
        </w:rPr>
        <w:t xml:space="preserve">Recent research by </w:t>
      </w:r>
      <w:r w:rsidRPr="001574C8">
        <w:rPr>
          <w:rFonts w:ascii="Arial" w:hAnsi="Arial" w:cs="Arial"/>
        </w:rPr>
        <w:fldChar w:fldCharType="begin"/>
      </w:r>
      <w:r w:rsidR="005B4361">
        <w:rPr>
          <w:rFonts w:ascii="Arial" w:hAnsi="Arial" w:cs="Arial"/>
        </w:rPr>
        <w:instrText xml:space="preserve"> ADDIN ZOTERO_ITEM CSL_CITATION {"citationID":"epjX7kHy","properties":{"formattedCitation":"(Semedo, Zandvakili, Machens, Yu, &amp; Kohn, 2019)","plainCitation":"(Semedo, Zandvakili, Machens, Yu, &amp; Kohn, 2019)","dontUpdate":true,"noteIndex":0},"citationItems":[{"id":112,"uris":["http://zotero.org/groups/318634/items/9HDSNI8I"],"uri":["http://zotero.org/groups/318634/items/9HDSNI8I"],"itemData":{"id":112,"type":"article-journal","title":"Cortical Areas Interact through a Communication Subspace","container-title":"Neuron","page":"249-259.e4","volume":"102","issue":"1","source":"PubMed","abstract":"Most brain functions involve interactions among multiple, distinct areas or nuclei. For instance, visual processing in primates requires the appropriate relaying of signals across many distinct cortical areas. Yet our understanding of how populations of neurons in interconnected brain areas communicate is in its infancy. Here we investigate how trial-to-trial fluctuations of population responses in primary visual cortex (V1) are related to simultaneously recorded population responses in area V2. Using dimensionality reduction methods, we find that V1-V2 interactions occur through a communication subspace: V2 fluctuations are related to a small subset of V1 population activity patterns, distinct from the largest fluctuations shared among neurons within V1. In contrast, interactions between subpopulations within V1 are less selective. We propose that the communication subspace may be a general, population-level mechanism by which activity can be selectively routed across brain areas.","DOI":"10.1016/j.neuron.2019.01.026","ISSN":"1097-4199","note":"PMID: 30770252\nPMCID: PMC6449210","journalAbbreviation":"Neuron","language":"eng","author":[{"family":"Semedo","given":"João D."},{"family":"Zandvakili","given":"Amin"},{"family":"Machens","given":"Christian K."},{"family":"Yu","given":"Byron M."},{"family":"Kohn","given":"Adam"}],"issued":{"date-parts":[["2019",4,3]]}}}],"schema":"https://github.com/citation-style-language/schema/raw/master/csl-citation.json"} </w:instrText>
      </w:r>
      <w:r w:rsidRPr="001574C8">
        <w:rPr>
          <w:rFonts w:ascii="Arial" w:hAnsi="Arial" w:cs="Arial"/>
        </w:rPr>
        <w:fldChar w:fldCharType="separate"/>
      </w:r>
      <w:r w:rsidRPr="001574C8">
        <w:rPr>
          <w:rFonts w:ascii="Arial" w:hAnsi="Arial" w:cs="Arial"/>
          <w:noProof/>
        </w:rPr>
        <w:t>Semedo, Zandvakili, Machens, Yu, &amp; Kohn, (2019)</w:t>
      </w:r>
      <w:r w:rsidRPr="001574C8">
        <w:rPr>
          <w:rFonts w:ascii="Arial" w:hAnsi="Arial" w:cs="Arial"/>
        </w:rPr>
        <w:fldChar w:fldCharType="end"/>
      </w:r>
      <w:r w:rsidRPr="001574C8">
        <w:rPr>
          <w:rFonts w:ascii="Arial" w:hAnsi="Arial" w:cs="Arial"/>
        </w:rPr>
        <w:t xml:space="preserve"> has identified a low-dimensional communication subspace, which characterises the activity patterns relayed between early visual areas (V1 and V2). Measuring firing rate distributions (at a single neuron level) </w:t>
      </w:r>
      <w:r w:rsidR="00D44AC6">
        <w:rPr>
          <w:rFonts w:ascii="Arial" w:hAnsi="Arial" w:cs="Arial"/>
        </w:rPr>
        <w:t>in</w:t>
      </w:r>
      <w:r w:rsidRPr="001574C8">
        <w:rPr>
          <w:rFonts w:ascii="Arial" w:hAnsi="Arial" w:cs="Arial"/>
        </w:rPr>
        <w:t xml:space="preserve"> both V1 and V2, these researchers were able to demonstrate fluctuations in V2 activity were related to a small subset of V1 neuronal activity patterns, and these </w:t>
      </w:r>
      <w:r w:rsidRPr="001574C8">
        <w:rPr>
          <w:rFonts w:ascii="Arial" w:hAnsi="Arial" w:cs="Arial"/>
        </w:rPr>
        <w:lastRenderedPageBreak/>
        <w:t xml:space="preserve">patterns were distinct from the largest fluctuations shared among neurons </w:t>
      </w:r>
      <w:r w:rsidR="00D44AC6">
        <w:rPr>
          <w:rFonts w:ascii="Arial" w:hAnsi="Arial" w:cs="Arial"/>
        </w:rPr>
        <w:t>in</w:t>
      </w:r>
      <w:r w:rsidRPr="001574C8">
        <w:rPr>
          <w:rFonts w:ascii="Arial" w:hAnsi="Arial" w:cs="Arial"/>
        </w:rPr>
        <w:t xml:space="preserve"> V1. This identification of important dimensions characterizing the types of communication between visual areas has interesting avenues for the study of attentional mechanisms. </w:t>
      </w:r>
    </w:p>
    <w:p w14:paraId="03F71886" w14:textId="77777777" w:rsidR="0043574A" w:rsidRPr="001574C8" w:rsidRDefault="0043574A" w:rsidP="0043574A">
      <w:pPr>
        <w:spacing w:line="480" w:lineRule="auto"/>
        <w:rPr>
          <w:rFonts w:ascii="Arial" w:hAnsi="Arial" w:cs="Arial"/>
        </w:rPr>
      </w:pPr>
    </w:p>
    <w:p w14:paraId="39747C90" w14:textId="0D7EE7EE" w:rsidR="0043574A" w:rsidRDefault="0043574A" w:rsidP="0043574A">
      <w:pPr>
        <w:spacing w:line="480" w:lineRule="auto"/>
        <w:rPr>
          <w:rFonts w:ascii="Arial" w:hAnsi="Arial" w:cs="Arial"/>
        </w:rPr>
      </w:pPr>
      <w:r w:rsidRPr="001574C8">
        <w:rPr>
          <w:rFonts w:ascii="Arial" w:hAnsi="Arial" w:cs="Arial"/>
        </w:rPr>
        <w:t xml:space="preserve">Previous research has identified changing patterns of communication between cortical areas as a function of attention. For example, </w:t>
      </w:r>
      <w:r w:rsidRPr="001574C8">
        <w:rPr>
          <w:rFonts w:ascii="Arial" w:hAnsi="Arial" w:cs="Arial"/>
        </w:rPr>
        <w:fldChar w:fldCharType="begin"/>
      </w:r>
      <w:r w:rsidR="00321AB9">
        <w:rPr>
          <w:rFonts w:ascii="Arial" w:hAnsi="Arial" w:cs="Arial"/>
        </w:rPr>
        <w:instrText xml:space="preserve"> ADDIN ZOTERO_ITEM CSL_CITATION {"citationID":"Yld6Edp3","properties":{"formattedCitation":"(Gregoriou, Gotts, Zhou, &amp; Desimone, 2009)","plainCitation":"(Gregoriou, Gotts, Zhou, &amp; Desimone, 2009)","dontUpdate":true,"noteIndex":0},"citationItems":[{"id":111,"uris":["http://zotero.org/groups/318634/items/VJYD87HM"],"uri":["http://zotero.org/groups/318634/items/VJYD87HM"],"itemData":{"id":111,"type":"article-journal","title":"High-frequency, long-range coupling between prefrontal and visual cortex during attention","container-title":"Science (New York, N.Y.)","page":"1207-1210","volume":"324","issue":"5931","source":"PubMed Central","abstract":"Electrical recordings in humans and monkeys show attentional enhancement of evoked responses and gamma synchrony in ventral stream cortical areas. Does this synchrony result from intrinsic activity in visual cortex or from inputs from other structures? Using paired-recordings in the frontal eye field (FEF) and area V4, we found that attention to a stimulus in their joint receptive field leads to enhanced oscillatory coupling between the two areas, particularly at gamma frequencies. This coupling appeared to be initiated by FEF and was time-shifted by about 8-13 ms across a range of frequencies. Considering the expected conduction and synaptic delays between the areas, this time-shifted coupling at gamma frequencies may optimize the postsynaptic impact of spikes from one area upon the other, improving cross-area communication with attention.","DOI":"10.1126/science.1171402","ISSN":"0036-8075","note":"PMID: 19478185\nPMCID: PMC2849291","journalAbbreviation":"Science","author":[{"family":"Gregoriou","given":"Georgia G."},{"family":"Gotts","given":"Stephen J."},{"family":"Zhou","given":"Huihui"},{"family":"Desimone","given":"Robert"}],"issued":{"date-parts":[["2009",5,29]]}}}],"schema":"https://github.com/citation-style-language/schema/raw/master/csl-citation.json"} </w:instrText>
      </w:r>
      <w:r w:rsidRPr="001574C8">
        <w:rPr>
          <w:rFonts w:ascii="Arial" w:hAnsi="Arial" w:cs="Arial"/>
        </w:rPr>
        <w:fldChar w:fldCharType="separate"/>
      </w:r>
      <w:r w:rsidRPr="001574C8">
        <w:rPr>
          <w:rFonts w:ascii="Arial" w:hAnsi="Arial" w:cs="Arial"/>
          <w:noProof/>
        </w:rPr>
        <w:t>Gregoriou, Gotts, Zhou, &amp; Desimone, (2009)</w:t>
      </w:r>
      <w:r w:rsidRPr="001574C8">
        <w:rPr>
          <w:rFonts w:ascii="Arial" w:hAnsi="Arial" w:cs="Arial"/>
        </w:rPr>
        <w:fldChar w:fldCharType="end"/>
      </w:r>
      <w:r w:rsidRPr="001574C8">
        <w:rPr>
          <w:rFonts w:ascii="Arial" w:hAnsi="Arial" w:cs="Arial"/>
        </w:rPr>
        <w:t xml:space="preserve">, demonstrated attention toward a stimulus </w:t>
      </w:r>
      <w:r w:rsidR="00D44AC6">
        <w:rPr>
          <w:rFonts w:ascii="Arial" w:hAnsi="Arial" w:cs="Arial"/>
        </w:rPr>
        <w:t>in</w:t>
      </w:r>
      <w:r w:rsidRPr="001574C8">
        <w:rPr>
          <w:rFonts w:ascii="Arial" w:hAnsi="Arial" w:cs="Arial"/>
        </w:rPr>
        <w:t xml:space="preserve"> the joint receptive fields of the frontal eye fields (FEF) and area V4 increased the oscillatory coupling between the two visual areas in monkeys. Additionally, </w:t>
      </w:r>
      <w:r w:rsidRPr="001574C8">
        <w:rPr>
          <w:rFonts w:ascii="Arial" w:hAnsi="Arial" w:cs="Arial"/>
        </w:rPr>
        <w:fldChar w:fldCharType="begin"/>
      </w:r>
      <w:r w:rsidR="005B4361">
        <w:rPr>
          <w:rFonts w:ascii="Arial" w:hAnsi="Arial" w:cs="Arial"/>
        </w:rPr>
        <w:instrText xml:space="preserve"> ADDIN ZOTERO_ITEM CSL_CITATION {"citationID":"JtQ26u7p","properties":{"formattedCitation":"(Oemisch, Westendorff, Everling, &amp; Womelsdorf, 2015)","plainCitation":"(Oemisch, Westendorff, Everling, &amp; Womelsdorf, 2015)","dontUpdate":true,"noteIndex":0},"citationItems":[{"id":110,"uris":["http://zotero.org/groups/318634/items/WCSATF8A"],"uri":["http://zotero.org/groups/318634/items/WCSATF8A"],"itemData":{"id":110,"type":"article-journal","title":"Interareal Spike-Train Correlations of Anterior Cingulate and Dorsal Prefrontal Cortex during Attention Shifts","container-title":"The Journal of Neuroscience: The Official Journal of the Society for Neuroscience","page":"13076-13089","volume":"35","issue":"38","source":"PubMed","abstract":"The anterior cingulate cortex (ACC) and prefrontal cortex (PFC) are believed to coactivate during goal-directed behavior to identify, select, and monitor relevant sensory information. Here, we tested whether coactivation of neurons across macaque ACC and PFC would be evident at the level of pairwise neuronal correlations during stimulus selection in a spatial attention task. We found that firing correlations emerged shortly after an attention cue, were evident for 50-200 ms time windows, were strongest for neuron pairs in area 24 (ACC) and areas 8 and 9 (dorsal PFC), and were independent of overall firing rate modulations. For a subset of cell pairs from ACC and dorsal PFC, the observed functional spike-train connectivity carried information about the direction of the attention shift. Reliable firing correlations were evident across area boundaries for neurons with broad spike waveforms (putative excitatory neurons) as well as for pairs of putative excitatory neurons and neurons with narrow spike waveforms (putative interneurons). These findings reveal that stimulus selection is accompanied by slow time scale firing correlations across those ACC/PFC subfields implicated to control and monitor attention. This functional coupling was informative about which stimulus was selected and thus indexed possibly the exchange of task-relevant information. We speculate that interareal, transient firing correlations reflect the transient coordination of larger, reciprocally interacting brain networks at a characteristic 50-200 ms time scale. Significance statement: Our manuscript identifies interareal spike-train correlations between primate anterior cingulate and dorsal prefrontal cortex during a period where attentional stimulus selection is likely controlled by these very same circuits. Interareal correlations emerged during the covert attention shift to one of two peripheral stimuli, proceeded on a slow 50-200 ms time scale, and occurred between putative pyramidal and putative interneurons. Spike-train correlations emerged particularly for cell pairs tuned to similar contralateral target locations, thus indexing the interareal coordination of attention-relevant information. These findings characterize a possible way by which prefrontal and anterior cingulate cortex circuits implement their control functions through coordinated firing when macaque monkeys select and monitor relevant stimuli for goal-directed behaviors.","DOI":"10.1523/JNEUROSCI.1262-15.2015","ISSN":"1529-2401","note":"PMID: 26400938","journalAbbreviation":"J. Neurosci.","language":"eng","author":[{"family":"Oemisch","given":"Mariann"},{"family":"Westendorff","given":"Stephanie"},{"family":"Everling","given":"Stefan"},{"family":"Womelsdorf","given":"Thilo"}],"issued":{"date-parts":[["2015",9,23]]}}}],"schema":"https://github.com/citation-style-language/schema/raw/master/csl-citation.json"} </w:instrText>
      </w:r>
      <w:r w:rsidRPr="001574C8">
        <w:rPr>
          <w:rFonts w:ascii="Arial" w:hAnsi="Arial" w:cs="Arial"/>
        </w:rPr>
        <w:fldChar w:fldCharType="separate"/>
      </w:r>
      <w:r w:rsidRPr="001574C8">
        <w:rPr>
          <w:rFonts w:ascii="Arial" w:hAnsi="Arial" w:cs="Arial"/>
          <w:noProof/>
        </w:rPr>
        <w:t>Oemisch, Westendorff, Everling, &amp; Womelsdorf, (2015)</w:t>
      </w:r>
      <w:r w:rsidRPr="001574C8">
        <w:rPr>
          <w:rFonts w:ascii="Arial" w:hAnsi="Arial" w:cs="Arial"/>
        </w:rPr>
        <w:fldChar w:fldCharType="end"/>
      </w:r>
      <w:r w:rsidRPr="001574C8">
        <w:rPr>
          <w:rFonts w:ascii="Arial" w:hAnsi="Arial" w:cs="Arial"/>
        </w:rPr>
        <w:t xml:space="preserve"> identified correlations in firing rate across a sustained time window after covert attention to one of two peripheral visual stimuli </w:t>
      </w:r>
      <w:r w:rsidR="00D44AC6">
        <w:rPr>
          <w:rFonts w:ascii="Arial" w:hAnsi="Arial" w:cs="Arial"/>
        </w:rPr>
        <w:t>in</w:t>
      </w:r>
      <w:r w:rsidRPr="001574C8">
        <w:rPr>
          <w:rFonts w:ascii="Arial" w:hAnsi="Arial" w:cs="Arial"/>
        </w:rPr>
        <w:t xml:space="preserve"> a subset of cell pairs from the anterior cingulate cortex (ACC) to dorsal prefrontal cortex (PFC), and these changing connectivity patterns between neurons carried information about the direction of attentional shift. </w:t>
      </w:r>
    </w:p>
    <w:p w14:paraId="7D4BA69F" w14:textId="5A4422F0" w:rsidR="003A1754" w:rsidRDefault="003A1754" w:rsidP="0043574A">
      <w:pPr>
        <w:spacing w:line="480" w:lineRule="auto"/>
        <w:rPr>
          <w:rFonts w:ascii="Arial" w:hAnsi="Arial" w:cs="Arial"/>
        </w:rPr>
      </w:pPr>
    </w:p>
    <w:p w14:paraId="02FD30BA" w14:textId="58943D66" w:rsidR="003A1754" w:rsidRPr="001574C8" w:rsidRDefault="003A1754" w:rsidP="0043574A">
      <w:pPr>
        <w:spacing w:line="480" w:lineRule="auto"/>
        <w:rPr>
          <w:rFonts w:ascii="Arial" w:hAnsi="Arial" w:cs="Arial"/>
        </w:rPr>
      </w:pPr>
      <w:r>
        <w:rPr>
          <w:rFonts w:ascii="Arial" w:hAnsi="Arial" w:cs="Arial"/>
        </w:rPr>
        <w:t xml:space="preserve">However, no research has attempted to use this technique of dimensionality reduction to investigate activity between visual areas as a function of attentional task. For example, the technique of reduced rank regression described by </w:t>
      </w:r>
      <w:r>
        <w:rPr>
          <w:rFonts w:ascii="Arial" w:hAnsi="Arial" w:cs="Arial"/>
        </w:rPr>
        <w:fldChar w:fldCharType="begin"/>
      </w:r>
      <w:r>
        <w:rPr>
          <w:rFonts w:ascii="Arial" w:hAnsi="Arial" w:cs="Arial"/>
        </w:rPr>
        <w:instrText xml:space="preserve"> ADDIN ZOTERO_ITEM CSL_CITATION {"citationID":"6S16KkNT","properties":{"formattedCitation":"(Semedo et al., 2019)","plainCitation":"(Semedo et al., 2019)","noteIndex":0},"citationItems":[{"id":112,"uris":["http://zotero.org/groups/318634/items/9HDSNI8I"],"uri":["http://zotero.org/groups/318634/items/9HDSNI8I"],"itemData":{"id":112,"type":"article-journal","title":"Cortical Areas Interact through a Communication Subspace","container-title":"Neuron","page":"249-259.e4","volume":"102","issue":"1","source":"PubMed","abstract":"Most brain functions involve interactions among multiple, distinct areas or nuclei. For instance, visual processing in primates requires the appropriate relaying of signals across many distinct cortical areas. Yet our understanding of how populations of neurons in interconnected brain areas communicate is in its infancy. Here we investigate how trial-to-trial fluctuations of population responses in primary visual cortex (V1) are related to simultaneously recorded population responses in area V2. Using dimensionality reduction methods, we find that V1-V2 interactions occur through a communication subspace: V2 fluctuations are related to a small subset of V1 population activity patterns, distinct from the largest fluctuations shared among neurons within V1. In contrast, interactions between subpopulations within V1 are less selective. We propose that the communication subspace may be a general, population-level mechanism by which activity can be selectively routed across brain areas.","DOI":"10.1016/j.neuron.2019.01.026","ISSN":"1097-4199","note":"PMID: 30770252\nPMCID: PMC6449210","journalAbbreviation":"Neuron","language":"eng","author":[{"family":"Semedo","given":"João D."},{"family":"Zandvakili","given":"Amin"},{"family":"Machens","given":"Christian K."},{"family":"Yu","given":"Byron M."},{"family":"Kohn","given":"Adam"}],"issued":{"date-parts":[["2019",4,3]]}}}],"schema":"https://github.com/citation-style-language/schema/raw/master/csl-citation.json"} </w:instrText>
      </w:r>
      <w:r>
        <w:rPr>
          <w:rFonts w:ascii="Arial" w:hAnsi="Arial" w:cs="Arial"/>
        </w:rPr>
        <w:fldChar w:fldCharType="separate"/>
      </w:r>
      <w:r>
        <w:rPr>
          <w:rFonts w:ascii="Arial" w:hAnsi="Arial" w:cs="Arial"/>
          <w:noProof/>
        </w:rPr>
        <w:t>(Semedo et al., 2019)</w:t>
      </w:r>
      <w:r>
        <w:rPr>
          <w:rFonts w:ascii="Arial" w:hAnsi="Arial" w:cs="Arial"/>
        </w:rPr>
        <w:fldChar w:fldCharType="end"/>
      </w:r>
      <w:r>
        <w:rPr>
          <w:rFonts w:ascii="Arial" w:hAnsi="Arial" w:cs="Arial"/>
        </w:rPr>
        <w:t xml:space="preserve"> could be used to reduce activity in areas V1 and </w:t>
      </w:r>
      <w:r w:rsidR="000550EB">
        <w:rPr>
          <w:rFonts w:ascii="Arial" w:hAnsi="Arial" w:cs="Arial"/>
        </w:rPr>
        <w:t>V3A/B</w:t>
      </w:r>
      <w:r>
        <w:rPr>
          <w:rFonts w:ascii="Arial" w:hAnsi="Arial" w:cs="Arial"/>
        </w:rPr>
        <w:t xml:space="preserve"> for example to a small set of dimensions which represent a characteristic way in which the activities of the two visual ROIs covary, and this communication subspace could be examined for changes when participants</w:t>
      </w:r>
      <w:r w:rsidR="00331B19">
        <w:rPr>
          <w:rFonts w:ascii="Arial" w:hAnsi="Arial" w:cs="Arial"/>
        </w:rPr>
        <w:t>’</w:t>
      </w:r>
      <w:r>
        <w:rPr>
          <w:rFonts w:ascii="Arial" w:hAnsi="Arial" w:cs="Arial"/>
        </w:rPr>
        <w:t xml:space="preserve"> switch attentional focus. For example, we may see different communication subspaces between visual areas as a function of </w:t>
      </w:r>
      <w:r w:rsidR="000550EB">
        <w:rPr>
          <w:rFonts w:ascii="Arial" w:hAnsi="Arial" w:cs="Arial"/>
        </w:rPr>
        <w:t>feature-</w:t>
      </w:r>
      <w:r w:rsidR="000550EB">
        <w:rPr>
          <w:rFonts w:ascii="Arial" w:hAnsi="Arial" w:cs="Arial"/>
        </w:rPr>
        <w:lastRenderedPageBreak/>
        <w:t xml:space="preserve">specific attentional task, or communication subspaces may be altered in a more general fashion by attention, with contrast to communication subspaces characterising passive viewing. Our findings </w:t>
      </w:r>
      <w:r w:rsidR="00D44AC6">
        <w:rPr>
          <w:rFonts w:ascii="Arial" w:hAnsi="Arial" w:cs="Arial"/>
        </w:rPr>
        <w:t>in</w:t>
      </w:r>
      <w:r w:rsidR="000550EB">
        <w:rPr>
          <w:rFonts w:ascii="Arial" w:hAnsi="Arial" w:cs="Arial"/>
        </w:rPr>
        <w:t xml:space="preserve"> this thesis have demonstrated changing patterns of connectivity across visual ROIs as a function of attentional task. Future research should seek to extend these current findings, perhaps employing this new methodology of </w:t>
      </w:r>
      <w:r w:rsidR="000550EB">
        <w:rPr>
          <w:rFonts w:ascii="Arial" w:hAnsi="Arial" w:cs="Arial"/>
        </w:rPr>
        <w:fldChar w:fldCharType="begin"/>
      </w:r>
      <w:r w:rsidR="00EA4EBE">
        <w:rPr>
          <w:rFonts w:ascii="Arial" w:hAnsi="Arial" w:cs="Arial"/>
        </w:rPr>
        <w:instrText xml:space="preserve"> ADDIN ZOTERO_ITEM CSL_CITATION {"citationID":"3VmGCYWw","properties":{"formattedCitation":"(Semedo et al., 2019)","plainCitation":"(Semedo et al., 2019)","dontUpdate":true,"noteIndex":0},"citationItems":[{"id":112,"uris":["http://zotero.org/groups/318634/items/9HDSNI8I"],"uri":["http://zotero.org/groups/318634/items/9HDSNI8I"],"itemData":{"id":112,"type":"article-journal","title":"Cortical Areas Interact through a Communication Subspace","container-title":"Neuron","page":"249-259.e4","volume":"102","issue":"1","source":"PubMed","abstract":"Most brain functions involve interactions among multiple, distinct areas or nuclei. For instance, visual processing in primates requires the appropriate relaying of signals across many distinct cortical areas. Yet our understanding of how populations of neurons in interconnected brain areas communicate is in its infancy. Here we investigate how trial-to-trial fluctuations of population responses in primary visual cortex (V1) are related to simultaneously recorded population responses in area V2. Using dimensionality reduction methods, we find that V1-V2 interactions occur through a communication subspace: V2 fluctuations are related to a small subset of V1 population activity patterns, distinct from the largest fluctuations shared among neurons within V1. In contrast, interactions between subpopulations within V1 are less selective. We propose that the communication subspace may be a general, population-level mechanism by which activity can be selectively routed across brain areas.","DOI":"10.1016/j.neuron.2019.01.026","ISSN":"1097-4199","note":"PMID: 30770252\nPMCID: PMC6449210","journalAbbreviation":"Neuron","language":"eng","author":[{"family":"Semedo","given":"João D."},{"family":"Zandvakili","given":"Amin"},{"family":"Machens","given":"Christian K."},{"family":"Yu","given":"Byron M."},{"family":"Kohn","given":"Adam"}],"issued":{"date-parts":[["2019",4,3]]}}}],"schema":"https://github.com/citation-style-language/schema/raw/master/csl-citation.json"} </w:instrText>
      </w:r>
      <w:r w:rsidR="000550EB">
        <w:rPr>
          <w:rFonts w:ascii="Arial" w:hAnsi="Arial" w:cs="Arial"/>
        </w:rPr>
        <w:fldChar w:fldCharType="separate"/>
      </w:r>
      <w:r w:rsidR="000550EB">
        <w:rPr>
          <w:rFonts w:ascii="Arial" w:hAnsi="Arial" w:cs="Arial"/>
          <w:noProof/>
        </w:rPr>
        <w:t>Semedo et al., (2019)</w:t>
      </w:r>
      <w:r w:rsidR="000550EB">
        <w:rPr>
          <w:rFonts w:ascii="Arial" w:hAnsi="Arial" w:cs="Arial"/>
        </w:rPr>
        <w:fldChar w:fldCharType="end"/>
      </w:r>
      <w:r w:rsidR="000550EB">
        <w:rPr>
          <w:rFonts w:ascii="Arial" w:hAnsi="Arial" w:cs="Arial"/>
        </w:rPr>
        <w:t xml:space="preserve"> to characterise the relationship between early visual areas in terms of the number of explanatory variables and examine how this communication varies as a function of attentional task in an extension of our current functional connectivity findings. </w:t>
      </w:r>
    </w:p>
    <w:p w14:paraId="0CE30DE6" w14:textId="77777777" w:rsidR="0060072E" w:rsidRPr="00225AB0" w:rsidRDefault="0060072E" w:rsidP="0060072E">
      <w:pPr>
        <w:spacing w:line="480" w:lineRule="auto"/>
        <w:rPr>
          <w:rFonts w:ascii="Arial" w:hAnsi="Arial" w:cs="Arial"/>
        </w:rPr>
      </w:pPr>
    </w:p>
    <w:p w14:paraId="7D98E227" w14:textId="20CF4E27" w:rsidR="0043574A" w:rsidRDefault="0060072E" w:rsidP="0060072E">
      <w:pPr>
        <w:spacing w:line="480" w:lineRule="auto"/>
        <w:rPr>
          <w:rFonts w:ascii="Arial" w:hAnsi="Arial" w:cs="Arial"/>
        </w:rPr>
      </w:pPr>
      <w:r w:rsidRPr="00225AB0">
        <w:rPr>
          <w:rFonts w:ascii="Arial" w:hAnsi="Arial" w:cs="Arial"/>
        </w:rPr>
        <w:t xml:space="preserve">This relationship between the extent of differences in connectivity and task performance opens further avenues for future research. For example, attention deficit hyperactivity disorder (ADHD) is thought to affect 3.62% of boys and 0.85% of girls of school age </w:t>
      </w:r>
      <w:r w:rsidRPr="00225AB0">
        <w:rPr>
          <w:rFonts w:ascii="Arial" w:hAnsi="Arial" w:cs="Arial"/>
        </w:rPr>
        <w:fldChar w:fldCharType="begin"/>
      </w:r>
      <w:r w:rsidR="005B4361">
        <w:rPr>
          <w:rFonts w:ascii="Arial" w:hAnsi="Arial" w:cs="Arial"/>
        </w:rPr>
        <w:instrText xml:space="preserve"> ADDIN ZOTERO_ITEM CSL_CITATION {"citationID":"KNlF0CPb","properties":{"formattedCitation":"(Ford, Goodman, &amp; Meltzer, 2003)","plainCitation":"(Ford, Goodman, &amp; Meltzer, 2003)","noteIndex":0},"citationItems":[{"id":116,"uris":["http://zotero.org/groups/318634/items/N5MXLFAC"],"uri":["http://zotero.org/groups/318634/items/N5MXLFAC"],"itemData":{"id":116,"type":"article-journal","title":"The British Child and Adolescent Mental Health Survey 1999: the prevalence of DSM-IV disorders","container-title":"Journal of the American Academy of Child and Adolescent Psychiatry","page":"1203-1211","volume":"42","issue":"10","source":"PubMed","abstract":"OBJECTIVE: To describe the prevalence of DSM-IV disorders and comorbidity in a large population-based sample of British children and adolescents.\nMETHOD: Using a one-phase design, 10,438 children were assessed using the Development and Well-Being Assessment (DAWBA), a structured interview with verbatim reports reviewed by clinicians so that information from parents, teachers, and children was combined in a manner that emulated the clinical process. The authors' analysis examined comorbidity and the influence of teacher reports.\nRESULTS: The overall prevalence of DSM-IV disorders was 9.5% (95% confidence interval 8.8-10.1%), but 2.1% of children were assigned \"not otherwise specified\" rather than operationalized diagnoses. After adjusting for the presence of a third disorder, there was no longer significant comorbidity between anxiety and conduct disorder or attention-deficit/hyperactivity disorder (ADHD), or between depression and oppositional defiant disorder. A comparison of the disorders in children with and without teacher reports suggested that the prevalence of conduct disorders and ADHD would be underestimated in the absence of teacher information.\nCONCLUSIONS: Roughly 1 in 10 children have at least one DSM-IV disorder, involving a level of distress or social impairment likely to warrant treatment. Comorbidity reported between some childhood diagnoses may be due to the association of both disorders with a third. Diagnoses of conduct disorder and ADHD may be missed if information is not sought from teachers about children's functioning in school.","DOI":"10.1097/00004583-200310000-00011","ISSN":"0890-8567","note":"PMID: 14560170","title-short":"The British Child and Adolescent Mental Health Survey 1999","journalAbbreviation":"J Am Acad Child Adolesc Psychiatry","language":"eng","author":[{"family":"Ford","given":"Tamsin"},{"family":"Goodman","given":"Robert"},{"family":"Meltzer","given":"Howard"}],"issued":{"date-parts":[["2003",10]]}}}],"schema":"https://github.com/citation-style-language/schema/raw/master/csl-citation.json"} </w:instrText>
      </w:r>
      <w:r w:rsidRPr="00225AB0">
        <w:rPr>
          <w:rFonts w:ascii="Arial" w:hAnsi="Arial" w:cs="Arial"/>
        </w:rPr>
        <w:fldChar w:fldCharType="separate"/>
      </w:r>
      <w:r w:rsidRPr="00225AB0">
        <w:rPr>
          <w:rFonts w:ascii="Arial" w:hAnsi="Arial" w:cs="Arial"/>
          <w:noProof/>
        </w:rPr>
        <w:t>(Ford, Goodman, &amp; Meltzer, 2003)</w:t>
      </w:r>
      <w:r w:rsidRPr="00225AB0">
        <w:rPr>
          <w:rFonts w:ascii="Arial" w:hAnsi="Arial" w:cs="Arial"/>
        </w:rPr>
        <w:fldChar w:fldCharType="end"/>
      </w:r>
      <w:r w:rsidRPr="00225AB0">
        <w:rPr>
          <w:rFonts w:ascii="Arial" w:hAnsi="Arial" w:cs="Arial"/>
        </w:rPr>
        <w:t xml:space="preserve">. It is a disorder associated with inattentiveness, hyperactivity and impulsiveness. Importantly, individuals with ADHD have been demonstrated to have a reduced ability effective switch between tasks </w:t>
      </w:r>
      <w:r w:rsidRPr="00225AB0">
        <w:rPr>
          <w:rFonts w:ascii="Arial" w:hAnsi="Arial" w:cs="Arial"/>
        </w:rPr>
        <w:fldChar w:fldCharType="begin"/>
      </w:r>
      <w:r w:rsidR="005B4361">
        <w:rPr>
          <w:rFonts w:ascii="Arial" w:hAnsi="Arial" w:cs="Arial"/>
        </w:rPr>
        <w:instrText xml:space="preserve"> ADDIN ZOTERO_ITEM CSL_CITATION {"citationID":"PHCzSTKH","properties":{"formattedCitation":"(Cepeda, Cepeda, &amp; Kramer, 2000)","plainCitation":"(Cepeda, Cepeda, &amp; Kramer, 2000)","dontUpdate":true,"noteIndex":0},"citationItems":[{"id":115,"uris":["http://zotero.org/groups/318634/items/HUGDSIQX"],"uri":["http://zotero.org/groups/318634/items/HUGDSIQX"],"itemData":{"id":115,"type":"article-journal","title":"Task switching and attention deficit hyperactivity disorder","container-title":"Journal of Abnormal Child Psychology","page":"213-226","volume":"28","issue":"3","source":"PubMed","abstract":"The main goal of the present set of studies was to examine the efficiency of executive control processes and, more specifically, the control processes involved in task set inhibition and preparation to perform a new task in attention deficit hyperactivity disorder (ADHD) and non-ADHD children. This was accomplished by having ADHD children, both on and off medication, and non-ADHD children perform the task-switching paradigm, which involves the performance of two simple tasks. In nonswitch trials, an individual task is performed repeatedly for a number of trials. In switch trials, subjects must rapidly and accurately switch from one task to the other, either in a predictable or unpredictable sequence. Switch costs are calculated by subtracting performance on the nonswitch trials from performance on the switch trials. These costs are assumed to reflect the executive control processes required for the coordination of multiple tasks. ADHD children showed substantially larger switch costs than non-ADHD children. However, when on medication, the ADHD children's switch performance was equivalent to control children. In addition, medication was observed to improve the ADHD children's ability to inhibit inappropriate responses. These data are discussed in terms of models of ADHD and cognition.","ISSN":"0091-0627","note":"PMID: 10885680","journalAbbreviation":"J Abnorm Child Psychol","language":"eng","author":[{"family":"Cepeda","given":"N. J."},{"family":"Cepeda","given":"M. L."},{"family":"Kramer","given":"A. F."}],"issued":{"date-parts":[["2000",6]]}}}],"schema":"https://github.com/citation-style-language/schema/raw/master/csl-citation.json"} </w:instrText>
      </w:r>
      <w:r w:rsidRPr="00225AB0">
        <w:rPr>
          <w:rFonts w:ascii="Arial" w:hAnsi="Arial" w:cs="Arial"/>
        </w:rPr>
        <w:fldChar w:fldCharType="separate"/>
      </w:r>
      <w:r w:rsidRPr="00225AB0">
        <w:rPr>
          <w:rFonts w:ascii="Arial" w:hAnsi="Arial" w:cs="Arial"/>
          <w:noProof/>
        </w:rPr>
        <w:t>(e.g. Cepeda, Cepeda, &amp; Kramer, 2000)</w:t>
      </w:r>
      <w:r w:rsidRPr="00225AB0">
        <w:rPr>
          <w:rFonts w:ascii="Arial" w:hAnsi="Arial" w:cs="Arial"/>
        </w:rPr>
        <w:fldChar w:fldCharType="end"/>
      </w:r>
      <w:r w:rsidRPr="00225AB0">
        <w:rPr>
          <w:rFonts w:ascii="Arial" w:hAnsi="Arial" w:cs="Arial"/>
        </w:rPr>
        <w:t xml:space="preserve">. Cortical signatures of this reduced task switching ability have been typically investigated in terms of executive control network across relatively large expanses of the cortex. However, the paradigms we establish here, assessing differential patterns of univariate, multivariate and connectivity across ROIs as a function of attentional focus, may be effective in identifying differential responses </w:t>
      </w:r>
      <w:r w:rsidR="00D44AC6">
        <w:rPr>
          <w:rFonts w:ascii="Arial" w:hAnsi="Arial" w:cs="Arial"/>
        </w:rPr>
        <w:t>in</w:t>
      </w:r>
      <w:r w:rsidRPr="00225AB0">
        <w:rPr>
          <w:rFonts w:ascii="Arial" w:hAnsi="Arial" w:cs="Arial"/>
        </w:rPr>
        <w:t xml:space="preserve"> ADHD sufferers. For example, individuals with ADHD may demonstrate a reduced distinction between patterns of connectivity between passive viewing and attentional task, as we </w:t>
      </w:r>
      <w:r w:rsidRPr="00225AB0">
        <w:rPr>
          <w:rFonts w:ascii="Arial" w:hAnsi="Arial" w:cs="Arial"/>
        </w:rPr>
        <w:lastRenderedPageBreak/>
        <w:t xml:space="preserve">have identified </w:t>
      </w:r>
      <w:r w:rsidR="00D44AC6">
        <w:rPr>
          <w:rFonts w:ascii="Arial" w:hAnsi="Arial" w:cs="Arial"/>
        </w:rPr>
        <w:t>in</w:t>
      </w:r>
      <w:r w:rsidRPr="00225AB0">
        <w:rPr>
          <w:rFonts w:ascii="Arial" w:hAnsi="Arial" w:cs="Arial"/>
        </w:rPr>
        <w:t xml:space="preserve"> our three experiments here using participants who do not suffer from ADHD. This hypothesis is supported by recent work at a coarser scale, which demonstrated increased variability in default mode network activation and associated lower task performance in ADHD patients in comparison with controls </w:t>
      </w:r>
      <w:r w:rsidRPr="00225AB0">
        <w:rPr>
          <w:rFonts w:ascii="Arial" w:hAnsi="Arial" w:cs="Arial"/>
        </w:rPr>
        <w:fldChar w:fldCharType="begin"/>
      </w:r>
      <w:r w:rsidR="005B4361">
        <w:rPr>
          <w:rFonts w:ascii="Arial" w:hAnsi="Arial" w:cs="Arial"/>
        </w:rPr>
        <w:instrText xml:space="preserve"> ADDIN ZOTERO_ITEM CSL_CITATION {"citationID":"4kkSb5Sx","properties":{"formattedCitation":"(Mowinckel et al., 2017)","plainCitation":"(Mowinckel et al., 2017)","noteIndex":0},"citationItems":[{"id":114,"uris":["http://zotero.org/groups/318634/items/K2XP55ZW"],"uri":["http://zotero.org/groups/318634/items/K2XP55ZW"],"itemData":{"id":114,"type":"article-journal","title":"Increased default-mode variability is related to reduced task-performance and is evident in adults with ADHD","container-title":"NeuroImage. Clinical","page":"369-382","volume":"16","source":"PubMed","abstract":"Insufficient suppression and connectivity of the default mode network (DMN) is a potential mediator of cognitive dysfunctions across various disorders, including attention deficit/hyperactivity disorder (ADHD). However, it remains unclear if alterations in sustained DMN suppression, variability and connectivity during prolonged cognitive engagement are implicated in adult ADHD pathophysiology, and to which degree methylphenidate (MPH) remediates any DMN abnormalities. This randomized, double-blinded, placebo-controlled, cross-over clinical trial of MPH (clinicaltrials.gov/ct2/show/NCT01831622) explored large-scale brain network dynamics in 20 adults with ADHD on and off MPH, compared to 27 healthy controls, while performing a reward based decision-making task. DMN task-related activation, variability, and connectivity were estimated and compared between groups and conditions using independent component analysis, dual regression, and Bayesian linear mixed models. The results show that the DMN exhibited more variable activation patterns in unmedicated patients compared to healthy controls. Group differences in functional connectivity both between and within functional networks were evident. Further, functional connectivity between and within attention and DMN networks was sensitive both to task performance and case-control status. MPH altered within-network connectivity of the DMN and visual networks, but not between-network connectivity or temporal variability. This study thus provides novel fMRI evidence of reduced sustained DMN suppression in adults with ADHD during value-based decision-making, a pattern that was not alleviated by MPH. We infer from multiple analytical approaches further support to the default mode interference hypothesis, in that higher DMN activation variability is evident in adult ADHD and associated with lower task performance.","DOI":"10.1016/j.nicl.2017.03.008","ISSN":"2213-1582","note":"PMID: 28861338\nPMCID: PMC5568884","journalAbbreviation":"Neuroimage Clin","language":"eng","author":[{"family":"Mowinckel","given":"Athanasia M."},{"family":"Alnæs","given":"Dag"},{"family":"Pedersen","given":"Mads L."},{"family":"Ziegler","given":"Sigurd"},{"family":"Fredriksen","given":"Mats"},{"family":"Kaufmann","given":"Tobias"},{"family":"Sonuga-Barke","given":"Edmund"},{"family":"Endestad","given":"Tor"},{"family":"Westlye","given":"Lars T."},{"family":"Biele","given":"Guido"}],"issued":{"date-parts":[["2017"]]}}}],"schema":"https://github.com/citation-style-language/schema/raw/master/csl-citation.json"} </w:instrText>
      </w:r>
      <w:r w:rsidRPr="00225AB0">
        <w:rPr>
          <w:rFonts w:ascii="Arial" w:hAnsi="Arial" w:cs="Arial"/>
        </w:rPr>
        <w:fldChar w:fldCharType="separate"/>
      </w:r>
      <w:r w:rsidRPr="00225AB0">
        <w:rPr>
          <w:rFonts w:ascii="Arial" w:hAnsi="Arial" w:cs="Arial"/>
          <w:noProof/>
        </w:rPr>
        <w:t>(Mowinckel et al., 2017)</w:t>
      </w:r>
      <w:r w:rsidRPr="00225AB0">
        <w:rPr>
          <w:rFonts w:ascii="Arial" w:hAnsi="Arial" w:cs="Arial"/>
        </w:rPr>
        <w:fldChar w:fldCharType="end"/>
      </w:r>
      <w:r w:rsidRPr="00225AB0">
        <w:rPr>
          <w:rFonts w:ascii="Arial" w:hAnsi="Arial" w:cs="Arial"/>
        </w:rPr>
        <w:t xml:space="preserve">. </w:t>
      </w:r>
    </w:p>
    <w:p w14:paraId="6D28FBCF" w14:textId="77777777" w:rsidR="0043574A" w:rsidRDefault="0043574A" w:rsidP="0060072E">
      <w:pPr>
        <w:spacing w:line="480" w:lineRule="auto"/>
        <w:rPr>
          <w:rFonts w:ascii="Arial" w:hAnsi="Arial" w:cs="Arial"/>
        </w:rPr>
      </w:pPr>
    </w:p>
    <w:p w14:paraId="585127F6" w14:textId="4BF5E910" w:rsidR="0060072E" w:rsidRDefault="0060072E" w:rsidP="0060072E">
      <w:pPr>
        <w:spacing w:line="480" w:lineRule="auto"/>
        <w:rPr>
          <w:rFonts w:ascii="Arial" w:hAnsi="Arial" w:cs="Arial"/>
        </w:rPr>
      </w:pPr>
      <w:r w:rsidRPr="00225AB0">
        <w:rPr>
          <w:rFonts w:ascii="Arial" w:hAnsi="Arial" w:cs="Arial"/>
        </w:rPr>
        <w:t xml:space="preserve">Hence, the relatively novel paradigm we have established here may be a simple and effective method for examining patterns of connectivity </w:t>
      </w:r>
      <w:r w:rsidR="00D44AC6">
        <w:rPr>
          <w:rFonts w:ascii="Arial" w:hAnsi="Arial" w:cs="Arial"/>
        </w:rPr>
        <w:t>in</w:t>
      </w:r>
      <w:r w:rsidRPr="00225AB0">
        <w:rPr>
          <w:rFonts w:ascii="Arial" w:hAnsi="Arial" w:cs="Arial"/>
        </w:rPr>
        <w:t xml:space="preserve"> patients with ADHD. The validation of our use of naturalistic stimuli in identifying these differences in patterns of connectivity suggests a potential use as an ADHD screening procedure for young children, who are likely to better engage with this dynamic and interesting stimulus.  Identifying differences in connectivity across ROIs in attentional tasks, may help to reveal a potential locus for the control of task switching. For example, the IPS, an area known to be involved in the top-down control of visual attention </w:t>
      </w:r>
      <w:r w:rsidRPr="00225AB0">
        <w:rPr>
          <w:rFonts w:ascii="Arial" w:hAnsi="Arial" w:cs="Arial"/>
        </w:rPr>
        <w:fldChar w:fldCharType="begin"/>
      </w:r>
      <w:r w:rsidR="005B4361">
        <w:rPr>
          <w:rFonts w:ascii="Arial" w:hAnsi="Arial" w:cs="Arial"/>
        </w:rPr>
        <w:instrText xml:space="preserve"> ADDIN ZOTERO_ITEM CSL_CITATION {"citationID":"fmWNxIhJ","properties":{"formattedCitation":"(Bressler, Tang, Sylvester, Shulman, &amp; Corbetta, 2008; Di Russo, Mart\\uc0\\u237{}nez, &amp; Hillyard, 2003; Lauritzen, D\\uc0\\u8217{}Esposito, Heeger, &amp; Silver, 2009)","plainCitation":"(Bressler, Tang, Sylvester, Shulman, &amp; Corbetta, 2008; Di Russo, Martínez, &amp; Hillyard, 2003; Lauritzen, D’Esposito, Heeger, &amp; Silver, 2009)","dontUpdate":true,"noteIndex":0},"citationItems":[{"id":265,"uris":["http://zotero.org/groups/318634/items/9PBQYS5L"],"uri":["http://zotero.org/groups/318634/items/9PBQYS5L"],"itemData":{"id":265,"type":"article-journal","title":"Top-down control of human visual cortex by frontal and parietal cortex in anticipatory visual spatial attention","container-title":"The Journal of Neuroscience: The Official Journal of the Society for Neuroscience","page":"10056-10061","volume":"28","issue":"40","source":"PubMed","abstract":"Advance information about an impending stimulus facilitates its subsequent identification and ensuing behavioral responses. This facilitation is thought to be mediated by top-down control signals from frontal and parietal cortex that modulate sensory cortical activity. Here we show, using Granger causality measures on blood oxygen level-dependent time series, that frontal eye field (FEF) and intraparietal sulcus (IPS) activity predicts visual occipital activity before an expected visual stimulus. Top-down levels of Granger causality from FEF and IPS to visual occipital cortex were significantly greater than both bottom-up and mean cortex-wide levels in all individual subjects and the group. In the group and most individual subjects, Granger causality was significantly greater from FEF to IPS than from IPS to FEF, and significantly greater from both FEF and IPS to intermediate-tier than lower-tier ventral visual areas. Moreover, top-down Granger causality from right IPS to intermediate-tier areas was predictive of correct behavioral performance. These results suggest that FEF and IPS modulate visual occipital cortex, and FEF modulates IPS, in relation to visual attention. The current approach may prove advantageous for the investigation of interregional directed influences in other human brain functions.","DOI":"10.1523/JNEUROSCI.1776-08.2008","ISSN":"1529-2401","note":"PMID: 18829963\nPMCID: PMC2583122","journalAbbreviation":"J. Neurosci.","language":"eng","author":[{"family":"Bressler","given":"Steven L."},{"family":"Tang","given":"Wei"},{"family":"Sylvester","given":"Chad M."},{"family":"Shulman","given":"Gordon L."},{"family":"Corbetta","given":"Maurizio"}],"issued":{"date-parts":[["2008",10,1]]}}},{"id":271,"uris":["http://zotero.org/groups/318634/items/NK9JUBEV"],"uri":["http://zotero.org/groups/318634/items/NK9JUBEV"],"itemData":{"id":271,"type":"article-journal","title":"Source analysis of event-related cortical activity during visuo-spatial attention","container-title":"Cerebral Cortex (New York, N.Y.: 1991)","page":"486-499","volume":"13","issue":"5","source":"PubMed","abstract":"Recordings of event-related potentials (ERPs) were combined with structural and functional magnetic resonance imaging (fMRI) to study the spatio-temporal patterns of cortical activity that underlie visual-spatial attention. Small checkerboard stimuli were flashed in random order to the four quadrants of the visual field at a rapid rate while subjects attended to stimuli in one quadrant at a time. Attended stimuli elicited enhanced ERP components in the latency range 80-200 ms that were co-localized with fMRI activations in multiple extrastriate cortical regions. The earliest ERP component (C1 at 50-90 ms) was unaffected by attention and was localized by dipole modeling to calcarine cortex. A longer latency deflection in the 150-225 ms range that was accounted for by this same calcarine source, however, did show consistent modulation with attention. This late attention effect, like the C1, inverted in polarity for upper versus lower field stimuli, consistent with a neural generator in primary visual cortex (area V1). These results provide support to current hypotheses that spatial attention in humans is associated with delayed feedback to area V1 from higher extrastriate areas that may have the function of improving the salience of stimuli at attended locations.","ISSN":"1047-3211","note":"PMID: 12679295","journalAbbreviation":"Cereb. Cortex","language":"eng","author":[{"family":"Di Russo","given":"Francesco"},{"family":"Martínez","given":"Antigona"},{"family":"Hillyard","given":"Steven A."}],"issued":{"date-parts":[["2003",5]]}}},{"id":250,"uris":["http://zotero.org/groups/318634/items/7NW7VQQ4"],"uri":["http://zotero.org/groups/318634/items/7NW7VQQ4"],"itemData":{"id":250,"type":"article-journal","title":"Top-down flow of visual spatial attention signals from parietal to occipital cortex","container-title":"Journal of Vision","page":"18.1-14","volume":"9","issue":"13","source":"PubMed","abstract":"Given the complexity of our visual environment, the ability to selectively attend to certain locations, while ignoring others, is crucial for reducing the amount of visual information to manageable levels and for optimizing behavioral performance. Sustained allocation of spatial attention causes persistent increases in functional magnetic resonance imaging (fMRI) signals in portions of early visual cortex that retinotopically represent the attended location, even in the absence of a visual stimulus. Here we test the hypothesis that topographically organized posterior parietal cortical areas IPS1 and IPS2 transmit top-down spatial attention signals to early visual cortex. We employed fMRI and coherency analysis to measure functional connectivity among cortical areas V1, V2, V3, V3A, V3B, V7, IPS1, and IPS2 during sustained visual spatial attention. Attention increased the magnitude of coherency for many pairs of areas in occipital and parietal cortex. Additionally, attention-related activity in IPS1 and IPS2 led activity in several visual cortical areas by a few hundred milliseconds. These results are consistent with transmission of top-down spatial attention signals from IPS1 and IPS2 to early visual cortex.","DOI":"10.1167/9.13.18","ISSN":"1534-7362","note":"PMID: 20055551\nPMCID: PMC2857595","journalAbbreviation":"J Vis","language":"eng","author":[{"family":"Lauritzen","given":"Thomas Z."},{"family":"D'Esposito","given":"Mark"},{"family":"Heeger","given":"David J."},{"family":"Silver","given":"Michael A."}],"issued":{"date-parts":[["2009",12,16]]}}}],"schema":"https://github.com/citation-style-language/schema/raw/master/csl-citation.json"} </w:instrText>
      </w:r>
      <w:r w:rsidRPr="00225AB0">
        <w:rPr>
          <w:rFonts w:ascii="Arial" w:hAnsi="Arial" w:cs="Arial"/>
        </w:rPr>
        <w:fldChar w:fldCharType="separate"/>
      </w:r>
      <w:r w:rsidRPr="00225AB0">
        <w:rPr>
          <w:rFonts w:ascii="Arial" w:hAnsi="Arial" w:cs="Arial"/>
          <w:lang w:val="en-US"/>
        </w:rPr>
        <w:t>(e.g. Bressler, Tang, Sylvester, Shulman, &amp; Corbetta, 2008; Di Russo, Martínez, &amp; Hillyard, 2003; Lauritzen, D’Esposito, Heeger, &amp; Silver, 2009)</w:t>
      </w:r>
      <w:r w:rsidRPr="00225AB0">
        <w:rPr>
          <w:rFonts w:ascii="Arial" w:hAnsi="Arial" w:cs="Arial"/>
        </w:rPr>
        <w:fldChar w:fldCharType="end"/>
      </w:r>
      <w:r w:rsidRPr="00225AB0">
        <w:rPr>
          <w:rFonts w:ascii="Arial" w:hAnsi="Arial" w:cs="Arial"/>
        </w:rPr>
        <w:t xml:space="preserve">, may demonstrate different patterns of activity in ADHD patients comparison with healthy controls. </w:t>
      </w:r>
    </w:p>
    <w:p w14:paraId="3C76FAA2" w14:textId="77777777" w:rsidR="009927A8" w:rsidRPr="00225AB0" w:rsidRDefault="009927A8" w:rsidP="0060072E">
      <w:pPr>
        <w:spacing w:line="480" w:lineRule="auto"/>
        <w:rPr>
          <w:rFonts w:ascii="Arial" w:hAnsi="Arial" w:cs="Arial"/>
        </w:rPr>
      </w:pPr>
    </w:p>
    <w:p w14:paraId="3B79F2C4" w14:textId="77777777" w:rsidR="0060072E" w:rsidRDefault="0060072E" w:rsidP="00F771D6">
      <w:pPr>
        <w:pStyle w:val="Heading2"/>
        <w:rPr>
          <w:rFonts w:ascii="Arial" w:hAnsi="Arial" w:cs="Arial"/>
          <w:b/>
          <w:color w:val="000000" w:themeColor="text1"/>
          <w:sz w:val="28"/>
          <w:szCs w:val="28"/>
        </w:rPr>
      </w:pPr>
      <w:bookmarkStart w:id="895" w:name="_Toc11148062"/>
      <w:bookmarkStart w:id="896" w:name="_Toc11154013"/>
      <w:bookmarkStart w:id="897" w:name="_Toc11753692"/>
      <w:bookmarkStart w:id="898" w:name="_Toc11926878"/>
      <w:bookmarkStart w:id="899" w:name="_Toc11930146"/>
      <w:bookmarkStart w:id="900" w:name="_Toc16075462"/>
      <w:bookmarkStart w:id="901" w:name="_Toc16237050"/>
      <w:r w:rsidRPr="00F771D6">
        <w:rPr>
          <w:rFonts w:ascii="Arial" w:hAnsi="Arial" w:cs="Arial"/>
          <w:b/>
          <w:color w:val="000000" w:themeColor="text1"/>
          <w:sz w:val="28"/>
          <w:szCs w:val="28"/>
        </w:rPr>
        <w:t>7.3 Conclusion</w:t>
      </w:r>
      <w:bookmarkEnd w:id="895"/>
      <w:bookmarkEnd w:id="896"/>
      <w:bookmarkEnd w:id="897"/>
      <w:bookmarkEnd w:id="898"/>
      <w:bookmarkEnd w:id="899"/>
      <w:bookmarkEnd w:id="900"/>
      <w:bookmarkEnd w:id="901"/>
    </w:p>
    <w:p w14:paraId="506321D8" w14:textId="77777777" w:rsidR="00F771D6" w:rsidRPr="00F771D6" w:rsidRDefault="00F771D6" w:rsidP="00F771D6"/>
    <w:p w14:paraId="061630BE" w14:textId="33FADBD0" w:rsidR="0060072E" w:rsidRPr="00225AB0" w:rsidRDefault="0060072E" w:rsidP="0060072E">
      <w:pPr>
        <w:spacing w:line="480" w:lineRule="auto"/>
        <w:rPr>
          <w:rFonts w:ascii="Arial" w:hAnsi="Arial" w:cs="Arial"/>
        </w:rPr>
      </w:pPr>
      <w:r w:rsidRPr="00225AB0">
        <w:rPr>
          <w:rFonts w:ascii="Arial" w:hAnsi="Arial" w:cs="Arial"/>
        </w:rPr>
        <w:t xml:space="preserve">This thesis has investigated feature-specific patterns of attentional modulation across the visual cortex, using psychophysical and fMRI methods. We have established a novel paradigm, probing attentional mechanisms with a relatively constant visual stimulus, and have demonstrated our findings are not driven by bottom-up changes in our visual stimulus. We demonstrate clear evidence of differential voxel-level patterns </w:t>
      </w:r>
      <w:r w:rsidRPr="00225AB0">
        <w:rPr>
          <w:rFonts w:ascii="Arial" w:hAnsi="Arial" w:cs="Arial"/>
        </w:rPr>
        <w:lastRenderedPageBreak/>
        <w:t>of attentional modulation with our highly controlled, low-level RF patterns, but not with the use of a relatively naturalistic, rich, dynamic movie stimulus. In all experiments, we identify significantly different patterns of connectivity across ROIs as a function of attentional focus and demonstrate a robust visual ‘default mode’ network with relatively greater positive correlation across ROIs during an undemanding task. We demonstrate a generalisation of findings across low-level and naturalistic testing paradigms. We suggest this novel paradigm can be used to predict participants</w:t>
      </w:r>
      <w:r w:rsidR="007E6D74">
        <w:rPr>
          <w:rFonts w:ascii="Arial" w:hAnsi="Arial" w:cs="Arial"/>
        </w:rPr>
        <w:t>’</w:t>
      </w:r>
      <w:r w:rsidRPr="00225AB0">
        <w:rPr>
          <w:rFonts w:ascii="Arial" w:hAnsi="Arial" w:cs="Arial"/>
        </w:rPr>
        <w:t xml:space="preserve"> performance on feature-specific tasks, on the basis of differences in patterns of connectivity and suggest a potential use for this paradigm in probing mechanisms of ADHD </w:t>
      </w:r>
      <w:r w:rsidR="00D44AC6">
        <w:rPr>
          <w:rFonts w:ascii="Arial" w:hAnsi="Arial" w:cs="Arial"/>
        </w:rPr>
        <w:t>in</w:t>
      </w:r>
      <w:r w:rsidRPr="00225AB0">
        <w:rPr>
          <w:rFonts w:ascii="Arial" w:hAnsi="Arial" w:cs="Arial"/>
        </w:rPr>
        <w:t xml:space="preserve"> the visual cortex. </w:t>
      </w:r>
    </w:p>
    <w:p w14:paraId="1C589143" w14:textId="77777777" w:rsidR="0060072E" w:rsidRPr="00225AB0" w:rsidRDefault="0060072E" w:rsidP="0060072E">
      <w:pPr>
        <w:rPr>
          <w:rFonts w:ascii="Arial" w:hAnsi="Arial" w:cs="Arial"/>
        </w:rPr>
      </w:pPr>
    </w:p>
    <w:p w14:paraId="0CC97F93" w14:textId="77777777" w:rsidR="0060072E" w:rsidRPr="00225AB0" w:rsidRDefault="0060072E" w:rsidP="0060072E">
      <w:pPr>
        <w:rPr>
          <w:rFonts w:ascii="Arial" w:hAnsi="Arial" w:cs="Arial"/>
        </w:rPr>
      </w:pPr>
    </w:p>
    <w:p w14:paraId="292FE1C7" w14:textId="77777777" w:rsidR="0060072E" w:rsidRPr="00225AB0" w:rsidRDefault="0060072E" w:rsidP="0060072E">
      <w:pPr>
        <w:rPr>
          <w:rFonts w:ascii="Arial" w:hAnsi="Arial" w:cs="Arial"/>
        </w:rPr>
      </w:pPr>
    </w:p>
    <w:p w14:paraId="2CF54BB0" w14:textId="77777777" w:rsidR="0060072E" w:rsidRPr="00225AB0" w:rsidRDefault="0060072E" w:rsidP="0060072E">
      <w:pPr>
        <w:spacing w:line="480" w:lineRule="auto"/>
        <w:rPr>
          <w:rFonts w:ascii="Arial" w:hAnsi="Arial" w:cs="Arial"/>
        </w:rPr>
      </w:pPr>
    </w:p>
    <w:p w14:paraId="596561D9" w14:textId="77777777" w:rsidR="0060072E" w:rsidRPr="00225AB0" w:rsidRDefault="0060072E" w:rsidP="0060072E">
      <w:pPr>
        <w:spacing w:line="480" w:lineRule="auto"/>
        <w:rPr>
          <w:rFonts w:ascii="Arial" w:hAnsi="Arial" w:cs="Arial"/>
        </w:rPr>
      </w:pPr>
    </w:p>
    <w:p w14:paraId="3BE7F371" w14:textId="27919667" w:rsidR="009927A8" w:rsidRDefault="009927A8" w:rsidP="0060072E">
      <w:pPr>
        <w:spacing w:line="480" w:lineRule="auto"/>
        <w:rPr>
          <w:rFonts w:ascii="Arial" w:hAnsi="Arial" w:cs="Arial"/>
        </w:rPr>
      </w:pPr>
    </w:p>
    <w:p w14:paraId="1743BF8B" w14:textId="3DDD6B01" w:rsidR="00AE6937" w:rsidRDefault="00AE6937" w:rsidP="0060072E">
      <w:pPr>
        <w:spacing w:line="480" w:lineRule="auto"/>
        <w:rPr>
          <w:rFonts w:ascii="Arial" w:hAnsi="Arial" w:cs="Arial"/>
        </w:rPr>
      </w:pPr>
    </w:p>
    <w:p w14:paraId="725EE292" w14:textId="2CB1309D" w:rsidR="00AE6937" w:rsidRDefault="00AE6937" w:rsidP="0060072E">
      <w:pPr>
        <w:spacing w:line="480" w:lineRule="auto"/>
        <w:rPr>
          <w:rFonts w:ascii="Arial" w:hAnsi="Arial" w:cs="Arial"/>
        </w:rPr>
      </w:pPr>
    </w:p>
    <w:p w14:paraId="24A2B9A6" w14:textId="6AC1311E" w:rsidR="00AE6937" w:rsidRDefault="00AE6937" w:rsidP="0060072E">
      <w:pPr>
        <w:spacing w:line="480" w:lineRule="auto"/>
        <w:rPr>
          <w:rFonts w:ascii="Arial" w:hAnsi="Arial" w:cs="Arial"/>
        </w:rPr>
      </w:pPr>
    </w:p>
    <w:p w14:paraId="10862956" w14:textId="0B5DAA07" w:rsidR="00AE6937" w:rsidRDefault="00AE6937" w:rsidP="0060072E">
      <w:pPr>
        <w:spacing w:line="480" w:lineRule="auto"/>
        <w:rPr>
          <w:rFonts w:ascii="Arial" w:hAnsi="Arial" w:cs="Arial"/>
        </w:rPr>
      </w:pPr>
    </w:p>
    <w:p w14:paraId="23508AB6" w14:textId="51070538" w:rsidR="00AE6937" w:rsidRDefault="00AE6937" w:rsidP="0060072E">
      <w:pPr>
        <w:spacing w:line="480" w:lineRule="auto"/>
        <w:rPr>
          <w:rFonts w:ascii="Arial" w:hAnsi="Arial" w:cs="Arial"/>
        </w:rPr>
      </w:pPr>
    </w:p>
    <w:p w14:paraId="15600E96" w14:textId="6A44BDE5" w:rsidR="00AE6937" w:rsidRDefault="00AE6937" w:rsidP="0060072E">
      <w:pPr>
        <w:spacing w:line="480" w:lineRule="auto"/>
        <w:rPr>
          <w:rFonts w:ascii="Arial" w:hAnsi="Arial" w:cs="Arial"/>
        </w:rPr>
      </w:pPr>
    </w:p>
    <w:p w14:paraId="6A35E21D" w14:textId="77777777" w:rsidR="00AE6937" w:rsidRPr="00225AB0" w:rsidRDefault="00AE6937" w:rsidP="0060072E">
      <w:pPr>
        <w:spacing w:line="480" w:lineRule="auto"/>
        <w:rPr>
          <w:rFonts w:ascii="Arial" w:hAnsi="Arial" w:cs="Arial"/>
        </w:rPr>
      </w:pPr>
    </w:p>
    <w:p w14:paraId="07532334" w14:textId="71475F85" w:rsidR="00AB004F" w:rsidRPr="00085A82" w:rsidRDefault="00AB004F" w:rsidP="00085A82">
      <w:pPr>
        <w:pStyle w:val="Heading1"/>
        <w:spacing w:line="360" w:lineRule="auto"/>
        <w:rPr>
          <w:rFonts w:ascii="Arial" w:hAnsi="Arial" w:cs="Arial"/>
          <w:b/>
          <w:color w:val="000000" w:themeColor="text1"/>
          <w:sz w:val="24"/>
          <w:szCs w:val="24"/>
        </w:rPr>
      </w:pPr>
      <w:bookmarkStart w:id="902" w:name="_Toc11926879"/>
      <w:bookmarkStart w:id="903" w:name="_Toc11930147"/>
      <w:bookmarkStart w:id="904" w:name="_Toc16075463"/>
      <w:bookmarkStart w:id="905" w:name="_Toc16237051"/>
      <w:r w:rsidRPr="00AC3415">
        <w:rPr>
          <w:rFonts w:ascii="Arial" w:hAnsi="Arial" w:cs="Arial"/>
          <w:b/>
          <w:color w:val="000000" w:themeColor="text1"/>
          <w:sz w:val="44"/>
          <w:szCs w:val="44"/>
        </w:rPr>
        <w:lastRenderedPageBreak/>
        <w:t>References</w:t>
      </w:r>
      <w:bookmarkEnd w:id="902"/>
      <w:bookmarkEnd w:id="903"/>
      <w:bookmarkEnd w:id="904"/>
      <w:bookmarkEnd w:id="905"/>
    </w:p>
    <w:p w14:paraId="15C3F84D" w14:textId="77777777" w:rsidR="00CB265E" w:rsidRPr="00C67C50" w:rsidRDefault="00CB265E" w:rsidP="00CB265E">
      <w:pPr>
        <w:pStyle w:val="Bibliography"/>
        <w:rPr>
          <w:rFonts w:ascii="Arial" w:hAnsi="Arial" w:cs="Arial"/>
          <w:lang w:val="en-US"/>
        </w:rPr>
      </w:pPr>
      <w:r w:rsidRPr="00C67C50">
        <w:rPr>
          <w:rFonts w:ascii="Arial" w:hAnsi="Arial" w:cs="Arial"/>
        </w:rPr>
        <w:fldChar w:fldCharType="begin"/>
      </w:r>
      <w:r w:rsidRPr="00C67C50">
        <w:rPr>
          <w:rFonts w:ascii="Arial" w:hAnsi="Arial" w:cs="Arial"/>
        </w:rPr>
        <w:instrText xml:space="preserve"> ADDIN ZOTERO_BIBL {"uncited":[],"omitted":[],"custom":[]} CSL_BIBLIOGRAPHY </w:instrText>
      </w:r>
      <w:r w:rsidRPr="00C67C50">
        <w:rPr>
          <w:rFonts w:ascii="Arial" w:hAnsi="Arial" w:cs="Arial"/>
        </w:rPr>
        <w:fldChar w:fldCharType="separate"/>
      </w:r>
      <w:r w:rsidRPr="00C67C50">
        <w:rPr>
          <w:rFonts w:ascii="Arial" w:hAnsi="Arial" w:cs="Arial"/>
          <w:lang w:val="en-US"/>
        </w:rPr>
        <w:t xml:space="preserve">Al-Aidroos, N., Said, C. P., &amp; Turk-Browne, N. B. (2012). Top-down attention switches coupling between low-level and high-level areas of human visual cortex. </w:t>
      </w:r>
      <w:r w:rsidRPr="00C67C50">
        <w:rPr>
          <w:rFonts w:ascii="Arial" w:hAnsi="Arial" w:cs="Arial"/>
          <w:i/>
          <w:iCs/>
          <w:lang w:val="en-US"/>
        </w:rPr>
        <w:t>Proceedings of the National Academy of Sciences of the United States of America</w:t>
      </w:r>
      <w:r w:rsidRPr="00C67C50">
        <w:rPr>
          <w:rFonts w:ascii="Arial" w:hAnsi="Arial" w:cs="Arial"/>
          <w:lang w:val="en-US"/>
        </w:rPr>
        <w:t xml:space="preserve">, </w:t>
      </w:r>
      <w:r w:rsidRPr="00C67C50">
        <w:rPr>
          <w:rFonts w:ascii="Arial" w:hAnsi="Arial" w:cs="Arial"/>
          <w:i/>
          <w:iCs/>
          <w:lang w:val="en-US"/>
        </w:rPr>
        <w:t>109</w:t>
      </w:r>
      <w:r w:rsidRPr="00C67C50">
        <w:rPr>
          <w:rFonts w:ascii="Arial" w:hAnsi="Arial" w:cs="Arial"/>
          <w:lang w:val="en-US"/>
        </w:rPr>
        <w:t>(36), 14675–14680. https://doi.org/10.1073/pnas.1202095109</w:t>
      </w:r>
    </w:p>
    <w:p w14:paraId="1A19637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Alink, A., Walther, A., Krugliak, A., &amp; Kriegeskorte, N. (2017). Local opposite orientation preferences in V1: FMRI sensitivity to fine-grained pattern information. </w:t>
      </w:r>
      <w:r w:rsidRPr="00C67C50">
        <w:rPr>
          <w:rFonts w:ascii="Arial" w:hAnsi="Arial" w:cs="Arial"/>
          <w:i/>
          <w:iCs/>
          <w:lang w:val="en-US"/>
        </w:rPr>
        <w:t>Scientific Reports</w:t>
      </w:r>
      <w:r w:rsidRPr="00C67C50">
        <w:rPr>
          <w:rFonts w:ascii="Arial" w:hAnsi="Arial" w:cs="Arial"/>
          <w:lang w:val="en-US"/>
        </w:rPr>
        <w:t xml:space="preserve">, </w:t>
      </w:r>
      <w:r w:rsidRPr="00C67C50">
        <w:rPr>
          <w:rFonts w:ascii="Arial" w:hAnsi="Arial" w:cs="Arial"/>
          <w:i/>
          <w:iCs/>
          <w:lang w:val="en-US"/>
        </w:rPr>
        <w:t>7</w:t>
      </w:r>
      <w:r w:rsidRPr="00C67C50">
        <w:rPr>
          <w:rFonts w:ascii="Arial" w:hAnsi="Arial" w:cs="Arial"/>
          <w:lang w:val="en-US"/>
        </w:rPr>
        <w:t>(1), 7128. https://doi.org/10.1038/s41598-017-07036-8</w:t>
      </w:r>
    </w:p>
    <w:p w14:paraId="5B097644"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Allison,  null, Puce,  null, &amp; McCarthy,  null. (2000). Social perception from visual cues: Role of the STS region. </w:t>
      </w:r>
      <w:r w:rsidRPr="00C67C50">
        <w:rPr>
          <w:rFonts w:ascii="Arial" w:hAnsi="Arial" w:cs="Arial"/>
          <w:i/>
          <w:iCs/>
          <w:lang w:val="en-US"/>
        </w:rPr>
        <w:t>Trends in Cognitive Sciences</w:t>
      </w:r>
      <w:r w:rsidRPr="00C67C50">
        <w:rPr>
          <w:rFonts w:ascii="Arial" w:hAnsi="Arial" w:cs="Arial"/>
          <w:lang w:val="en-US"/>
        </w:rPr>
        <w:t xml:space="preserve">, </w:t>
      </w:r>
      <w:r w:rsidRPr="00C67C50">
        <w:rPr>
          <w:rFonts w:ascii="Arial" w:hAnsi="Arial" w:cs="Arial"/>
          <w:i/>
          <w:iCs/>
          <w:lang w:val="en-US"/>
        </w:rPr>
        <w:t>4</w:t>
      </w:r>
      <w:r w:rsidRPr="00C67C50">
        <w:rPr>
          <w:rFonts w:ascii="Arial" w:hAnsi="Arial" w:cs="Arial"/>
          <w:lang w:val="en-US"/>
        </w:rPr>
        <w:t>(7), 267–278.</w:t>
      </w:r>
    </w:p>
    <w:p w14:paraId="150AE4B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Andersen, S. K., Hillyard, S. A., &amp; Müller, M. M. (2013). Global Facilitation of Attended Features Is Obligatory and Restricts Divided Attention. </w:t>
      </w:r>
      <w:r w:rsidRPr="00C67C50">
        <w:rPr>
          <w:rFonts w:ascii="Arial" w:hAnsi="Arial" w:cs="Arial"/>
          <w:i/>
          <w:iCs/>
          <w:lang w:val="en-US"/>
        </w:rPr>
        <w:t>The Journal of Neuroscience</w:t>
      </w:r>
      <w:r w:rsidRPr="00C67C50">
        <w:rPr>
          <w:rFonts w:ascii="Arial" w:hAnsi="Arial" w:cs="Arial"/>
          <w:lang w:val="en-US"/>
        </w:rPr>
        <w:t xml:space="preserve">, </w:t>
      </w:r>
      <w:r w:rsidRPr="00C67C50">
        <w:rPr>
          <w:rFonts w:ascii="Arial" w:hAnsi="Arial" w:cs="Arial"/>
          <w:i/>
          <w:iCs/>
          <w:lang w:val="en-US"/>
        </w:rPr>
        <w:t>33</w:t>
      </w:r>
      <w:r w:rsidRPr="00C67C50">
        <w:rPr>
          <w:rFonts w:ascii="Arial" w:hAnsi="Arial" w:cs="Arial"/>
          <w:lang w:val="en-US"/>
        </w:rPr>
        <w:t>(46), 18200–18207. https://doi.org/10.1523/JNEUROSCI.1913-13.2013</w:t>
      </w:r>
    </w:p>
    <w:p w14:paraId="5DF554C3"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Anstis, S., &amp; Cavanagh, P. (1983). </w:t>
      </w:r>
      <w:r w:rsidRPr="00C67C50">
        <w:rPr>
          <w:rFonts w:ascii="Arial" w:hAnsi="Arial" w:cs="Arial"/>
          <w:i/>
          <w:iCs/>
          <w:lang w:val="en-US"/>
        </w:rPr>
        <w:t>A minimum motion technique for judging equiluminance</w:t>
      </w:r>
      <w:r w:rsidRPr="00C67C50">
        <w:rPr>
          <w:rFonts w:ascii="Arial" w:hAnsi="Arial" w:cs="Arial"/>
          <w:lang w:val="en-US"/>
        </w:rPr>
        <w:t>. York University.</w:t>
      </w:r>
    </w:p>
    <w:p w14:paraId="27C1A89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Anticevic, A., Cole, M. W., Murray, J. D., Corlett, P. R., Wang, X.-J., &amp; Krystal, J. H. (2012). The Role of Default Network Deactivation in Cognition and Disease. </w:t>
      </w:r>
      <w:r w:rsidRPr="00C67C50">
        <w:rPr>
          <w:rFonts w:ascii="Arial" w:hAnsi="Arial" w:cs="Arial"/>
          <w:i/>
          <w:iCs/>
          <w:lang w:val="en-US"/>
        </w:rPr>
        <w:t>Trends in Cognitive Sciences</w:t>
      </w:r>
      <w:r w:rsidRPr="00C67C50">
        <w:rPr>
          <w:rFonts w:ascii="Arial" w:hAnsi="Arial" w:cs="Arial"/>
          <w:lang w:val="en-US"/>
        </w:rPr>
        <w:t xml:space="preserve">, </w:t>
      </w:r>
      <w:r w:rsidRPr="00C67C50">
        <w:rPr>
          <w:rFonts w:ascii="Arial" w:hAnsi="Arial" w:cs="Arial"/>
          <w:i/>
          <w:iCs/>
          <w:lang w:val="en-US"/>
        </w:rPr>
        <w:t>16</w:t>
      </w:r>
      <w:r w:rsidRPr="00C67C50">
        <w:rPr>
          <w:rFonts w:ascii="Arial" w:hAnsi="Arial" w:cs="Arial"/>
          <w:lang w:val="en-US"/>
        </w:rPr>
        <w:t>(12), 584–592. https://doi.org/10.1016/j.tics.2012.10.008</w:t>
      </w:r>
    </w:p>
    <w:p w14:paraId="4B6D63F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Awh, E., Belopolsky, A. V., &amp; Theeuwes, J. (2012). Top-down versus bottom-up attentional control: A failed theoretical dichotomy. </w:t>
      </w:r>
      <w:r w:rsidRPr="00C67C50">
        <w:rPr>
          <w:rFonts w:ascii="Arial" w:hAnsi="Arial" w:cs="Arial"/>
          <w:i/>
          <w:iCs/>
          <w:lang w:val="en-US"/>
        </w:rPr>
        <w:t xml:space="preserve">Trends in </w:t>
      </w:r>
      <w:r w:rsidRPr="00C67C50">
        <w:rPr>
          <w:rFonts w:ascii="Arial" w:hAnsi="Arial" w:cs="Arial"/>
          <w:i/>
          <w:iCs/>
          <w:lang w:val="en-US"/>
        </w:rPr>
        <w:lastRenderedPageBreak/>
        <w:t>Cognitive Sciences</w:t>
      </w:r>
      <w:r w:rsidRPr="00C67C50">
        <w:rPr>
          <w:rFonts w:ascii="Arial" w:hAnsi="Arial" w:cs="Arial"/>
          <w:lang w:val="en-US"/>
        </w:rPr>
        <w:t xml:space="preserve">, </w:t>
      </w:r>
      <w:r w:rsidRPr="00C67C50">
        <w:rPr>
          <w:rFonts w:ascii="Arial" w:hAnsi="Arial" w:cs="Arial"/>
          <w:i/>
          <w:iCs/>
          <w:lang w:val="en-US"/>
        </w:rPr>
        <w:t>16</w:t>
      </w:r>
      <w:r w:rsidRPr="00C67C50">
        <w:rPr>
          <w:rFonts w:ascii="Arial" w:hAnsi="Arial" w:cs="Arial"/>
          <w:lang w:val="en-US"/>
        </w:rPr>
        <w:t>(8), 437–443. https://doi.org/10.1016/j.tics.2012.06.010</w:t>
      </w:r>
    </w:p>
    <w:p w14:paraId="3EA12D5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Bailes, H. J., &amp; Lucas, R. J. (2013). Human melanopsin forms a pigment maximally sensitive to blue light (λmax ≈ 479 nm) supporting activation of G(q/11) and G(i/o) signalling cascades. </w:t>
      </w:r>
      <w:r w:rsidRPr="00C67C50">
        <w:rPr>
          <w:rFonts w:ascii="Arial" w:hAnsi="Arial" w:cs="Arial"/>
          <w:i/>
          <w:iCs/>
          <w:lang w:val="en-US"/>
        </w:rPr>
        <w:t>Proceedings. Biological Sciences</w:t>
      </w:r>
      <w:r w:rsidRPr="00C67C50">
        <w:rPr>
          <w:rFonts w:ascii="Arial" w:hAnsi="Arial" w:cs="Arial"/>
          <w:lang w:val="en-US"/>
        </w:rPr>
        <w:t xml:space="preserve">, </w:t>
      </w:r>
      <w:r w:rsidRPr="00C67C50">
        <w:rPr>
          <w:rFonts w:ascii="Arial" w:hAnsi="Arial" w:cs="Arial"/>
          <w:i/>
          <w:iCs/>
          <w:lang w:val="en-US"/>
        </w:rPr>
        <w:t>280</w:t>
      </w:r>
      <w:r w:rsidRPr="00C67C50">
        <w:rPr>
          <w:rFonts w:ascii="Arial" w:hAnsi="Arial" w:cs="Arial"/>
          <w:lang w:val="en-US"/>
        </w:rPr>
        <w:t>(1759), 20122987. https://doi.org/10.1098/rspb.2012.2987</w:t>
      </w:r>
    </w:p>
    <w:p w14:paraId="4855FD7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Bartels, A, Zeki, S., &amp; Logothetis, N. K. (2008). Natural vision reveals regional specialization to local motion and to contrast-invariant, global flow in the human brain. </w:t>
      </w:r>
      <w:r w:rsidRPr="00C67C50">
        <w:rPr>
          <w:rFonts w:ascii="Arial" w:hAnsi="Arial" w:cs="Arial"/>
          <w:i/>
          <w:iCs/>
          <w:lang w:val="en-US"/>
        </w:rPr>
        <w:t>Cerebral Cortex (New York, N.Y.: 1991)</w:t>
      </w:r>
      <w:r w:rsidRPr="00C67C50">
        <w:rPr>
          <w:rFonts w:ascii="Arial" w:hAnsi="Arial" w:cs="Arial"/>
          <w:lang w:val="en-US"/>
        </w:rPr>
        <w:t xml:space="preserve">, </w:t>
      </w:r>
      <w:r w:rsidRPr="00C67C50">
        <w:rPr>
          <w:rFonts w:ascii="Arial" w:hAnsi="Arial" w:cs="Arial"/>
          <w:i/>
          <w:iCs/>
          <w:lang w:val="en-US"/>
        </w:rPr>
        <w:t>18</w:t>
      </w:r>
      <w:r w:rsidRPr="00C67C50">
        <w:rPr>
          <w:rFonts w:ascii="Arial" w:hAnsi="Arial" w:cs="Arial"/>
          <w:lang w:val="en-US"/>
        </w:rPr>
        <w:t>(3), 705–717. https://doi.org/10.1093/cercor/bhm107</w:t>
      </w:r>
    </w:p>
    <w:p w14:paraId="25E965F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Bartels, Andreas, &amp; Zeki, S. (2004a). Functional brain mapping during free viewing of natural scenes. </w:t>
      </w:r>
      <w:r w:rsidRPr="00C67C50">
        <w:rPr>
          <w:rFonts w:ascii="Arial" w:hAnsi="Arial" w:cs="Arial"/>
          <w:i/>
          <w:iCs/>
          <w:lang w:val="en-US"/>
        </w:rPr>
        <w:t>Human Brain Mapping</w:t>
      </w:r>
      <w:r w:rsidRPr="00C67C50">
        <w:rPr>
          <w:rFonts w:ascii="Arial" w:hAnsi="Arial" w:cs="Arial"/>
          <w:lang w:val="en-US"/>
        </w:rPr>
        <w:t xml:space="preserve">, </w:t>
      </w:r>
      <w:r w:rsidRPr="00C67C50">
        <w:rPr>
          <w:rFonts w:ascii="Arial" w:hAnsi="Arial" w:cs="Arial"/>
          <w:i/>
          <w:iCs/>
          <w:lang w:val="en-US"/>
        </w:rPr>
        <w:t>21</w:t>
      </w:r>
      <w:r w:rsidRPr="00C67C50">
        <w:rPr>
          <w:rFonts w:ascii="Arial" w:hAnsi="Arial" w:cs="Arial"/>
          <w:lang w:val="en-US"/>
        </w:rPr>
        <w:t>(2), 75–85. https://doi.org/10.1002/hbm.10153</w:t>
      </w:r>
    </w:p>
    <w:p w14:paraId="05F8B2B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Bartels, Andreas, &amp; Zeki, S. (2004b). The chronoarchitecture of the human brain—Natural viewing conditions reveal a time-based anatomy of the brain.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22</w:t>
      </w:r>
      <w:r w:rsidRPr="00C67C50">
        <w:rPr>
          <w:rFonts w:ascii="Arial" w:hAnsi="Arial" w:cs="Arial"/>
          <w:lang w:val="en-US"/>
        </w:rPr>
        <w:t>(1), 419–433. https://doi.org/10.1016/j.neuroimage.2004.01.007</w:t>
      </w:r>
    </w:p>
    <w:p w14:paraId="30ED842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Bartels, Andreas, &amp; Zeki, S. (2005). Brain dynamics during natural viewing conditions—A new guide for mapping connectivity in vivo.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24</w:t>
      </w:r>
      <w:r w:rsidRPr="00C67C50">
        <w:rPr>
          <w:rFonts w:ascii="Arial" w:hAnsi="Arial" w:cs="Arial"/>
          <w:lang w:val="en-US"/>
        </w:rPr>
        <w:t>(2), 339–349. https://doi.org/10.1016/j.neuroimage.2004.08.044</w:t>
      </w:r>
    </w:p>
    <w:p w14:paraId="22F3AC4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Beauchamp, M. S., Cox, R. W., &amp; DeYoe, E. A. (1997). Graded effects of spatial and featural attention on human area MT and associated motion processing areas. </w:t>
      </w:r>
      <w:r w:rsidRPr="00C67C50">
        <w:rPr>
          <w:rFonts w:ascii="Arial" w:hAnsi="Arial" w:cs="Arial"/>
          <w:i/>
          <w:iCs/>
          <w:lang w:val="en-US"/>
        </w:rPr>
        <w:t>Journal of Neurophysiology</w:t>
      </w:r>
      <w:r w:rsidRPr="00C67C50">
        <w:rPr>
          <w:rFonts w:ascii="Arial" w:hAnsi="Arial" w:cs="Arial"/>
          <w:lang w:val="en-US"/>
        </w:rPr>
        <w:t xml:space="preserve">, </w:t>
      </w:r>
      <w:r w:rsidRPr="00C67C50">
        <w:rPr>
          <w:rFonts w:ascii="Arial" w:hAnsi="Arial" w:cs="Arial"/>
          <w:i/>
          <w:iCs/>
          <w:lang w:val="en-US"/>
        </w:rPr>
        <w:t>78</w:t>
      </w:r>
      <w:r w:rsidRPr="00C67C50">
        <w:rPr>
          <w:rFonts w:ascii="Arial" w:hAnsi="Arial" w:cs="Arial"/>
          <w:lang w:val="en-US"/>
        </w:rPr>
        <w:t>(1), 516–520. https://doi.org/10.1152/jn.1997.78.1.516</w:t>
      </w:r>
    </w:p>
    <w:p w14:paraId="7925E188"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Beckett, A., Peirce, J. W., Sanchez-Panchuelo, R.-M., Francis, S., &amp; Schluppeck, D. (2012). Contribution of large scale biases in decoding of direction-of-motion from high-resolution fMRI data in human early visual cortex.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63</w:t>
      </w:r>
      <w:r w:rsidRPr="00C67C50">
        <w:rPr>
          <w:rFonts w:ascii="Arial" w:hAnsi="Arial" w:cs="Arial"/>
          <w:lang w:val="en-US"/>
        </w:rPr>
        <w:t>(3), 1623–1632. https://doi.org/10.1016/j.neuroimage.2012.07.066</w:t>
      </w:r>
    </w:p>
    <w:p w14:paraId="3D4A1D43"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Bell, J., Forsyth, M., Badcock, D. R., &amp; Kingdom, F. A. A. (2014). Global shape processing involves feature-selective and feature-agnostic coding mechanisms. </w:t>
      </w:r>
      <w:r w:rsidRPr="00C67C50">
        <w:rPr>
          <w:rFonts w:ascii="Arial" w:hAnsi="Arial" w:cs="Arial"/>
          <w:i/>
          <w:iCs/>
          <w:lang w:val="en-US"/>
        </w:rPr>
        <w:t>Journal of Vision</w:t>
      </w:r>
      <w:r w:rsidRPr="00C67C50">
        <w:rPr>
          <w:rFonts w:ascii="Arial" w:hAnsi="Arial" w:cs="Arial"/>
          <w:lang w:val="en-US"/>
        </w:rPr>
        <w:t xml:space="preserve">, </w:t>
      </w:r>
      <w:r w:rsidRPr="00C67C50">
        <w:rPr>
          <w:rFonts w:ascii="Arial" w:hAnsi="Arial" w:cs="Arial"/>
          <w:i/>
          <w:iCs/>
          <w:lang w:val="en-US"/>
        </w:rPr>
        <w:t>14</w:t>
      </w:r>
      <w:r w:rsidRPr="00C67C50">
        <w:rPr>
          <w:rFonts w:ascii="Arial" w:hAnsi="Arial" w:cs="Arial"/>
          <w:lang w:val="en-US"/>
        </w:rPr>
        <w:t>(11). https://doi.org/10.1167/14.11.12</w:t>
      </w:r>
    </w:p>
    <w:p w14:paraId="5F515AB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Benjamini, Y., &amp; Hochberg, Y. (1995). Controlling the false discovery rate: A practical and powerful approach to multiple testing. </w:t>
      </w:r>
      <w:r w:rsidRPr="00C67C50">
        <w:rPr>
          <w:rFonts w:ascii="Arial" w:hAnsi="Arial" w:cs="Arial"/>
          <w:i/>
          <w:iCs/>
          <w:lang w:val="en-US"/>
        </w:rPr>
        <w:t>Journal of the Royal Statistical Society: Series B (Methodological)</w:t>
      </w:r>
      <w:r w:rsidRPr="00C67C50">
        <w:rPr>
          <w:rFonts w:ascii="Arial" w:hAnsi="Arial" w:cs="Arial"/>
          <w:lang w:val="en-US"/>
        </w:rPr>
        <w:t xml:space="preserve">, </w:t>
      </w:r>
      <w:r w:rsidRPr="00C67C50">
        <w:rPr>
          <w:rFonts w:ascii="Arial" w:hAnsi="Arial" w:cs="Arial"/>
          <w:i/>
          <w:iCs/>
          <w:lang w:val="en-US"/>
        </w:rPr>
        <w:t>57</w:t>
      </w:r>
      <w:r w:rsidRPr="00C67C50">
        <w:rPr>
          <w:rFonts w:ascii="Arial" w:hAnsi="Arial" w:cs="Arial"/>
          <w:lang w:val="en-US"/>
        </w:rPr>
        <w:t>(1), 289–300.</w:t>
      </w:r>
    </w:p>
    <w:p w14:paraId="4F132F3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Born, R. T., &amp; Bradley, D. C. (2005). Structure and function of visual area MT. </w:t>
      </w:r>
      <w:r w:rsidRPr="00C67C50">
        <w:rPr>
          <w:rFonts w:ascii="Arial" w:hAnsi="Arial" w:cs="Arial"/>
          <w:i/>
          <w:iCs/>
          <w:lang w:val="en-US"/>
        </w:rPr>
        <w:t>Annual Review of Neuroscience</w:t>
      </w:r>
      <w:r w:rsidRPr="00C67C50">
        <w:rPr>
          <w:rFonts w:ascii="Arial" w:hAnsi="Arial" w:cs="Arial"/>
          <w:lang w:val="en-US"/>
        </w:rPr>
        <w:t xml:space="preserve">, </w:t>
      </w:r>
      <w:r w:rsidRPr="00C67C50">
        <w:rPr>
          <w:rFonts w:ascii="Arial" w:hAnsi="Arial" w:cs="Arial"/>
          <w:i/>
          <w:iCs/>
          <w:lang w:val="en-US"/>
        </w:rPr>
        <w:t>28</w:t>
      </w:r>
      <w:r w:rsidRPr="00C67C50">
        <w:rPr>
          <w:rFonts w:ascii="Arial" w:hAnsi="Arial" w:cs="Arial"/>
          <w:lang w:val="en-US"/>
        </w:rPr>
        <w:t>, 157–189. https://doi.org/10.1146/annurev.neuro.26.041002.131052</w:t>
      </w:r>
    </w:p>
    <w:p w14:paraId="2E067AE4"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Bowmaker, J. K., &amp; Dartnall, H. J. (1980). Visual pigments of rods and cones in a human retina. </w:t>
      </w:r>
      <w:r w:rsidRPr="00C67C50">
        <w:rPr>
          <w:rFonts w:ascii="Arial" w:hAnsi="Arial" w:cs="Arial"/>
          <w:i/>
          <w:iCs/>
          <w:lang w:val="en-US"/>
        </w:rPr>
        <w:t>The Journal of Physiology</w:t>
      </w:r>
      <w:r w:rsidRPr="00C67C50">
        <w:rPr>
          <w:rFonts w:ascii="Arial" w:hAnsi="Arial" w:cs="Arial"/>
          <w:lang w:val="en-US"/>
        </w:rPr>
        <w:t xml:space="preserve">, </w:t>
      </w:r>
      <w:r w:rsidRPr="00C67C50">
        <w:rPr>
          <w:rFonts w:ascii="Arial" w:hAnsi="Arial" w:cs="Arial"/>
          <w:i/>
          <w:iCs/>
          <w:lang w:val="en-US"/>
        </w:rPr>
        <w:t>298</w:t>
      </w:r>
      <w:r w:rsidRPr="00C67C50">
        <w:rPr>
          <w:rFonts w:ascii="Arial" w:hAnsi="Arial" w:cs="Arial"/>
          <w:lang w:val="en-US"/>
        </w:rPr>
        <w:t>, 501–511. https://doi.org/10.1113/jphysiol.1980.sp013097</w:t>
      </w:r>
    </w:p>
    <w:p w14:paraId="49A53B9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Brainard, D. H. (1997). The psychophysics toolbox. </w:t>
      </w:r>
      <w:r w:rsidRPr="00C67C50">
        <w:rPr>
          <w:rFonts w:ascii="Arial" w:hAnsi="Arial" w:cs="Arial"/>
          <w:i/>
          <w:iCs/>
          <w:lang w:val="en-US"/>
        </w:rPr>
        <w:t>Spatial Vision</w:t>
      </w:r>
      <w:r w:rsidRPr="00C67C50">
        <w:rPr>
          <w:rFonts w:ascii="Arial" w:hAnsi="Arial" w:cs="Arial"/>
          <w:lang w:val="en-US"/>
        </w:rPr>
        <w:t xml:space="preserve">, </w:t>
      </w:r>
      <w:r w:rsidRPr="00C67C50">
        <w:rPr>
          <w:rFonts w:ascii="Arial" w:hAnsi="Arial" w:cs="Arial"/>
          <w:i/>
          <w:iCs/>
          <w:lang w:val="en-US"/>
        </w:rPr>
        <w:t>10</w:t>
      </w:r>
      <w:r w:rsidRPr="00C67C50">
        <w:rPr>
          <w:rFonts w:ascii="Arial" w:hAnsi="Arial" w:cs="Arial"/>
          <w:lang w:val="en-US"/>
        </w:rPr>
        <w:t>, 433–436.</w:t>
      </w:r>
    </w:p>
    <w:p w14:paraId="62ECFE7A"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Bressler, S. L., Tang, W., Sylvester, C. M., Shulman, G. L., &amp; Corbetta, M. (2008). Top-down control of human visual cortex by frontal and parietal cortex in anticipatory visual spatial attention. </w:t>
      </w:r>
      <w:r w:rsidRPr="00C67C50">
        <w:rPr>
          <w:rFonts w:ascii="Arial" w:hAnsi="Arial" w:cs="Arial"/>
          <w:i/>
          <w:iCs/>
          <w:lang w:val="en-US"/>
        </w:rPr>
        <w:t>The Journal of Neuroscience: The Official Journal of the Society for Neuroscience</w:t>
      </w:r>
      <w:r w:rsidRPr="00C67C50">
        <w:rPr>
          <w:rFonts w:ascii="Arial" w:hAnsi="Arial" w:cs="Arial"/>
          <w:lang w:val="en-US"/>
        </w:rPr>
        <w:t xml:space="preserve">, </w:t>
      </w:r>
      <w:r w:rsidRPr="00C67C50">
        <w:rPr>
          <w:rFonts w:ascii="Arial" w:hAnsi="Arial" w:cs="Arial"/>
          <w:i/>
          <w:iCs/>
          <w:lang w:val="en-US"/>
        </w:rPr>
        <w:t>28</w:t>
      </w:r>
      <w:r w:rsidRPr="00C67C50">
        <w:rPr>
          <w:rFonts w:ascii="Arial" w:hAnsi="Arial" w:cs="Arial"/>
          <w:lang w:val="en-US"/>
        </w:rPr>
        <w:t>(40), 10056–10061. https://doi.org/10.1523/JNEUROSCI.1776-08.2008</w:t>
      </w:r>
    </w:p>
    <w:p w14:paraId="38EB859B"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Broadbent, D. E. (1958). </w:t>
      </w:r>
      <w:r w:rsidRPr="00C67C50">
        <w:rPr>
          <w:rFonts w:ascii="Arial" w:hAnsi="Arial" w:cs="Arial"/>
          <w:i/>
          <w:iCs/>
          <w:lang w:val="en-US"/>
        </w:rPr>
        <w:t>Perception and Communication</w:t>
      </w:r>
      <w:r w:rsidRPr="00C67C50">
        <w:rPr>
          <w:rFonts w:ascii="Arial" w:hAnsi="Arial" w:cs="Arial"/>
          <w:lang w:val="en-US"/>
        </w:rPr>
        <w:t>. London: Plenum Press.</w:t>
      </w:r>
    </w:p>
    <w:p w14:paraId="3E716BB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Brouwer, G. J., &amp; Heeger, D. J. (2009). Decoding and reconstructing color from responses in human visual cortex. </w:t>
      </w:r>
      <w:r w:rsidRPr="00C67C50">
        <w:rPr>
          <w:rFonts w:ascii="Arial" w:hAnsi="Arial" w:cs="Arial"/>
          <w:i/>
          <w:iCs/>
          <w:lang w:val="en-US"/>
        </w:rPr>
        <w:t>The Journal of Neuroscience: The Official Journal of the Society for Neuroscience</w:t>
      </w:r>
      <w:r w:rsidRPr="00C67C50">
        <w:rPr>
          <w:rFonts w:ascii="Arial" w:hAnsi="Arial" w:cs="Arial"/>
          <w:lang w:val="en-US"/>
        </w:rPr>
        <w:t xml:space="preserve">, </w:t>
      </w:r>
      <w:r w:rsidRPr="00C67C50">
        <w:rPr>
          <w:rFonts w:ascii="Arial" w:hAnsi="Arial" w:cs="Arial"/>
          <w:i/>
          <w:iCs/>
          <w:lang w:val="en-US"/>
        </w:rPr>
        <w:t>29</w:t>
      </w:r>
      <w:r w:rsidRPr="00C67C50">
        <w:rPr>
          <w:rFonts w:ascii="Arial" w:hAnsi="Arial" w:cs="Arial"/>
          <w:lang w:val="en-US"/>
        </w:rPr>
        <w:t>(44), 13992–14003. https://doi.org/10.1523/JNEUROSCI.3577-09.2009</w:t>
      </w:r>
    </w:p>
    <w:p w14:paraId="203F291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Buck, C., &amp; Lee, J. (2013). </w:t>
      </w:r>
      <w:r w:rsidRPr="00C67C50">
        <w:rPr>
          <w:rFonts w:ascii="Arial" w:hAnsi="Arial" w:cs="Arial"/>
          <w:i/>
          <w:iCs/>
          <w:lang w:val="en-US"/>
        </w:rPr>
        <w:t>Frozen</w:t>
      </w:r>
      <w:r w:rsidRPr="00C67C50">
        <w:rPr>
          <w:rFonts w:ascii="Arial" w:hAnsi="Arial" w:cs="Arial"/>
          <w:lang w:val="en-US"/>
        </w:rPr>
        <w:t>. United States: Walt Disney Animation Studios.</w:t>
      </w:r>
    </w:p>
    <w:p w14:paraId="32186C1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Buckner, R. L., Andrews-Hanna, J. R., &amp; Schacter, D. L. (2008). The brain’s default network: Anatomy, function, and relevance to disease. </w:t>
      </w:r>
      <w:r w:rsidRPr="00C67C50">
        <w:rPr>
          <w:rFonts w:ascii="Arial" w:hAnsi="Arial" w:cs="Arial"/>
          <w:i/>
          <w:iCs/>
          <w:lang w:val="en-US"/>
        </w:rPr>
        <w:t>Annals of the New York Academy of Sciences</w:t>
      </w:r>
      <w:r w:rsidRPr="00C67C50">
        <w:rPr>
          <w:rFonts w:ascii="Arial" w:hAnsi="Arial" w:cs="Arial"/>
          <w:lang w:val="en-US"/>
        </w:rPr>
        <w:t xml:space="preserve">, </w:t>
      </w:r>
      <w:r w:rsidRPr="00C67C50">
        <w:rPr>
          <w:rFonts w:ascii="Arial" w:hAnsi="Arial" w:cs="Arial"/>
          <w:i/>
          <w:iCs/>
          <w:lang w:val="en-US"/>
        </w:rPr>
        <w:t>1124</w:t>
      </w:r>
      <w:r w:rsidRPr="00C67C50">
        <w:rPr>
          <w:rFonts w:ascii="Arial" w:hAnsi="Arial" w:cs="Arial"/>
          <w:lang w:val="en-US"/>
        </w:rPr>
        <w:t>, 1–38. https://doi.org/10.1196/annals.1440.011</w:t>
      </w:r>
    </w:p>
    <w:p w14:paraId="6DF7772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Buffalo, E. A., Fries, P., Landman, R., Liang, H., &amp; Desimone, R. (2010). A backward progression of attentional effects in the ventral stream. </w:t>
      </w:r>
      <w:r w:rsidRPr="00C67C50">
        <w:rPr>
          <w:rFonts w:ascii="Arial" w:hAnsi="Arial" w:cs="Arial"/>
          <w:i/>
          <w:iCs/>
          <w:lang w:val="en-US"/>
        </w:rPr>
        <w:t>Proceedings of the National Academy of Sciences of the United States of America</w:t>
      </w:r>
      <w:r w:rsidRPr="00C67C50">
        <w:rPr>
          <w:rFonts w:ascii="Arial" w:hAnsi="Arial" w:cs="Arial"/>
          <w:lang w:val="en-US"/>
        </w:rPr>
        <w:t xml:space="preserve">, </w:t>
      </w:r>
      <w:r w:rsidRPr="00C67C50">
        <w:rPr>
          <w:rFonts w:ascii="Arial" w:hAnsi="Arial" w:cs="Arial"/>
          <w:i/>
          <w:iCs/>
          <w:lang w:val="en-US"/>
        </w:rPr>
        <w:t>107</w:t>
      </w:r>
      <w:r w:rsidRPr="00C67C50">
        <w:rPr>
          <w:rFonts w:ascii="Arial" w:hAnsi="Arial" w:cs="Arial"/>
          <w:lang w:val="en-US"/>
        </w:rPr>
        <w:t>(1), 361–365. https://doi.org/10.1073/pnas.0907658106</w:t>
      </w:r>
    </w:p>
    <w:p w14:paraId="49A43531"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Carandini, M., Demb, J. B., Mante, V., Tolhurst, D. J., Dan, Y., Olshausen, B. A., … Rust, N. C. (2005). Do we know what the early visual system does? </w:t>
      </w:r>
      <w:r w:rsidRPr="00C67C50">
        <w:rPr>
          <w:rFonts w:ascii="Arial" w:hAnsi="Arial" w:cs="Arial"/>
          <w:i/>
          <w:iCs/>
          <w:lang w:val="en-US"/>
        </w:rPr>
        <w:t>The Journal of Neuroscience: The Official Journal of the Society for Neuroscience</w:t>
      </w:r>
      <w:r w:rsidRPr="00C67C50">
        <w:rPr>
          <w:rFonts w:ascii="Arial" w:hAnsi="Arial" w:cs="Arial"/>
          <w:lang w:val="en-US"/>
        </w:rPr>
        <w:t xml:space="preserve">, </w:t>
      </w:r>
      <w:r w:rsidRPr="00C67C50">
        <w:rPr>
          <w:rFonts w:ascii="Arial" w:hAnsi="Arial" w:cs="Arial"/>
          <w:i/>
          <w:iCs/>
          <w:lang w:val="en-US"/>
        </w:rPr>
        <w:t>25</w:t>
      </w:r>
      <w:r w:rsidRPr="00C67C50">
        <w:rPr>
          <w:rFonts w:ascii="Arial" w:hAnsi="Arial" w:cs="Arial"/>
          <w:lang w:val="en-US"/>
        </w:rPr>
        <w:t>(46), 10577–10597. https://doi.org/10.1523/JNEUROSCI.3726-05.2005</w:t>
      </w:r>
    </w:p>
    <w:p w14:paraId="3B99810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Carandini, M., &amp; Heeger, D. J. (2011). Normalization as a canonical neural computation. </w:t>
      </w:r>
      <w:r w:rsidRPr="00C67C50">
        <w:rPr>
          <w:rFonts w:ascii="Arial" w:hAnsi="Arial" w:cs="Arial"/>
          <w:i/>
          <w:iCs/>
          <w:lang w:val="en-US"/>
        </w:rPr>
        <w:t>Nature Reviews. Neuroscience</w:t>
      </w:r>
      <w:r w:rsidRPr="00C67C50">
        <w:rPr>
          <w:rFonts w:ascii="Arial" w:hAnsi="Arial" w:cs="Arial"/>
          <w:lang w:val="en-US"/>
        </w:rPr>
        <w:t xml:space="preserve">, </w:t>
      </w:r>
      <w:r w:rsidRPr="00C67C50">
        <w:rPr>
          <w:rFonts w:ascii="Arial" w:hAnsi="Arial" w:cs="Arial"/>
          <w:i/>
          <w:iCs/>
          <w:lang w:val="en-US"/>
        </w:rPr>
        <w:t>13</w:t>
      </w:r>
      <w:r w:rsidRPr="00C67C50">
        <w:rPr>
          <w:rFonts w:ascii="Arial" w:hAnsi="Arial" w:cs="Arial"/>
          <w:lang w:val="en-US"/>
        </w:rPr>
        <w:t>(1), 51–62. https://doi.org/10.1038/nrn3136</w:t>
      </w:r>
    </w:p>
    <w:p w14:paraId="0AF7B66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Carpenter, R. H. S. (1988). </w:t>
      </w:r>
      <w:r w:rsidRPr="00C67C50">
        <w:rPr>
          <w:rFonts w:ascii="Arial" w:hAnsi="Arial" w:cs="Arial"/>
          <w:i/>
          <w:iCs/>
          <w:lang w:val="en-US"/>
        </w:rPr>
        <w:t>Movements of the eyes</w:t>
      </w:r>
      <w:r w:rsidRPr="00C67C50">
        <w:rPr>
          <w:rFonts w:ascii="Arial" w:hAnsi="Arial" w:cs="Arial"/>
          <w:lang w:val="en-US"/>
        </w:rPr>
        <w:t>. Pion.</w:t>
      </w:r>
    </w:p>
    <w:p w14:paraId="5C1E0EA5"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Carrasco, M. (2011). Visual attention: The past 25 years. </w:t>
      </w:r>
      <w:r w:rsidRPr="00C67C50">
        <w:rPr>
          <w:rFonts w:ascii="Arial" w:hAnsi="Arial" w:cs="Arial"/>
          <w:i/>
          <w:iCs/>
          <w:lang w:val="en-US"/>
        </w:rPr>
        <w:t>Vision Research</w:t>
      </w:r>
      <w:r w:rsidRPr="00C67C50">
        <w:rPr>
          <w:rFonts w:ascii="Arial" w:hAnsi="Arial" w:cs="Arial"/>
          <w:lang w:val="en-US"/>
        </w:rPr>
        <w:t xml:space="preserve">, </w:t>
      </w:r>
      <w:r w:rsidRPr="00C67C50">
        <w:rPr>
          <w:rFonts w:ascii="Arial" w:hAnsi="Arial" w:cs="Arial"/>
          <w:i/>
          <w:iCs/>
          <w:lang w:val="en-US"/>
        </w:rPr>
        <w:t>51</w:t>
      </w:r>
      <w:r w:rsidRPr="00C67C50">
        <w:rPr>
          <w:rFonts w:ascii="Arial" w:hAnsi="Arial" w:cs="Arial"/>
          <w:lang w:val="en-US"/>
        </w:rPr>
        <w:t>(13), 1484–1525. https://doi.org/10.1016/j.visres.2011.04.012</w:t>
      </w:r>
    </w:p>
    <w:p w14:paraId="0824BFBD"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Casagrande, V. A. (1994). A third parallel visual pathway to primate area V1. </w:t>
      </w:r>
      <w:r w:rsidRPr="00C67C50">
        <w:rPr>
          <w:rFonts w:ascii="Arial" w:hAnsi="Arial" w:cs="Arial"/>
          <w:i/>
          <w:iCs/>
          <w:lang w:val="en-US"/>
        </w:rPr>
        <w:t>Trends in Neurosciences</w:t>
      </w:r>
      <w:r w:rsidRPr="00C67C50">
        <w:rPr>
          <w:rFonts w:ascii="Arial" w:hAnsi="Arial" w:cs="Arial"/>
          <w:lang w:val="en-US"/>
        </w:rPr>
        <w:t xml:space="preserve">, </w:t>
      </w:r>
      <w:r w:rsidRPr="00C67C50">
        <w:rPr>
          <w:rFonts w:ascii="Arial" w:hAnsi="Arial" w:cs="Arial"/>
          <w:i/>
          <w:iCs/>
          <w:lang w:val="en-US"/>
        </w:rPr>
        <w:t>17</w:t>
      </w:r>
      <w:r w:rsidRPr="00C67C50">
        <w:rPr>
          <w:rFonts w:ascii="Arial" w:hAnsi="Arial" w:cs="Arial"/>
          <w:lang w:val="en-US"/>
        </w:rPr>
        <w:t>(7), 305–310.</w:t>
      </w:r>
    </w:p>
    <w:p w14:paraId="04DC6971"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Cepeda, N. J., Cepeda, M. L., &amp; Kramer, A. F. (2000). Task switching and attention deficit hyperactivity disorder. </w:t>
      </w:r>
      <w:r w:rsidRPr="00C67C50">
        <w:rPr>
          <w:rFonts w:ascii="Arial" w:hAnsi="Arial" w:cs="Arial"/>
          <w:i/>
          <w:iCs/>
          <w:lang w:val="en-US"/>
        </w:rPr>
        <w:t>Journal of Abnormal Child Psychology</w:t>
      </w:r>
      <w:r w:rsidRPr="00C67C50">
        <w:rPr>
          <w:rFonts w:ascii="Arial" w:hAnsi="Arial" w:cs="Arial"/>
          <w:lang w:val="en-US"/>
        </w:rPr>
        <w:t xml:space="preserve">, </w:t>
      </w:r>
      <w:r w:rsidRPr="00C67C50">
        <w:rPr>
          <w:rFonts w:ascii="Arial" w:hAnsi="Arial" w:cs="Arial"/>
          <w:i/>
          <w:iCs/>
          <w:lang w:val="en-US"/>
        </w:rPr>
        <w:t>28</w:t>
      </w:r>
      <w:r w:rsidRPr="00C67C50">
        <w:rPr>
          <w:rFonts w:ascii="Arial" w:hAnsi="Arial" w:cs="Arial"/>
          <w:lang w:val="en-US"/>
        </w:rPr>
        <w:t>(3), 213–226.</w:t>
      </w:r>
    </w:p>
    <w:p w14:paraId="16C5B4D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Chang, C.-C., &amp; Lin, C.-J. (2011). “ LIBSVM: A library for support vector machines,” ACM Transactions on Intelligent Systems and Technology, 2: 27: 1–27: 27, 2011. </w:t>
      </w:r>
      <w:r w:rsidRPr="00C67C50">
        <w:rPr>
          <w:rFonts w:ascii="Arial" w:hAnsi="Arial" w:cs="Arial"/>
          <w:i/>
          <w:iCs/>
          <w:lang w:val="en-US"/>
        </w:rPr>
        <w:t>Http://Www. Csie. Ntu. Edu. Tw/</w:t>
      </w:r>
      <w:r w:rsidRPr="00C67C50">
        <w:rPr>
          <w:rFonts w:ascii="Cambria Math" w:hAnsi="Cambria Math" w:cs="Cambria Math"/>
          <w:i/>
          <w:iCs/>
          <w:lang w:val="en-US"/>
        </w:rPr>
        <w:t>∼</w:t>
      </w:r>
      <w:r w:rsidRPr="00C67C50">
        <w:rPr>
          <w:rFonts w:ascii="Arial" w:hAnsi="Arial" w:cs="Arial"/>
          <w:i/>
          <w:iCs/>
          <w:lang w:val="en-US"/>
        </w:rPr>
        <w:t xml:space="preserve"> Cjlin/Libsvm</w:t>
      </w:r>
      <w:r w:rsidRPr="00C67C50">
        <w:rPr>
          <w:rFonts w:ascii="Arial" w:hAnsi="Arial" w:cs="Arial"/>
          <w:lang w:val="en-US"/>
        </w:rPr>
        <w:t xml:space="preserve">, </w:t>
      </w:r>
      <w:r w:rsidRPr="00C67C50">
        <w:rPr>
          <w:rFonts w:ascii="Arial" w:hAnsi="Arial" w:cs="Arial"/>
          <w:i/>
          <w:iCs/>
          <w:lang w:val="en-US"/>
        </w:rPr>
        <w:t>2</w:t>
      </w:r>
      <w:r w:rsidRPr="00C67C50">
        <w:rPr>
          <w:rFonts w:ascii="Arial" w:hAnsi="Arial" w:cs="Arial"/>
          <w:lang w:val="en-US"/>
        </w:rPr>
        <w:t>.</w:t>
      </w:r>
    </w:p>
    <w:p w14:paraId="39B897EB"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Chatterjee, S., &amp; Callaway, E. M. (2003). Parallel colour-opponent pathways to primary visual cortex. </w:t>
      </w:r>
      <w:r w:rsidRPr="00C67C50">
        <w:rPr>
          <w:rFonts w:ascii="Arial" w:hAnsi="Arial" w:cs="Arial"/>
          <w:i/>
          <w:iCs/>
          <w:lang w:val="en-US"/>
        </w:rPr>
        <w:t>Nature</w:t>
      </w:r>
      <w:r w:rsidRPr="00C67C50">
        <w:rPr>
          <w:rFonts w:ascii="Arial" w:hAnsi="Arial" w:cs="Arial"/>
          <w:lang w:val="en-US"/>
        </w:rPr>
        <w:t xml:space="preserve">, </w:t>
      </w:r>
      <w:r w:rsidRPr="00C67C50">
        <w:rPr>
          <w:rFonts w:ascii="Arial" w:hAnsi="Arial" w:cs="Arial"/>
          <w:i/>
          <w:iCs/>
          <w:lang w:val="en-US"/>
        </w:rPr>
        <w:t>426</w:t>
      </w:r>
      <w:r w:rsidRPr="00C67C50">
        <w:rPr>
          <w:rFonts w:ascii="Arial" w:hAnsi="Arial" w:cs="Arial"/>
          <w:lang w:val="en-US"/>
        </w:rPr>
        <w:t>(6967), 668–671. https://doi.org/10.1038/nature02167</w:t>
      </w:r>
    </w:p>
    <w:p w14:paraId="79A8E21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Chawla, D., Rees, G., &amp; Friston, K. J. (1999). The physiological basis of attentional modulation in extrastriate visual areas. </w:t>
      </w:r>
      <w:r w:rsidRPr="00C67C50">
        <w:rPr>
          <w:rFonts w:ascii="Arial" w:hAnsi="Arial" w:cs="Arial"/>
          <w:i/>
          <w:iCs/>
          <w:lang w:val="en-US"/>
        </w:rPr>
        <w:t>Nature Neuroscience</w:t>
      </w:r>
      <w:r w:rsidRPr="00C67C50">
        <w:rPr>
          <w:rFonts w:ascii="Arial" w:hAnsi="Arial" w:cs="Arial"/>
          <w:lang w:val="en-US"/>
        </w:rPr>
        <w:t xml:space="preserve">, </w:t>
      </w:r>
      <w:r w:rsidRPr="00C67C50">
        <w:rPr>
          <w:rFonts w:ascii="Arial" w:hAnsi="Arial" w:cs="Arial"/>
          <w:i/>
          <w:iCs/>
          <w:lang w:val="en-US"/>
        </w:rPr>
        <w:t>2</w:t>
      </w:r>
      <w:r w:rsidRPr="00C67C50">
        <w:rPr>
          <w:rFonts w:ascii="Arial" w:hAnsi="Arial" w:cs="Arial"/>
          <w:lang w:val="en-US"/>
        </w:rPr>
        <w:t>(7), 671.</w:t>
      </w:r>
    </w:p>
    <w:p w14:paraId="5EF696B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Chiu, Y.-C., Esterman, M., Han, Y., Rosen, H., &amp; Yantis, S. (2011). Decoding task-based attentional modulation during face categorization. </w:t>
      </w:r>
      <w:r w:rsidRPr="00C67C50">
        <w:rPr>
          <w:rFonts w:ascii="Arial" w:hAnsi="Arial" w:cs="Arial"/>
          <w:i/>
          <w:iCs/>
          <w:lang w:val="en-US"/>
        </w:rPr>
        <w:t>Journal of Cognitive Neuroscience</w:t>
      </w:r>
      <w:r w:rsidRPr="00C67C50">
        <w:rPr>
          <w:rFonts w:ascii="Arial" w:hAnsi="Arial" w:cs="Arial"/>
          <w:lang w:val="en-US"/>
        </w:rPr>
        <w:t xml:space="preserve">, </w:t>
      </w:r>
      <w:r w:rsidRPr="00C67C50">
        <w:rPr>
          <w:rFonts w:ascii="Arial" w:hAnsi="Arial" w:cs="Arial"/>
          <w:i/>
          <w:iCs/>
          <w:lang w:val="en-US"/>
        </w:rPr>
        <w:t>23</w:t>
      </w:r>
      <w:r w:rsidRPr="00C67C50">
        <w:rPr>
          <w:rFonts w:ascii="Arial" w:hAnsi="Arial" w:cs="Arial"/>
          <w:lang w:val="en-US"/>
        </w:rPr>
        <w:t>(5), 1198–1204. https://doi.org/10.1162/jocn.2010.21503</w:t>
      </w:r>
    </w:p>
    <w:p w14:paraId="35020A1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Christoff, K., Gordon, A. M., Smallwood, J., Smith, R., &amp; Schooler, J. W. (2009). Experience sampling during fMRI reveals default network and executive system contributions to mind wandering. </w:t>
      </w:r>
      <w:r w:rsidRPr="00C67C50">
        <w:rPr>
          <w:rFonts w:ascii="Arial" w:hAnsi="Arial" w:cs="Arial"/>
          <w:i/>
          <w:iCs/>
          <w:lang w:val="en-US"/>
        </w:rPr>
        <w:t>Proceedings of the National Academy of Sciences</w:t>
      </w:r>
      <w:r w:rsidRPr="00C67C50">
        <w:rPr>
          <w:rFonts w:ascii="Arial" w:hAnsi="Arial" w:cs="Arial"/>
          <w:lang w:val="en-US"/>
        </w:rPr>
        <w:t xml:space="preserve">, </w:t>
      </w:r>
      <w:r w:rsidRPr="00C67C50">
        <w:rPr>
          <w:rFonts w:ascii="Arial" w:hAnsi="Arial" w:cs="Arial"/>
          <w:i/>
          <w:iCs/>
          <w:lang w:val="en-US"/>
        </w:rPr>
        <w:t>106</w:t>
      </w:r>
      <w:r w:rsidRPr="00C67C50">
        <w:rPr>
          <w:rFonts w:ascii="Arial" w:hAnsi="Arial" w:cs="Arial"/>
          <w:lang w:val="en-US"/>
        </w:rPr>
        <w:t>(21), 8719–8724.</w:t>
      </w:r>
    </w:p>
    <w:p w14:paraId="2A4A9D27"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Clifford, C. W. G., Mannion, D. J., &amp; McDonald, J. S. (2009). Radial biases in the processing of motion and motion-defined contours by human visual cortex. </w:t>
      </w:r>
      <w:r w:rsidRPr="00C67C50">
        <w:rPr>
          <w:rFonts w:ascii="Arial" w:hAnsi="Arial" w:cs="Arial"/>
          <w:i/>
          <w:iCs/>
          <w:lang w:val="en-US"/>
        </w:rPr>
        <w:t>Journal of Neurophysiology</w:t>
      </w:r>
      <w:r w:rsidRPr="00C67C50">
        <w:rPr>
          <w:rFonts w:ascii="Arial" w:hAnsi="Arial" w:cs="Arial"/>
          <w:lang w:val="en-US"/>
        </w:rPr>
        <w:t xml:space="preserve">, </w:t>
      </w:r>
      <w:r w:rsidRPr="00C67C50">
        <w:rPr>
          <w:rFonts w:ascii="Arial" w:hAnsi="Arial" w:cs="Arial"/>
          <w:i/>
          <w:iCs/>
          <w:lang w:val="en-US"/>
        </w:rPr>
        <w:t>102</w:t>
      </w:r>
      <w:r w:rsidRPr="00C67C50">
        <w:rPr>
          <w:rFonts w:ascii="Arial" w:hAnsi="Arial" w:cs="Arial"/>
          <w:lang w:val="en-US"/>
        </w:rPr>
        <w:t>(5), 2974–2981. https://doi.org/10.1152/jn.00411.2009</w:t>
      </w:r>
    </w:p>
    <w:p w14:paraId="0B7BB7DD"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Cohen, M. R., &amp; Maunsell, J. H. R. (2009). Attention improves performance primarily by reducing interneuronal correlations. </w:t>
      </w:r>
      <w:r w:rsidRPr="00C67C50">
        <w:rPr>
          <w:rFonts w:ascii="Arial" w:hAnsi="Arial" w:cs="Arial"/>
          <w:i/>
          <w:iCs/>
          <w:lang w:val="en-US"/>
        </w:rPr>
        <w:t>Nature Neuroscience</w:t>
      </w:r>
      <w:r w:rsidRPr="00C67C50">
        <w:rPr>
          <w:rFonts w:ascii="Arial" w:hAnsi="Arial" w:cs="Arial"/>
          <w:lang w:val="en-US"/>
        </w:rPr>
        <w:t xml:space="preserve">, </w:t>
      </w:r>
      <w:r w:rsidRPr="00C67C50">
        <w:rPr>
          <w:rFonts w:ascii="Arial" w:hAnsi="Arial" w:cs="Arial"/>
          <w:i/>
          <w:iCs/>
          <w:lang w:val="en-US"/>
        </w:rPr>
        <w:t>12</w:t>
      </w:r>
      <w:r w:rsidRPr="00C67C50">
        <w:rPr>
          <w:rFonts w:ascii="Arial" w:hAnsi="Arial" w:cs="Arial"/>
          <w:lang w:val="en-US"/>
        </w:rPr>
        <w:t>(12), 1594–1600. https://doi.org/10.1038/nn.2439</w:t>
      </w:r>
    </w:p>
    <w:p w14:paraId="244952D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Conway, B. R. (2001). Spatial structure of cone inputs to color cells in alert macaque primary visual cortex (V-1). </w:t>
      </w:r>
      <w:r w:rsidRPr="00C67C50">
        <w:rPr>
          <w:rFonts w:ascii="Arial" w:hAnsi="Arial" w:cs="Arial"/>
          <w:i/>
          <w:iCs/>
          <w:lang w:val="en-US"/>
        </w:rPr>
        <w:t>The Journal of Neuroscience: The Official Journal of the Society for Neuroscience</w:t>
      </w:r>
      <w:r w:rsidRPr="00C67C50">
        <w:rPr>
          <w:rFonts w:ascii="Arial" w:hAnsi="Arial" w:cs="Arial"/>
          <w:lang w:val="en-US"/>
        </w:rPr>
        <w:t xml:space="preserve">, </w:t>
      </w:r>
      <w:r w:rsidRPr="00C67C50">
        <w:rPr>
          <w:rFonts w:ascii="Arial" w:hAnsi="Arial" w:cs="Arial"/>
          <w:i/>
          <w:iCs/>
          <w:lang w:val="en-US"/>
        </w:rPr>
        <w:t>21</w:t>
      </w:r>
      <w:r w:rsidRPr="00C67C50">
        <w:rPr>
          <w:rFonts w:ascii="Arial" w:hAnsi="Arial" w:cs="Arial"/>
          <w:lang w:val="en-US"/>
        </w:rPr>
        <w:t>(8), 2768–2783.</w:t>
      </w:r>
    </w:p>
    <w:p w14:paraId="2BFB7C0A"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Conway, Bevil R. (2009). Color vision, cones, and color-coding in the cortex. </w:t>
      </w:r>
      <w:r w:rsidRPr="00C67C50">
        <w:rPr>
          <w:rFonts w:ascii="Arial" w:hAnsi="Arial" w:cs="Arial"/>
          <w:i/>
          <w:iCs/>
          <w:lang w:val="en-US"/>
        </w:rPr>
        <w:t>The Neuroscientist: A Review Journal Bringing Neurobiology, Neurology and Psychiatry</w:t>
      </w:r>
      <w:r w:rsidRPr="00C67C50">
        <w:rPr>
          <w:rFonts w:ascii="Arial" w:hAnsi="Arial" w:cs="Arial"/>
          <w:lang w:val="en-US"/>
        </w:rPr>
        <w:t xml:space="preserve">, </w:t>
      </w:r>
      <w:r w:rsidRPr="00C67C50">
        <w:rPr>
          <w:rFonts w:ascii="Arial" w:hAnsi="Arial" w:cs="Arial"/>
          <w:i/>
          <w:iCs/>
          <w:lang w:val="en-US"/>
        </w:rPr>
        <w:t>15</w:t>
      </w:r>
      <w:r w:rsidRPr="00C67C50">
        <w:rPr>
          <w:rFonts w:ascii="Arial" w:hAnsi="Arial" w:cs="Arial"/>
          <w:lang w:val="en-US"/>
        </w:rPr>
        <w:t>(3), 274–290. https://doi.org/10.1177/1073858408331369</w:t>
      </w:r>
    </w:p>
    <w:p w14:paraId="69D24A1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Conway, Bevil R., Moeller, S., &amp; Tsao, D. Y. (2007). Specialized color modules in macaque extrastriate cortex.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56</w:t>
      </w:r>
      <w:r w:rsidRPr="00C67C50">
        <w:rPr>
          <w:rFonts w:ascii="Arial" w:hAnsi="Arial" w:cs="Arial"/>
          <w:lang w:val="en-US"/>
        </w:rPr>
        <w:t>(3), 560–573. https://doi.org/10.1016/j.neuron.2007.10.008</w:t>
      </w:r>
    </w:p>
    <w:p w14:paraId="437273D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Corbetta, M., Miezin, F. M., Dobmeyer, S., Shulman, G. L., &amp; Petersen, S. E. (1991). Selective and divided attention during visual discriminations of shape, color, and speed: Functional anatomy by positron emission tomography. </w:t>
      </w:r>
      <w:r w:rsidRPr="00C67C50">
        <w:rPr>
          <w:rFonts w:ascii="Arial" w:hAnsi="Arial" w:cs="Arial"/>
          <w:i/>
          <w:iCs/>
          <w:lang w:val="en-US"/>
        </w:rPr>
        <w:t>The Journal of Neuroscience: The Official Journal of the Society for Neuroscience</w:t>
      </w:r>
      <w:r w:rsidRPr="00C67C50">
        <w:rPr>
          <w:rFonts w:ascii="Arial" w:hAnsi="Arial" w:cs="Arial"/>
          <w:lang w:val="en-US"/>
        </w:rPr>
        <w:t xml:space="preserve">, </w:t>
      </w:r>
      <w:r w:rsidRPr="00C67C50">
        <w:rPr>
          <w:rFonts w:ascii="Arial" w:hAnsi="Arial" w:cs="Arial"/>
          <w:i/>
          <w:iCs/>
          <w:lang w:val="en-US"/>
        </w:rPr>
        <w:t>11</w:t>
      </w:r>
      <w:r w:rsidRPr="00C67C50">
        <w:rPr>
          <w:rFonts w:ascii="Arial" w:hAnsi="Arial" w:cs="Arial"/>
          <w:lang w:val="en-US"/>
        </w:rPr>
        <w:t>(8), 2383–2402.</w:t>
      </w:r>
    </w:p>
    <w:p w14:paraId="18D293CA"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Corbetta, Maurizio, Miezin, F. M., Dobmeyer, S., Shulman, G. L., &amp; Petersen, S. E. (1990). Attentional modulation of neural processing of shape, color, and velocity in humans. </w:t>
      </w:r>
      <w:r w:rsidRPr="00C67C50">
        <w:rPr>
          <w:rFonts w:ascii="Arial" w:hAnsi="Arial" w:cs="Arial"/>
          <w:i/>
          <w:iCs/>
          <w:lang w:val="en-US"/>
        </w:rPr>
        <w:t>Science</w:t>
      </w:r>
      <w:r w:rsidRPr="00C67C50">
        <w:rPr>
          <w:rFonts w:ascii="Arial" w:hAnsi="Arial" w:cs="Arial"/>
          <w:lang w:val="en-US"/>
        </w:rPr>
        <w:t xml:space="preserve">, </w:t>
      </w:r>
      <w:r w:rsidRPr="00C67C50">
        <w:rPr>
          <w:rFonts w:ascii="Arial" w:hAnsi="Arial" w:cs="Arial"/>
          <w:i/>
          <w:iCs/>
          <w:lang w:val="en-US"/>
        </w:rPr>
        <w:t>248</w:t>
      </w:r>
      <w:r w:rsidRPr="00C67C50">
        <w:rPr>
          <w:rFonts w:ascii="Arial" w:hAnsi="Arial" w:cs="Arial"/>
          <w:lang w:val="en-US"/>
        </w:rPr>
        <w:t>(4962), 1556–1559.</w:t>
      </w:r>
    </w:p>
    <w:p w14:paraId="617C64F4"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Corbetta, Maurizio, Patel, G., &amp; Shulman, G. L. (2008). The reorienting system of the human brain: From environment to theory of mind.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58</w:t>
      </w:r>
      <w:r w:rsidRPr="00C67C50">
        <w:rPr>
          <w:rFonts w:ascii="Arial" w:hAnsi="Arial" w:cs="Arial"/>
          <w:lang w:val="en-US"/>
        </w:rPr>
        <w:t>(3), 306–324. https://doi.org/10.1016/j.neuron.2008.04.017</w:t>
      </w:r>
    </w:p>
    <w:p w14:paraId="7C39C3C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Cortes, C., &amp; Vapnik, V. (1995). Support-vector networks. </w:t>
      </w:r>
      <w:r w:rsidRPr="00C67C50">
        <w:rPr>
          <w:rFonts w:ascii="Arial" w:hAnsi="Arial" w:cs="Arial"/>
          <w:i/>
          <w:iCs/>
          <w:lang w:val="en-US"/>
        </w:rPr>
        <w:t>Machine Learning</w:t>
      </w:r>
      <w:r w:rsidRPr="00C67C50">
        <w:rPr>
          <w:rFonts w:ascii="Arial" w:hAnsi="Arial" w:cs="Arial"/>
          <w:lang w:val="en-US"/>
        </w:rPr>
        <w:t xml:space="preserve">, </w:t>
      </w:r>
      <w:r w:rsidRPr="00C67C50">
        <w:rPr>
          <w:rFonts w:ascii="Arial" w:hAnsi="Arial" w:cs="Arial"/>
          <w:i/>
          <w:iCs/>
          <w:lang w:val="en-US"/>
        </w:rPr>
        <w:t>20</w:t>
      </w:r>
      <w:r w:rsidRPr="00C67C50">
        <w:rPr>
          <w:rFonts w:ascii="Arial" w:hAnsi="Arial" w:cs="Arial"/>
          <w:lang w:val="en-US"/>
        </w:rPr>
        <w:t>(3), 273–297.</w:t>
      </w:r>
    </w:p>
    <w:p w14:paraId="4F195D2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Çukur, T., Nishimoto, S., Huth, A. G., &amp; Gallant, J. L. (2013). Attention during natural vision warps semantic representation across the human brain. </w:t>
      </w:r>
      <w:r w:rsidRPr="00C67C50">
        <w:rPr>
          <w:rFonts w:ascii="Arial" w:hAnsi="Arial" w:cs="Arial"/>
          <w:i/>
          <w:iCs/>
          <w:lang w:val="en-US"/>
        </w:rPr>
        <w:t>Nature Neuroscience</w:t>
      </w:r>
      <w:r w:rsidRPr="00C67C50">
        <w:rPr>
          <w:rFonts w:ascii="Arial" w:hAnsi="Arial" w:cs="Arial"/>
          <w:lang w:val="en-US"/>
        </w:rPr>
        <w:t xml:space="preserve">, </w:t>
      </w:r>
      <w:r w:rsidRPr="00C67C50">
        <w:rPr>
          <w:rFonts w:ascii="Arial" w:hAnsi="Arial" w:cs="Arial"/>
          <w:i/>
          <w:iCs/>
          <w:lang w:val="en-US"/>
        </w:rPr>
        <w:t>16</w:t>
      </w:r>
      <w:r w:rsidRPr="00C67C50">
        <w:rPr>
          <w:rFonts w:ascii="Arial" w:hAnsi="Arial" w:cs="Arial"/>
          <w:lang w:val="en-US"/>
        </w:rPr>
        <w:t>(6), 763–770. https://doi.org/10.1038/nn.3381</w:t>
      </w:r>
    </w:p>
    <w:p w14:paraId="1B1848C3"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Dacey, D. M. (1996). Circuitry for color coding in the primate retina. </w:t>
      </w:r>
      <w:r w:rsidRPr="00C67C50">
        <w:rPr>
          <w:rFonts w:ascii="Arial" w:hAnsi="Arial" w:cs="Arial"/>
          <w:i/>
          <w:iCs/>
          <w:lang w:val="en-US"/>
        </w:rPr>
        <w:t>Proceedings of the National Academy of Sciences of the United States of America</w:t>
      </w:r>
      <w:r w:rsidRPr="00C67C50">
        <w:rPr>
          <w:rFonts w:ascii="Arial" w:hAnsi="Arial" w:cs="Arial"/>
          <w:lang w:val="en-US"/>
        </w:rPr>
        <w:t xml:space="preserve">, </w:t>
      </w:r>
      <w:r w:rsidRPr="00C67C50">
        <w:rPr>
          <w:rFonts w:ascii="Arial" w:hAnsi="Arial" w:cs="Arial"/>
          <w:i/>
          <w:iCs/>
          <w:lang w:val="en-US"/>
        </w:rPr>
        <w:t>93</w:t>
      </w:r>
      <w:r w:rsidRPr="00C67C50">
        <w:rPr>
          <w:rFonts w:ascii="Arial" w:hAnsi="Arial" w:cs="Arial"/>
          <w:lang w:val="en-US"/>
        </w:rPr>
        <w:t>(2), 582–588. https://doi.org/10.1073/pnas.93.2.582</w:t>
      </w:r>
    </w:p>
    <w:p w14:paraId="0DAC2A4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Dacey, D., Packer, O. S., Diller, L., Brainard, D., Peterson, B., &amp; Lee, B. (2000). Center surround receptive field structure of cone bipolar cells in primate retina. </w:t>
      </w:r>
      <w:r w:rsidRPr="00C67C50">
        <w:rPr>
          <w:rFonts w:ascii="Arial" w:hAnsi="Arial" w:cs="Arial"/>
          <w:i/>
          <w:iCs/>
          <w:lang w:val="en-US"/>
        </w:rPr>
        <w:t>Vision Research</w:t>
      </w:r>
      <w:r w:rsidRPr="00C67C50">
        <w:rPr>
          <w:rFonts w:ascii="Arial" w:hAnsi="Arial" w:cs="Arial"/>
          <w:lang w:val="en-US"/>
        </w:rPr>
        <w:t xml:space="preserve">, </w:t>
      </w:r>
      <w:r w:rsidRPr="00C67C50">
        <w:rPr>
          <w:rFonts w:ascii="Arial" w:hAnsi="Arial" w:cs="Arial"/>
          <w:i/>
          <w:iCs/>
          <w:lang w:val="en-US"/>
        </w:rPr>
        <w:t>40</w:t>
      </w:r>
      <w:r w:rsidRPr="00C67C50">
        <w:rPr>
          <w:rFonts w:ascii="Arial" w:hAnsi="Arial" w:cs="Arial"/>
          <w:lang w:val="en-US"/>
        </w:rPr>
        <w:t>(14), 1801–1811. https://doi.org/10.1016/S0042-6989(00)00039-0</w:t>
      </w:r>
    </w:p>
    <w:p w14:paraId="20DE733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Dajani, D. R., &amp; Uddin, L. Q. (2015). Demystifying cognitive flexibility: Implications for clinical and developmental neuroscience. </w:t>
      </w:r>
      <w:r w:rsidRPr="00C67C50">
        <w:rPr>
          <w:rFonts w:ascii="Arial" w:hAnsi="Arial" w:cs="Arial"/>
          <w:i/>
          <w:iCs/>
          <w:lang w:val="en-US"/>
        </w:rPr>
        <w:t>Trends in Neurosciences</w:t>
      </w:r>
      <w:r w:rsidRPr="00C67C50">
        <w:rPr>
          <w:rFonts w:ascii="Arial" w:hAnsi="Arial" w:cs="Arial"/>
          <w:lang w:val="en-US"/>
        </w:rPr>
        <w:t xml:space="preserve">, </w:t>
      </w:r>
      <w:r w:rsidRPr="00C67C50">
        <w:rPr>
          <w:rFonts w:ascii="Arial" w:hAnsi="Arial" w:cs="Arial"/>
          <w:i/>
          <w:iCs/>
          <w:lang w:val="en-US"/>
        </w:rPr>
        <w:t>38</w:t>
      </w:r>
      <w:r w:rsidRPr="00C67C50">
        <w:rPr>
          <w:rFonts w:ascii="Arial" w:hAnsi="Arial" w:cs="Arial"/>
          <w:lang w:val="en-US"/>
        </w:rPr>
        <w:t>(9), 571–578. https://doi.org/10.1016/j.tins.2015.07.003</w:t>
      </w:r>
    </w:p>
    <w:p w14:paraId="10F67F70"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Denys, K., Vanduffel, W., Fize, D., Nelissen, K., Peuskens, H., Essen, D. V., &amp; Orban, G. A. (2004). The Processing of Visual Shape in the Cerebral Cortex of Human and Nonhuman Primates: A Functional Magnetic Resonance Imaging Study. </w:t>
      </w:r>
      <w:r w:rsidRPr="00C67C50">
        <w:rPr>
          <w:rFonts w:ascii="Arial" w:hAnsi="Arial" w:cs="Arial"/>
          <w:i/>
          <w:iCs/>
          <w:lang w:val="en-US"/>
        </w:rPr>
        <w:t>Journal of Neuroscience</w:t>
      </w:r>
      <w:r w:rsidRPr="00C67C50">
        <w:rPr>
          <w:rFonts w:ascii="Arial" w:hAnsi="Arial" w:cs="Arial"/>
          <w:lang w:val="en-US"/>
        </w:rPr>
        <w:t xml:space="preserve">, </w:t>
      </w:r>
      <w:r w:rsidRPr="00C67C50">
        <w:rPr>
          <w:rFonts w:ascii="Arial" w:hAnsi="Arial" w:cs="Arial"/>
          <w:i/>
          <w:iCs/>
          <w:lang w:val="en-US"/>
        </w:rPr>
        <w:t>24</w:t>
      </w:r>
      <w:r w:rsidRPr="00C67C50">
        <w:rPr>
          <w:rFonts w:ascii="Arial" w:hAnsi="Arial" w:cs="Arial"/>
          <w:lang w:val="en-US"/>
        </w:rPr>
        <w:t>(10), 2551–2565. https://doi.org/10.1523/JNEUROSCI.3569-03.2004</w:t>
      </w:r>
    </w:p>
    <w:p w14:paraId="5B83B497"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Di Russo, F., Martínez, A., &amp; Hillyard, S. A. (2003). Source analysis of event-related cortical activity during visuo-spatial attention. </w:t>
      </w:r>
      <w:r w:rsidRPr="00C67C50">
        <w:rPr>
          <w:rFonts w:ascii="Arial" w:hAnsi="Arial" w:cs="Arial"/>
          <w:i/>
          <w:iCs/>
          <w:lang w:val="en-US"/>
        </w:rPr>
        <w:t>Cerebral Cortex (New York, N.Y.: 1991)</w:t>
      </w:r>
      <w:r w:rsidRPr="00C67C50">
        <w:rPr>
          <w:rFonts w:ascii="Arial" w:hAnsi="Arial" w:cs="Arial"/>
          <w:lang w:val="en-US"/>
        </w:rPr>
        <w:t xml:space="preserve">, </w:t>
      </w:r>
      <w:r w:rsidRPr="00C67C50">
        <w:rPr>
          <w:rFonts w:ascii="Arial" w:hAnsi="Arial" w:cs="Arial"/>
          <w:i/>
          <w:iCs/>
          <w:lang w:val="en-US"/>
        </w:rPr>
        <w:t>13</w:t>
      </w:r>
      <w:r w:rsidRPr="00C67C50">
        <w:rPr>
          <w:rFonts w:ascii="Arial" w:hAnsi="Arial" w:cs="Arial"/>
          <w:lang w:val="en-US"/>
        </w:rPr>
        <w:t>(5), 486–499.</w:t>
      </w:r>
    </w:p>
    <w:p w14:paraId="66B3FAF1"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Diamond, R., &amp; Carey, S. (1986). Why faces are and are not special: An effect of expertise. </w:t>
      </w:r>
      <w:r w:rsidRPr="00C67C50">
        <w:rPr>
          <w:rFonts w:ascii="Arial" w:hAnsi="Arial" w:cs="Arial"/>
          <w:i/>
          <w:iCs/>
          <w:lang w:val="en-US"/>
        </w:rPr>
        <w:t>Journal of Experimental Psychology. General</w:t>
      </w:r>
      <w:r w:rsidRPr="00C67C50">
        <w:rPr>
          <w:rFonts w:ascii="Arial" w:hAnsi="Arial" w:cs="Arial"/>
          <w:lang w:val="en-US"/>
        </w:rPr>
        <w:t xml:space="preserve">, </w:t>
      </w:r>
      <w:r w:rsidRPr="00C67C50">
        <w:rPr>
          <w:rFonts w:ascii="Arial" w:hAnsi="Arial" w:cs="Arial"/>
          <w:i/>
          <w:iCs/>
          <w:lang w:val="en-US"/>
        </w:rPr>
        <w:t>115</w:t>
      </w:r>
      <w:r w:rsidRPr="00C67C50">
        <w:rPr>
          <w:rFonts w:ascii="Arial" w:hAnsi="Arial" w:cs="Arial"/>
          <w:lang w:val="en-US"/>
        </w:rPr>
        <w:t>(2), 107–117.</w:t>
      </w:r>
    </w:p>
    <w:p w14:paraId="21AED39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Dumoulin, S., &amp; Hess, R. (2007). Cortical specialization for concentric shape processing. </w:t>
      </w:r>
      <w:r w:rsidRPr="00C67C50">
        <w:rPr>
          <w:rFonts w:ascii="Arial" w:hAnsi="Arial" w:cs="Arial"/>
          <w:i/>
          <w:iCs/>
          <w:lang w:val="en-US"/>
        </w:rPr>
        <w:t>Vision Research</w:t>
      </w:r>
      <w:r w:rsidRPr="00C67C50">
        <w:rPr>
          <w:rFonts w:ascii="Arial" w:hAnsi="Arial" w:cs="Arial"/>
          <w:lang w:val="en-US"/>
        </w:rPr>
        <w:t xml:space="preserve">, </w:t>
      </w:r>
      <w:r w:rsidRPr="00C67C50">
        <w:rPr>
          <w:rFonts w:ascii="Arial" w:hAnsi="Arial" w:cs="Arial"/>
          <w:i/>
          <w:iCs/>
          <w:lang w:val="en-US"/>
        </w:rPr>
        <w:t>47</w:t>
      </w:r>
      <w:r w:rsidRPr="00C67C50">
        <w:rPr>
          <w:rFonts w:ascii="Arial" w:hAnsi="Arial" w:cs="Arial"/>
          <w:lang w:val="en-US"/>
        </w:rPr>
        <w:t>(12), 1608–1613.</w:t>
      </w:r>
    </w:p>
    <w:p w14:paraId="4AF7C16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Dumoulin, S. O., Bittar, R. G., Kabani, N. J., Baker, C. L., Le Goualher, G., Bruce Pike, G., &amp; Evans, A. C. (2000). A new anatomical landmark for reliable identification of human area V5/MT: A quantitative analysis of sulcal patterning. </w:t>
      </w:r>
      <w:r w:rsidRPr="00C67C50">
        <w:rPr>
          <w:rFonts w:ascii="Arial" w:hAnsi="Arial" w:cs="Arial"/>
          <w:i/>
          <w:iCs/>
          <w:lang w:val="en-US"/>
        </w:rPr>
        <w:t>Cerebral Cortex (New York, N.Y.: 1991)</w:t>
      </w:r>
      <w:r w:rsidRPr="00C67C50">
        <w:rPr>
          <w:rFonts w:ascii="Arial" w:hAnsi="Arial" w:cs="Arial"/>
          <w:lang w:val="en-US"/>
        </w:rPr>
        <w:t xml:space="preserve">, </w:t>
      </w:r>
      <w:r w:rsidRPr="00C67C50">
        <w:rPr>
          <w:rFonts w:ascii="Arial" w:hAnsi="Arial" w:cs="Arial"/>
          <w:i/>
          <w:iCs/>
          <w:lang w:val="en-US"/>
        </w:rPr>
        <w:t>10</w:t>
      </w:r>
      <w:r w:rsidRPr="00C67C50">
        <w:rPr>
          <w:rFonts w:ascii="Arial" w:hAnsi="Arial" w:cs="Arial"/>
          <w:lang w:val="en-US"/>
        </w:rPr>
        <w:t>(5), 454–463.</w:t>
      </w:r>
    </w:p>
    <w:p w14:paraId="1DC3C18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Dumoulin, Serge O., &amp; Wandell, B. A. (2008). Population receptive field estimates in human visual cortex.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39</w:t>
      </w:r>
      <w:r w:rsidRPr="00C67C50">
        <w:rPr>
          <w:rFonts w:ascii="Arial" w:hAnsi="Arial" w:cs="Arial"/>
          <w:lang w:val="en-US"/>
        </w:rPr>
        <w:t>(2), 647–660.</w:t>
      </w:r>
    </w:p>
    <w:p w14:paraId="79E3E620"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Duncan, J., &amp; Humphreys, G. W. (1989). Visual search and stimulus similarity. </w:t>
      </w:r>
      <w:r w:rsidRPr="00C67C50">
        <w:rPr>
          <w:rFonts w:ascii="Arial" w:hAnsi="Arial" w:cs="Arial"/>
          <w:i/>
          <w:iCs/>
          <w:lang w:val="en-US"/>
        </w:rPr>
        <w:t>Psychological Review</w:t>
      </w:r>
      <w:r w:rsidRPr="00C67C50">
        <w:rPr>
          <w:rFonts w:ascii="Arial" w:hAnsi="Arial" w:cs="Arial"/>
          <w:lang w:val="en-US"/>
        </w:rPr>
        <w:t xml:space="preserve">, </w:t>
      </w:r>
      <w:r w:rsidRPr="00C67C50">
        <w:rPr>
          <w:rFonts w:ascii="Arial" w:hAnsi="Arial" w:cs="Arial"/>
          <w:i/>
          <w:iCs/>
          <w:lang w:val="en-US"/>
        </w:rPr>
        <w:t>96</w:t>
      </w:r>
      <w:r w:rsidRPr="00C67C50">
        <w:rPr>
          <w:rFonts w:ascii="Arial" w:hAnsi="Arial" w:cs="Arial"/>
          <w:lang w:val="en-US"/>
        </w:rPr>
        <w:t>(3), 433–458.</w:t>
      </w:r>
    </w:p>
    <w:p w14:paraId="37005F8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Economides, J. R., Sincich, L. C., Adams, D. L., &amp; Horton, J. C. (2011). Orientation tuning of cytochrome oxidase patches in macaque primary visual cortex. </w:t>
      </w:r>
      <w:r w:rsidRPr="00C67C50">
        <w:rPr>
          <w:rFonts w:ascii="Arial" w:hAnsi="Arial" w:cs="Arial"/>
          <w:i/>
          <w:iCs/>
          <w:lang w:val="en-US"/>
        </w:rPr>
        <w:t>Nature Neuroscience</w:t>
      </w:r>
      <w:r w:rsidRPr="00C67C50">
        <w:rPr>
          <w:rFonts w:ascii="Arial" w:hAnsi="Arial" w:cs="Arial"/>
          <w:lang w:val="en-US"/>
        </w:rPr>
        <w:t xml:space="preserve">, </w:t>
      </w:r>
      <w:r w:rsidRPr="00C67C50">
        <w:rPr>
          <w:rFonts w:ascii="Arial" w:hAnsi="Arial" w:cs="Arial"/>
          <w:i/>
          <w:iCs/>
          <w:lang w:val="en-US"/>
        </w:rPr>
        <w:t>14</w:t>
      </w:r>
      <w:r w:rsidRPr="00C67C50">
        <w:rPr>
          <w:rFonts w:ascii="Arial" w:hAnsi="Arial" w:cs="Arial"/>
          <w:lang w:val="en-US"/>
        </w:rPr>
        <w:t>(12), 1574.</w:t>
      </w:r>
    </w:p>
    <w:p w14:paraId="245D61F0"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Engel, S. A., Glover, G. H., &amp; Wandell, B. A. (1997). Retinotopic organization in human visual cortex and the spatial precision of functional MRI. </w:t>
      </w:r>
      <w:r w:rsidRPr="00C67C50">
        <w:rPr>
          <w:rFonts w:ascii="Arial" w:hAnsi="Arial" w:cs="Arial"/>
          <w:i/>
          <w:iCs/>
          <w:lang w:val="en-US"/>
        </w:rPr>
        <w:t>Cerebral Cortex (New York, N.Y.: 1991)</w:t>
      </w:r>
      <w:r w:rsidRPr="00C67C50">
        <w:rPr>
          <w:rFonts w:ascii="Arial" w:hAnsi="Arial" w:cs="Arial"/>
          <w:lang w:val="en-US"/>
        </w:rPr>
        <w:t xml:space="preserve">, </w:t>
      </w:r>
      <w:r w:rsidRPr="00C67C50">
        <w:rPr>
          <w:rFonts w:ascii="Arial" w:hAnsi="Arial" w:cs="Arial"/>
          <w:i/>
          <w:iCs/>
          <w:lang w:val="en-US"/>
        </w:rPr>
        <w:t>7</w:t>
      </w:r>
      <w:r w:rsidRPr="00C67C50">
        <w:rPr>
          <w:rFonts w:ascii="Arial" w:hAnsi="Arial" w:cs="Arial"/>
          <w:lang w:val="en-US"/>
        </w:rPr>
        <w:t>(2), 181–192. https://doi.org/10.1093/cercor/7.2.181</w:t>
      </w:r>
    </w:p>
    <w:p w14:paraId="2D82E7E4"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Engel, S. A., Rumelhart, D. E., Wandell, B. A., Lee, A. T., Glover, G. H., Chichilnisky, E. J., &amp; Shadlen, M. N. (1994). FMRI of human visual cortex. </w:t>
      </w:r>
      <w:r w:rsidRPr="00C67C50">
        <w:rPr>
          <w:rFonts w:ascii="Arial" w:hAnsi="Arial" w:cs="Arial"/>
          <w:i/>
          <w:iCs/>
          <w:lang w:val="en-US"/>
        </w:rPr>
        <w:t>Nature</w:t>
      </w:r>
      <w:r w:rsidRPr="00C67C50">
        <w:rPr>
          <w:rFonts w:ascii="Arial" w:hAnsi="Arial" w:cs="Arial"/>
          <w:lang w:val="en-US"/>
        </w:rPr>
        <w:t xml:space="preserve">, </w:t>
      </w:r>
      <w:r w:rsidRPr="00C67C50">
        <w:rPr>
          <w:rFonts w:ascii="Arial" w:hAnsi="Arial" w:cs="Arial"/>
          <w:i/>
          <w:iCs/>
          <w:lang w:val="en-US"/>
        </w:rPr>
        <w:t>369</w:t>
      </w:r>
      <w:r w:rsidRPr="00C67C50">
        <w:rPr>
          <w:rFonts w:ascii="Arial" w:hAnsi="Arial" w:cs="Arial"/>
          <w:lang w:val="en-US"/>
        </w:rPr>
        <w:t>(6481), 525. https://doi.org/10.1038/369525a0</w:t>
      </w:r>
    </w:p>
    <w:p w14:paraId="1206D60B"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Engel, Stephen A. (2005). Adaptation of oriented and unoriented color-selective neurons in human visual areas.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45</w:t>
      </w:r>
      <w:r w:rsidRPr="00C67C50">
        <w:rPr>
          <w:rFonts w:ascii="Arial" w:hAnsi="Arial" w:cs="Arial"/>
          <w:lang w:val="en-US"/>
        </w:rPr>
        <w:t>(4), 613–623. https://doi.org/10.1016/j.neuron.2005.01.014</w:t>
      </w:r>
    </w:p>
    <w:p w14:paraId="2B4E310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Fischer, E., Bülthoff, H. H., Logothetis, N. K., &amp; Bartels, A. (2011). Visual motion responses in the posterior cingulate sulcus: A comparison to V5/MT and MST. </w:t>
      </w:r>
      <w:r w:rsidRPr="00C67C50">
        <w:rPr>
          <w:rFonts w:ascii="Arial" w:hAnsi="Arial" w:cs="Arial"/>
          <w:i/>
          <w:iCs/>
          <w:lang w:val="en-US"/>
        </w:rPr>
        <w:t>Cerebral Cortex</w:t>
      </w:r>
      <w:r w:rsidRPr="00C67C50">
        <w:rPr>
          <w:rFonts w:ascii="Arial" w:hAnsi="Arial" w:cs="Arial"/>
          <w:lang w:val="en-US"/>
        </w:rPr>
        <w:t xml:space="preserve">, </w:t>
      </w:r>
      <w:r w:rsidRPr="00C67C50">
        <w:rPr>
          <w:rFonts w:ascii="Arial" w:hAnsi="Arial" w:cs="Arial"/>
          <w:i/>
          <w:iCs/>
          <w:lang w:val="en-US"/>
        </w:rPr>
        <w:t>22</w:t>
      </w:r>
      <w:r w:rsidRPr="00C67C50">
        <w:rPr>
          <w:rFonts w:ascii="Arial" w:hAnsi="Arial" w:cs="Arial"/>
          <w:lang w:val="en-US"/>
        </w:rPr>
        <w:t>(4), 865–876.</w:t>
      </w:r>
    </w:p>
    <w:p w14:paraId="71BB828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Fischl, B. (2012). FreeSurfer.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62</w:t>
      </w:r>
      <w:r w:rsidRPr="00C67C50">
        <w:rPr>
          <w:rFonts w:ascii="Arial" w:hAnsi="Arial" w:cs="Arial"/>
          <w:lang w:val="en-US"/>
        </w:rPr>
        <w:t>(2), 774–781.</w:t>
      </w:r>
    </w:p>
    <w:p w14:paraId="418B5C98"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Ford, T., Goodman, R., &amp; Meltzer, H. (2003). The British Child and Adolescent Mental Health Survey 1999: The prevalence of DSM-IV disorders. </w:t>
      </w:r>
      <w:r w:rsidRPr="00C67C50">
        <w:rPr>
          <w:rFonts w:ascii="Arial" w:hAnsi="Arial" w:cs="Arial"/>
          <w:i/>
          <w:iCs/>
          <w:lang w:val="en-US"/>
        </w:rPr>
        <w:t>Journal of the American Academy of Child and Adolescent Psychiatry</w:t>
      </w:r>
      <w:r w:rsidRPr="00C67C50">
        <w:rPr>
          <w:rFonts w:ascii="Arial" w:hAnsi="Arial" w:cs="Arial"/>
          <w:lang w:val="en-US"/>
        </w:rPr>
        <w:t xml:space="preserve">, </w:t>
      </w:r>
      <w:r w:rsidRPr="00C67C50">
        <w:rPr>
          <w:rFonts w:ascii="Arial" w:hAnsi="Arial" w:cs="Arial"/>
          <w:i/>
          <w:iCs/>
          <w:lang w:val="en-US"/>
        </w:rPr>
        <w:t>42</w:t>
      </w:r>
      <w:r w:rsidRPr="00C67C50">
        <w:rPr>
          <w:rFonts w:ascii="Arial" w:hAnsi="Arial" w:cs="Arial"/>
          <w:lang w:val="en-US"/>
        </w:rPr>
        <w:t>(10), 1203–1211. https://doi.org/10.1097/00004583-200310000-00011</w:t>
      </w:r>
    </w:p>
    <w:p w14:paraId="1A6C0E4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Foster, D. H. (2010). Chromatic Function of the Cone. In D. A. Dartt (Ed.), </w:t>
      </w:r>
      <w:r w:rsidRPr="00C67C50">
        <w:rPr>
          <w:rFonts w:ascii="Arial" w:hAnsi="Arial" w:cs="Arial"/>
          <w:i/>
          <w:iCs/>
          <w:lang w:val="en-US"/>
        </w:rPr>
        <w:t>Encyclopedia of the Eye</w:t>
      </w:r>
      <w:r w:rsidRPr="00C67C50">
        <w:rPr>
          <w:rFonts w:ascii="Arial" w:hAnsi="Arial" w:cs="Arial"/>
          <w:lang w:val="en-US"/>
        </w:rPr>
        <w:t xml:space="preserve"> (pp. 266–274). https://doi.org/10.1016/B978-0-12-374203-2.00232-3</w:t>
      </w:r>
    </w:p>
    <w:p w14:paraId="3E6BC80D"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Fox, M. D., Snyder, A. Z., Vincent, J. L., Corbetta, M., Van Essen, D. C., &amp; Raichle, M. E. (2005). The human brain is intrinsically organized into dynamic, anticorrelated functional networks. </w:t>
      </w:r>
      <w:r w:rsidRPr="00C67C50">
        <w:rPr>
          <w:rFonts w:ascii="Arial" w:hAnsi="Arial" w:cs="Arial"/>
          <w:i/>
          <w:iCs/>
          <w:lang w:val="en-US"/>
        </w:rPr>
        <w:t>Proceedings of the National Academy of Sciences of the United States of America</w:t>
      </w:r>
      <w:r w:rsidRPr="00C67C50">
        <w:rPr>
          <w:rFonts w:ascii="Arial" w:hAnsi="Arial" w:cs="Arial"/>
          <w:lang w:val="en-US"/>
        </w:rPr>
        <w:t xml:space="preserve">, </w:t>
      </w:r>
      <w:r w:rsidRPr="00C67C50">
        <w:rPr>
          <w:rFonts w:ascii="Arial" w:hAnsi="Arial" w:cs="Arial"/>
          <w:i/>
          <w:iCs/>
          <w:lang w:val="en-US"/>
        </w:rPr>
        <w:t>102</w:t>
      </w:r>
      <w:r w:rsidRPr="00C67C50">
        <w:rPr>
          <w:rFonts w:ascii="Arial" w:hAnsi="Arial" w:cs="Arial"/>
          <w:lang w:val="en-US"/>
        </w:rPr>
        <w:t>(27), 9673–9678. https://doi.org/10.1073/pnas.0504136102</w:t>
      </w:r>
    </w:p>
    <w:p w14:paraId="47E67EE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Freeman, J., Brouwer, G. J., Heeger, D. J., &amp; Merriam, E. P. (2011). Orientation decoding depends on maps, not columns. </w:t>
      </w:r>
      <w:r w:rsidRPr="00C67C50">
        <w:rPr>
          <w:rFonts w:ascii="Arial" w:hAnsi="Arial" w:cs="Arial"/>
          <w:i/>
          <w:iCs/>
          <w:lang w:val="en-US"/>
        </w:rPr>
        <w:t>Journal of Neuroscience</w:t>
      </w:r>
      <w:r w:rsidRPr="00C67C50">
        <w:rPr>
          <w:rFonts w:ascii="Arial" w:hAnsi="Arial" w:cs="Arial"/>
          <w:lang w:val="en-US"/>
        </w:rPr>
        <w:t xml:space="preserve">, </w:t>
      </w:r>
      <w:r w:rsidRPr="00C67C50">
        <w:rPr>
          <w:rFonts w:ascii="Arial" w:hAnsi="Arial" w:cs="Arial"/>
          <w:i/>
          <w:iCs/>
          <w:lang w:val="en-US"/>
        </w:rPr>
        <w:t>31</w:t>
      </w:r>
      <w:r w:rsidRPr="00C67C50">
        <w:rPr>
          <w:rFonts w:ascii="Arial" w:hAnsi="Arial" w:cs="Arial"/>
          <w:lang w:val="en-US"/>
        </w:rPr>
        <w:t>(13), 4792–4804.</w:t>
      </w:r>
    </w:p>
    <w:p w14:paraId="709F3822"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Friston, K. J., Fletcher, P., Josephs, O., Holmes, A., Rugg, M. D., &amp; Turner, R. (1998). Event-related fMRI: Characterizing differential responses.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7</w:t>
      </w:r>
      <w:r w:rsidRPr="00C67C50">
        <w:rPr>
          <w:rFonts w:ascii="Arial" w:hAnsi="Arial" w:cs="Arial"/>
          <w:lang w:val="en-US"/>
        </w:rPr>
        <w:t>(1), 30–40. https://doi.org/10.1006/nimg.1997.0306</w:t>
      </w:r>
    </w:p>
    <w:p w14:paraId="273976DA"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Gallant, J. L., Braun, J., &amp; Van Essen, D. C. (1993). Selectivity for polar, hyperbolic, and Cartesian gratings in macaque visual cortex. </w:t>
      </w:r>
      <w:r w:rsidRPr="00C67C50">
        <w:rPr>
          <w:rFonts w:ascii="Arial" w:hAnsi="Arial" w:cs="Arial"/>
          <w:i/>
          <w:iCs/>
          <w:lang w:val="en-US"/>
        </w:rPr>
        <w:t>Science (New York, N.Y.)</w:t>
      </w:r>
      <w:r w:rsidRPr="00C67C50">
        <w:rPr>
          <w:rFonts w:ascii="Arial" w:hAnsi="Arial" w:cs="Arial"/>
          <w:lang w:val="en-US"/>
        </w:rPr>
        <w:t xml:space="preserve">, </w:t>
      </w:r>
      <w:r w:rsidRPr="00C67C50">
        <w:rPr>
          <w:rFonts w:ascii="Arial" w:hAnsi="Arial" w:cs="Arial"/>
          <w:i/>
          <w:iCs/>
          <w:lang w:val="en-US"/>
        </w:rPr>
        <w:t>259</w:t>
      </w:r>
      <w:r w:rsidRPr="00C67C50">
        <w:rPr>
          <w:rFonts w:ascii="Arial" w:hAnsi="Arial" w:cs="Arial"/>
          <w:lang w:val="en-US"/>
        </w:rPr>
        <w:t>(5091), 100–103.</w:t>
      </w:r>
    </w:p>
    <w:p w14:paraId="62913E78"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Gallant, J. L., Shoup, R. E., &amp; Mazer, J. A. (2000). A human extrastriate area functionally homologous to macaque V4.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27</w:t>
      </w:r>
      <w:r w:rsidRPr="00C67C50">
        <w:rPr>
          <w:rFonts w:ascii="Arial" w:hAnsi="Arial" w:cs="Arial"/>
          <w:lang w:val="en-US"/>
        </w:rPr>
        <w:t>(2), 227–235.</w:t>
      </w:r>
    </w:p>
    <w:p w14:paraId="7916610D"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Gao, W., Gilmore, J. H., Alcauter, S., &amp; Lin, W. (2013). The dynamic reorganization of the default-mode network during a visual classification task. </w:t>
      </w:r>
      <w:r w:rsidRPr="00C67C50">
        <w:rPr>
          <w:rFonts w:ascii="Arial" w:hAnsi="Arial" w:cs="Arial"/>
          <w:i/>
          <w:iCs/>
          <w:lang w:val="en-US"/>
        </w:rPr>
        <w:t>Frontiers in Systems Neuroscience</w:t>
      </w:r>
      <w:r w:rsidRPr="00C67C50">
        <w:rPr>
          <w:rFonts w:ascii="Arial" w:hAnsi="Arial" w:cs="Arial"/>
          <w:lang w:val="en-US"/>
        </w:rPr>
        <w:t xml:space="preserve">, </w:t>
      </w:r>
      <w:r w:rsidRPr="00C67C50">
        <w:rPr>
          <w:rFonts w:ascii="Arial" w:hAnsi="Arial" w:cs="Arial"/>
          <w:i/>
          <w:iCs/>
          <w:lang w:val="en-US"/>
        </w:rPr>
        <w:t>7</w:t>
      </w:r>
      <w:r w:rsidRPr="00C67C50">
        <w:rPr>
          <w:rFonts w:ascii="Arial" w:hAnsi="Arial" w:cs="Arial"/>
          <w:lang w:val="en-US"/>
        </w:rPr>
        <w:t>, 34. https://doi.org/10.3389/fnsys.2013.00034</w:t>
      </w:r>
    </w:p>
    <w:p w14:paraId="6A96194B"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Gardner, J. L., Sun, P., Waggoner, R. A., Ueno, K., Tanaka, K., &amp; Cheng, K. (2005). Contrast adaptation and representation in human early visual cortex.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47</w:t>
      </w:r>
      <w:r w:rsidRPr="00C67C50">
        <w:rPr>
          <w:rFonts w:ascii="Arial" w:hAnsi="Arial" w:cs="Arial"/>
          <w:lang w:val="en-US"/>
        </w:rPr>
        <w:t>(4), 607–620. https://doi.org/10.1016/j.neuron.2005.07.016</w:t>
      </w:r>
    </w:p>
    <w:p w14:paraId="1B554FE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Gauthier, I., Behrmann, M., &amp; Tarr, M. J. (1999). Can face recognition really be dissociated from object recognition? </w:t>
      </w:r>
      <w:r w:rsidRPr="00C67C50">
        <w:rPr>
          <w:rFonts w:ascii="Arial" w:hAnsi="Arial" w:cs="Arial"/>
          <w:i/>
          <w:iCs/>
          <w:lang w:val="en-US"/>
        </w:rPr>
        <w:t>Journal of Cognitive Neuroscience</w:t>
      </w:r>
      <w:r w:rsidRPr="00C67C50">
        <w:rPr>
          <w:rFonts w:ascii="Arial" w:hAnsi="Arial" w:cs="Arial"/>
          <w:lang w:val="en-US"/>
        </w:rPr>
        <w:t xml:space="preserve">, </w:t>
      </w:r>
      <w:r w:rsidRPr="00C67C50">
        <w:rPr>
          <w:rFonts w:ascii="Arial" w:hAnsi="Arial" w:cs="Arial"/>
          <w:i/>
          <w:iCs/>
          <w:lang w:val="en-US"/>
        </w:rPr>
        <w:t>11</w:t>
      </w:r>
      <w:r w:rsidRPr="00C67C50">
        <w:rPr>
          <w:rFonts w:ascii="Arial" w:hAnsi="Arial" w:cs="Arial"/>
          <w:lang w:val="en-US"/>
        </w:rPr>
        <w:t>(4), 349–370.</w:t>
      </w:r>
    </w:p>
    <w:p w14:paraId="32E71BD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Gauthier, I., Tarr, M. J., Moylan, J., Skudlarski, P., Gore, J. C., &amp; Anderson, A. W. (2000). The fusiform “face area” is part of a network that processes faces at the individual level. </w:t>
      </w:r>
      <w:r w:rsidRPr="00C67C50">
        <w:rPr>
          <w:rFonts w:ascii="Arial" w:hAnsi="Arial" w:cs="Arial"/>
          <w:i/>
          <w:iCs/>
          <w:lang w:val="en-US"/>
        </w:rPr>
        <w:t>Journal of Cognitive Neuroscience</w:t>
      </w:r>
      <w:r w:rsidRPr="00C67C50">
        <w:rPr>
          <w:rFonts w:ascii="Arial" w:hAnsi="Arial" w:cs="Arial"/>
          <w:lang w:val="en-US"/>
        </w:rPr>
        <w:t xml:space="preserve">, </w:t>
      </w:r>
      <w:r w:rsidRPr="00C67C50">
        <w:rPr>
          <w:rFonts w:ascii="Arial" w:hAnsi="Arial" w:cs="Arial"/>
          <w:i/>
          <w:iCs/>
          <w:lang w:val="en-US"/>
        </w:rPr>
        <w:t>12</w:t>
      </w:r>
      <w:r w:rsidRPr="00C67C50">
        <w:rPr>
          <w:rFonts w:ascii="Arial" w:hAnsi="Arial" w:cs="Arial"/>
          <w:lang w:val="en-US"/>
        </w:rPr>
        <w:t>(3), 495–504.</w:t>
      </w:r>
    </w:p>
    <w:p w14:paraId="67241FE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Gholami, R., &amp; Fakhari, N. (2017). Chapter 27 - Support Vector Machine: Principles, Parameters, and Applications. In P. Samui, S. Sekhar, &amp; V. </w:t>
      </w:r>
      <w:r w:rsidRPr="00C67C50">
        <w:rPr>
          <w:rFonts w:ascii="Arial" w:hAnsi="Arial" w:cs="Arial"/>
          <w:lang w:val="en-US"/>
        </w:rPr>
        <w:lastRenderedPageBreak/>
        <w:t xml:space="preserve">E. Balas (Eds.), </w:t>
      </w:r>
      <w:r w:rsidRPr="00C67C50">
        <w:rPr>
          <w:rFonts w:ascii="Arial" w:hAnsi="Arial" w:cs="Arial"/>
          <w:i/>
          <w:iCs/>
          <w:lang w:val="en-US"/>
        </w:rPr>
        <w:t>Handbook of Neural Computation</w:t>
      </w:r>
      <w:r w:rsidRPr="00C67C50">
        <w:rPr>
          <w:rFonts w:ascii="Arial" w:hAnsi="Arial" w:cs="Arial"/>
          <w:lang w:val="en-US"/>
        </w:rPr>
        <w:t xml:space="preserve"> (pp. 515–535). https://doi.org/10.1016/B978-0-12-811318-9.00027-2</w:t>
      </w:r>
    </w:p>
    <w:p w14:paraId="6FE808F3"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Ghose, G. M., &amp; Ts’ O, D. Y. (1997). Form processing modules in primate area V4. </w:t>
      </w:r>
      <w:r w:rsidRPr="00C67C50">
        <w:rPr>
          <w:rFonts w:ascii="Arial" w:hAnsi="Arial" w:cs="Arial"/>
          <w:i/>
          <w:iCs/>
          <w:lang w:val="en-US"/>
        </w:rPr>
        <w:t>Journal of Neurophysiology</w:t>
      </w:r>
      <w:r w:rsidRPr="00C67C50">
        <w:rPr>
          <w:rFonts w:ascii="Arial" w:hAnsi="Arial" w:cs="Arial"/>
          <w:lang w:val="en-US"/>
        </w:rPr>
        <w:t xml:space="preserve">, </w:t>
      </w:r>
      <w:r w:rsidRPr="00C67C50">
        <w:rPr>
          <w:rFonts w:ascii="Arial" w:hAnsi="Arial" w:cs="Arial"/>
          <w:i/>
          <w:iCs/>
          <w:lang w:val="en-US"/>
        </w:rPr>
        <w:t>77</w:t>
      </w:r>
      <w:r w:rsidRPr="00C67C50">
        <w:rPr>
          <w:rFonts w:ascii="Arial" w:hAnsi="Arial" w:cs="Arial"/>
          <w:lang w:val="en-US"/>
        </w:rPr>
        <w:t>(4), 2191–2196.</w:t>
      </w:r>
    </w:p>
    <w:p w14:paraId="33AC490A"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Girard, P., &amp; Bullier, J. (1989). Visual activity in area V2 during reversible inactivation of area 17 in the macaque monkey. </w:t>
      </w:r>
      <w:r w:rsidRPr="00C67C50">
        <w:rPr>
          <w:rFonts w:ascii="Arial" w:hAnsi="Arial" w:cs="Arial"/>
          <w:i/>
          <w:iCs/>
          <w:lang w:val="en-US"/>
        </w:rPr>
        <w:t>Journal of Neurophysiology</w:t>
      </w:r>
      <w:r w:rsidRPr="00C67C50">
        <w:rPr>
          <w:rFonts w:ascii="Arial" w:hAnsi="Arial" w:cs="Arial"/>
          <w:lang w:val="en-US"/>
        </w:rPr>
        <w:t xml:space="preserve">, </w:t>
      </w:r>
      <w:r w:rsidRPr="00C67C50">
        <w:rPr>
          <w:rFonts w:ascii="Arial" w:hAnsi="Arial" w:cs="Arial"/>
          <w:i/>
          <w:iCs/>
          <w:lang w:val="en-US"/>
        </w:rPr>
        <w:t>62</w:t>
      </w:r>
      <w:r w:rsidRPr="00C67C50">
        <w:rPr>
          <w:rFonts w:ascii="Arial" w:hAnsi="Arial" w:cs="Arial"/>
          <w:lang w:val="en-US"/>
        </w:rPr>
        <w:t>(6), 1287–1302. https://doi.org/10.1152/jn.1989.62.6.1287</w:t>
      </w:r>
    </w:p>
    <w:p w14:paraId="737ADAB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Girard, P., Salin, P. A., &amp; Bullier, J. (1991). Visual activity in areas V3a and V3 during reversible inactivation of area V1 in the macaque monkey. </w:t>
      </w:r>
      <w:r w:rsidRPr="00C67C50">
        <w:rPr>
          <w:rFonts w:ascii="Arial" w:hAnsi="Arial" w:cs="Arial"/>
          <w:i/>
          <w:iCs/>
          <w:lang w:val="en-US"/>
        </w:rPr>
        <w:t>Journal of Neurophysiology</w:t>
      </w:r>
      <w:r w:rsidRPr="00C67C50">
        <w:rPr>
          <w:rFonts w:ascii="Arial" w:hAnsi="Arial" w:cs="Arial"/>
          <w:lang w:val="en-US"/>
        </w:rPr>
        <w:t xml:space="preserve">, </w:t>
      </w:r>
      <w:r w:rsidRPr="00C67C50">
        <w:rPr>
          <w:rFonts w:ascii="Arial" w:hAnsi="Arial" w:cs="Arial"/>
          <w:i/>
          <w:iCs/>
          <w:lang w:val="en-US"/>
        </w:rPr>
        <w:t>66</w:t>
      </w:r>
      <w:r w:rsidRPr="00C67C50">
        <w:rPr>
          <w:rFonts w:ascii="Arial" w:hAnsi="Arial" w:cs="Arial"/>
          <w:lang w:val="en-US"/>
        </w:rPr>
        <w:t>(5), 1493–1503. https://doi.org/10.1152/jn.1991.66.5.1493</w:t>
      </w:r>
    </w:p>
    <w:p w14:paraId="4B25E018"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Goffaux, V., Schiltz, C., Mur, M., &amp; Goebel, R. (2012). Local discriminability determines the strength of holistic processing for faces in the fusiform face area. </w:t>
      </w:r>
      <w:r w:rsidRPr="00C67C50">
        <w:rPr>
          <w:rFonts w:ascii="Arial" w:hAnsi="Arial" w:cs="Arial"/>
          <w:i/>
          <w:iCs/>
          <w:lang w:val="en-US"/>
        </w:rPr>
        <w:t>Frontiers in Psychology</w:t>
      </w:r>
      <w:r w:rsidRPr="00C67C50">
        <w:rPr>
          <w:rFonts w:ascii="Arial" w:hAnsi="Arial" w:cs="Arial"/>
          <w:lang w:val="en-US"/>
        </w:rPr>
        <w:t xml:space="preserve">, </w:t>
      </w:r>
      <w:r w:rsidRPr="00C67C50">
        <w:rPr>
          <w:rFonts w:ascii="Arial" w:hAnsi="Arial" w:cs="Arial"/>
          <w:i/>
          <w:iCs/>
          <w:lang w:val="en-US"/>
        </w:rPr>
        <w:t>3</w:t>
      </w:r>
      <w:r w:rsidRPr="00C67C50">
        <w:rPr>
          <w:rFonts w:ascii="Arial" w:hAnsi="Arial" w:cs="Arial"/>
          <w:lang w:val="en-US"/>
        </w:rPr>
        <w:t>, 604. https://doi.org/10.3389/fpsyg.2012.00604</w:t>
      </w:r>
    </w:p>
    <w:p w14:paraId="0712E05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Gregoriou, G. G., Gotts, S. J., Zhou, H., &amp; Desimone, R. (2009). High-frequency, long-range coupling between prefrontal and visual cortex during attention. </w:t>
      </w:r>
      <w:r w:rsidRPr="00C67C50">
        <w:rPr>
          <w:rFonts w:ascii="Arial" w:hAnsi="Arial" w:cs="Arial"/>
          <w:i/>
          <w:iCs/>
          <w:lang w:val="en-US"/>
        </w:rPr>
        <w:t>Science (New York, N.Y.)</w:t>
      </w:r>
      <w:r w:rsidRPr="00C67C50">
        <w:rPr>
          <w:rFonts w:ascii="Arial" w:hAnsi="Arial" w:cs="Arial"/>
          <w:lang w:val="en-US"/>
        </w:rPr>
        <w:t xml:space="preserve">, </w:t>
      </w:r>
      <w:r w:rsidRPr="00C67C50">
        <w:rPr>
          <w:rFonts w:ascii="Arial" w:hAnsi="Arial" w:cs="Arial"/>
          <w:i/>
          <w:iCs/>
          <w:lang w:val="en-US"/>
        </w:rPr>
        <w:t>324</w:t>
      </w:r>
      <w:r w:rsidRPr="00C67C50">
        <w:rPr>
          <w:rFonts w:ascii="Arial" w:hAnsi="Arial" w:cs="Arial"/>
          <w:lang w:val="en-US"/>
        </w:rPr>
        <w:t>(5931), 1207–1210. https://doi.org/10.1126/science.1171402</w:t>
      </w:r>
    </w:p>
    <w:p w14:paraId="7A3571D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Greicius, M. D., Krasnow, B., Reiss, A. L., &amp; Menon, V. (2003). Functional connectivity in the resting brain: A network analysis of the default mode hypothesis. </w:t>
      </w:r>
      <w:r w:rsidRPr="00C67C50">
        <w:rPr>
          <w:rFonts w:ascii="Arial" w:hAnsi="Arial" w:cs="Arial"/>
          <w:i/>
          <w:iCs/>
          <w:lang w:val="en-US"/>
        </w:rPr>
        <w:t>Proceedings of the National Academy of Sciences</w:t>
      </w:r>
      <w:r w:rsidRPr="00C67C50">
        <w:rPr>
          <w:rFonts w:ascii="Arial" w:hAnsi="Arial" w:cs="Arial"/>
          <w:lang w:val="en-US"/>
        </w:rPr>
        <w:t xml:space="preserve">, </w:t>
      </w:r>
      <w:r w:rsidRPr="00C67C50">
        <w:rPr>
          <w:rFonts w:ascii="Arial" w:hAnsi="Arial" w:cs="Arial"/>
          <w:i/>
          <w:iCs/>
          <w:lang w:val="en-US"/>
        </w:rPr>
        <w:t>100</w:t>
      </w:r>
      <w:r w:rsidRPr="00C67C50">
        <w:rPr>
          <w:rFonts w:ascii="Arial" w:hAnsi="Arial" w:cs="Arial"/>
          <w:lang w:val="en-US"/>
        </w:rPr>
        <w:t>(1), 253–258. https://doi.org/10.1073/pnas.0135058100</w:t>
      </w:r>
    </w:p>
    <w:p w14:paraId="6F5C8E08"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Grill-Spector, K., Kushnir, T., Edelman, S., Avidan, G., Itzchak, Y., &amp; Malach, R. (1999). Differential Processing of Objects under Various Viewing </w:t>
      </w:r>
      <w:r w:rsidRPr="00C67C50">
        <w:rPr>
          <w:rFonts w:ascii="Arial" w:hAnsi="Arial" w:cs="Arial"/>
          <w:lang w:val="en-US"/>
        </w:rPr>
        <w:lastRenderedPageBreak/>
        <w:t xml:space="preserve">Conditions in the Human Lateral Occipital Complex.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24</w:t>
      </w:r>
      <w:r w:rsidRPr="00C67C50">
        <w:rPr>
          <w:rFonts w:ascii="Arial" w:hAnsi="Arial" w:cs="Arial"/>
          <w:lang w:val="en-US"/>
        </w:rPr>
        <w:t>(1), 187–203. https://doi.org/10.1016/S0896-6273(00)80832-6</w:t>
      </w:r>
    </w:p>
    <w:p w14:paraId="4CC1B5C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Grill-Spector, K., &amp; Malach, R. (2004). The human visual cortex. </w:t>
      </w:r>
      <w:r w:rsidRPr="00C67C50">
        <w:rPr>
          <w:rFonts w:ascii="Arial" w:hAnsi="Arial" w:cs="Arial"/>
          <w:i/>
          <w:iCs/>
          <w:lang w:val="en-US"/>
        </w:rPr>
        <w:t>Annual Review of Neuroscience</w:t>
      </w:r>
      <w:r w:rsidRPr="00C67C50">
        <w:rPr>
          <w:rFonts w:ascii="Arial" w:hAnsi="Arial" w:cs="Arial"/>
          <w:lang w:val="en-US"/>
        </w:rPr>
        <w:t xml:space="preserve">, </w:t>
      </w:r>
      <w:r w:rsidRPr="00C67C50">
        <w:rPr>
          <w:rFonts w:ascii="Arial" w:hAnsi="Arial" w:cs="Arial"/>
          <w:i/>
          <w:iCs/>
          <w:lang w:val="en-US"/>
        </w:rPr>
        <w:t>27</w:t>
      </w:r>
      <w:r w:rsidRPr="00C67C50">
        <w:rPr>
          <w:rFonts w:ascii="Arial" w:hAnsi="Arial" w:cs="Arial"/>
          <w:lang w:val="en-US"/>
        </w:rPr>
        <w:t>, 649–677. https://doi.org/10.1146/annurev.neuro.27.070203.144220</w:t>
      </w:r>
    </w:p>
    <w:p w14:paraId="3E676A4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Gusnard, D. A., &amp; Raichle, M. E. (2001). Searching for a baseline: Functional imaging and the resting human brain. </w:t>
      </w:r>
      <w:r w:rsidRPr="00C67C50">
        <w:rPr>
          <w:rFonts w:ascii="Arial" w:hAnsi="Arial" w:cs="Arial"/>
          <w:i/>
          <w:iCs/>
          <w:lang w:val="en-US"/>
        </w:rPr>
        <w:t>Nature Reviews Neuroscience</w:t>
      </w:r>
      <w:r w:rsidRPr="00C67C50">
        <w:rPr>
          <w:rFonts w:ascii="Arial" w:hAnsi="Arial" w:cs="Arial"/>
          <w:lang w:val="en-US"/>
        </w:rPr>
        <w:t xml:space="preserve">, </w:t>
      </w:r>
      <w:r w:rsidRPr="00C67C50">
        <w:rPr>
          <w:rFonts w:ascii="Arial" w:hAnsi="Arial" w:cs="Arial"/>
          <w:i/>
          <w:iCs/>
          <w:lang w:val="en-US"/>
        </w:rPr>
        <w:t>2</w:t>
      </w:r>
      <w:r w:rsidRPr="00C67C50">
        <w:rPr>
          <w:rFonts w:ascii="Arial" w:hAnsi="Arial" w:cs="Arial"/>
          <w:lang w:val="en-US"/>
        </w:rPr>
        <w:t>(10), 685.</w:t>
      </w:r>
    </w:p>
    <w:p w14:paraId="206547F1"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Hahn, B., Wolkenberg, F. A., Ross, T. J., Myers, C. S., Heishman, S. J., Stein, D. J., … Stein, E. A. (2008). Divided versus selective attention: Evidence for common processing mechanisms. </w:t>
      </w:r>
      <w:r w:rsidRPr="00C67C50">
        <w:rPr>
          <w:rFonts w:ascii="Arial" w:hAnsi="Arial" w:cs="Arial"/>
          <w:i/>
          <w:iCs/>
          <w:lang w:val="en-US"/>
        </w:rPr>
        <w:t>Brain Research</w:t>
      </w:r>
      <w:r w:rsidRPr="00C67C50">
        <w:rPr>
          <w:rFonts w:ascii="Arial" w:hAnsi="Arial" w:cs="Arial"/>
          <w:lang w:val="en-US"/>
        </w:rPr>
        <w:t xml:space="preserve">, </w:t>
      </w:r>
      <w:r w:rsidRPr="00C67C50">
        <w:rPr>
          <w:rFonts w:ascii="Arial" w:hAnsi="Arial" w:cs="Arial"/>
          <w:i/>
          <w:iCs/>
          <w:lang w:val="en-US"/>
        </w:rPr>
        <w:t>1215</w:t>
      </w:r>
      <w:r w:rsidRPr="00C67C50">
        <w:rPr>
          <w:rFonts w:ascii="Arial" w:hAnsi="Arial" w:cs="Arial"/>
          <w:lang w:val="en-US"/>
        </w:rPr>
        <w:t>, 137–146. https://doi.org/10.1016/j.brainres.2008.03.058</w:t>
      </w:r>
    </w:p>
    <w:p w14:paraId="68859EB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Harrison, S. A., &amp; Tong, F. (2009). Decoding reveals the contents of visual working memory in early visual areas. </w:t>
      </w:r>
      <w:r w:rsidRPr="00C67C50">
        <w:rPr>
          <w:rFonts w:ascii="Arial" w:hAnsi="Arial" w:cs="Arial"/>
          <w:i/>
          <w:iCs/>
          <w:lang w:val="en-US"/>
        </w:rPr>
        <w:t>Nature</w:t>
      </w:r>
      <w:r w:rsidRPr="00C67C50">
        <w:rPr>
          <w:rFonts w:ascii="Arial" w:hAnsi="Arial" w:cs="Arial"/>
          <w:lang w:val="en-US"/>
        </w:rPr>
        <w:t xml:space="preserve">, </w:t>
      </w:r>
      <w:r w:rsidRPr="00C67C50">
        <w:rPr>
          <w:rFonts w:ascii="Arial" w:hAnsi="Arial" w:cs="Arial"/>
          <w:i/>
          <w:iCs/>
          <w:lang w:val="en-US"/>
        </w:rPr>
        <w:t>458</w:t>
      </w:r>
      <w:r w:rsidRPr="00C67C50">
        <w:rPr>
          <w:rFonts w:ascii="Arial" w:hAnsi="Arial" w:cs="Arial"/>
          <w:lang w:val="en-US"/>
        </w:rPr>
        <w:t>(7238), 632–635. https://doi.org/10.1038/nature07832</w:t>
      </w:r>
    </w:p>
    <w:p w14:paraId="6927058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Hasson, U., Nir, Y., Levy, I., Fuhrmann, G., &amp; Malach, R. (2004). Intersubject synchronization of cortical activity during natural vision. </w:t>
      </w:r>
      <w:r w:rsidRPr="00C67C50">
        <w:rPr>
          <w:rFonts w:ascii="Arial" w:hAnsi="Arial" w:cs="Arial"/>
          <w:i/>
          <w:iCs/>
          <w:lang w:val="en-US"/>
        </w:rPr>
        <w:t>Science (New York, N.Y.)</w:t>
      </w:r>
      <w:r w:rsidRPr="00C67C50">
        <w:rPr>
          <w:rFonts w:ascii="Arial" w:hAnsi="Arial" w:cs="Arial"/>
          <w:lang w:val="en-US"/>
        </w:rPr>
        <w:t xml:space="preserve">, </w:t>
      </w:r>
      <w:r w:rsidRPr="00C67C50">
        <w:rPr>
          <w:rFonts w:ascii="Arial" w:hAnsi="Arial" w:cs="Arial"/>
          <w:i/>
          <w:iCs/>
          <w:lang w:val="en-US"/>
        </w:rPr>
        <w:t>303</w:t>
      </w:r>
      <w:r w:rsidRPr="00C67C50">
        <w:rPr>
          <w:rFonts w:ascii="Arial" w:hAnsi="Arial" w:cs="Arial"/>
          <w:lang w:val="en-US"/>
        </w:rPr>
        <w:t>(5664), 1634–1640. https://doi.org/10.1126/science.1089506</w:t>
      </w:r>
    </w:p>
    <w:p w14:paraId="190D1D70"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Hautus, M. J. (1995). Corrections for extreme proportions and their biasing effects on estimated values ofd′. </w:t>
      </w:r>
      <w:r w:rsidRPr="00C67C50">
        <w:rPr>
          <w:rFonts w:ascii="Arial" w:hAnsi="Arial" w:cs="Arial"/>
          <w:i/>
          <w:iCs/>
          <w:lang w:val="en-US"/>
        </w:rPr>
        <w:t>Behavior Research Methods, Instruments, &amp; Computers</w:t>
      </w:r>
      <w:r w:rsidRPr="00C67C50">
        <w:rPr>
          <w:rFonts w:ascii="Arial" w:hAnsi="Arial" w:cs="Arial"/>
          <w:lang w:val="en-US"/>
        </w:rPr>
        <w:t xml:space="preserve">, </w:t>
      </w:r>
      <w:r w:rsidRPr="00C67C50">
        <w:rPr>
          <w:rFonts w:ascii="Arial" w:hAnsi="Arial" w:cs="Arial"/>
          <w:i/>
          <w:iCs/>
          <w:lang w:val="en-US"/>
        </w:rPr>
        <w:t>27</w:t>
      </w:r>
      <w:r w:rsidRPr="00C67C50">
        <w:rPr>
          <w:rFonts w:ascii="Arial" w:hAnsi="Arial" w:cs="Arial"/>
          <w:lang w:val="en-US"/>
        </w:rPr>
        <w:t>(1), 46–51.</w:t>
      </w:r>
    </w:p>
    <w:p w14:paraId="272F070A"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Haxby, J. V., Connolly, A. C., &amp; Guntupalli, J. S. (2014). Decoding neural representational spaces using multivariate pattern analysis. </w:t>
      </w:r>
      <w:r w:rsidRPr="00C67C50">
        <w:rPr>
          <w:rFonts w:ascii="Arial" w:hAnsi="Arial" w:cs="Arial"/>
          <w:i/>
          <w:iCs/>
          <w:lang w:val="en-US"/>
        </w:rPr>
        <w:t>Annual Review of Neuroscience</w:t>
      </w:r>
      <w:r w:rsidRPr="00C67C50">
        <w:rPr>
          <w:rFonts w:ascii="Arial" w:hAnsi="Arial" w:cs="Arial"/>
          <w:lang w:val="en-US"/>
        </w:rPr>
        <w:t xml:space="preserve">, </w:t>
      </w:r>
      <w:r w:rsidRPr="00C67C50">
        <w:rPr>
          <w:rFonts w:ascii="Arial" w:hAnsi="Arial" w:cs="Arial"/>
          <w:i/>
          <w:iCs/>
          <w:lang w:val="en-US"/>
        </w:rPr>
        <w:t>37</w:t>
      </w:r>
      <w:r w:rsidRPr="00C67C50">
        <w:rPr>
          <w:rFonts w:ascii="Arial" w:hAnsi="Arial" w:cs="Arial"/>
          <w:lang w:val="en-US"/>
        </w:rPr>
        <w:t>, 435–456. https://doi.org/10.1146/annurev-neuro-062012-170325</w:t>
      </w:r>
    </w:p>
    <w:p w14:paraId="522DCAB2"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Hendry, S. H., &amp; Reid, R. C. (2000). The koniocellular pathway in primate vision. </w:t>
      </w:r>
      <w:r w:rsidRPr="00C67C50">
        <w:rPr>
          <w:rFonts w:ascii="Arial" w:hAnsi="Arial" w:cs="Arial"/>
          <w:i/>
          <w:iCs/>
          <w:lang w:val="en-US"/>
        </w:rPr>
        <w:t>Annual Review of Neuroscience</w:t>
      </w:r>
      <w:r w:rsidRPr="00C67C50">
        <w:rPr>
          <w:rFonts w:ascii="Arial" w:hAnsi="Arial" w:cs="Arial"/>
          <w:lang w:val="en-US"/>
        </w:rPr>
        <w:t xml:space="preserve">, </w:t>
      </w:r>
      <w:r w:rsidRPr="00C67C50">
        <w:rPr>
          <w:rFonts w:ascii="Arial" w:hAnsi="Arial" w:cs="Arial"/>
          <w:i/>
          <w:iCs/>
          <w:lang w:val="en-US"/>
        </w:rPr>
        <w:t>23</w:t>
      </w:r>
      <w:r w:rsidRPr="00C67C50">
        <w:rPr>
          <w:rFonts w:ascii="Arial" w:hAnsi="Arial" w:cs="Arial"/>
          <w:lang w:val="en-US"/>
        </w:rPr>
        <w:t>, 127–153. https://doi.org/10.1146/annurev.neuro.23.1.127</w:t>
      </w:r>
    </w:p>
    <w:p w14:paraId="41C5F41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Herath, P., Klingberg, T., Young, J., Amunts, K., &amp; Roland, P. (2001). Neural correlates of dual task interference can be dissociated from those of divided attention: An fMRI study. </w:t>
      </w:r>
      <w:r w:rsidRPr="00C67C50">
        <w:rPr>
          <w:rFonts w:ascii="Arial" w:hAnsi="Arial" w:cs="Arial"/>
          <w:i/>
          <w:iCs/>
          <w:lang w:val="en-US"/>
        </w:rPr>
        <w:t>Cerebral Cortex (New York, N.Y.: 1991)</w:t>
      </w:r>
      <w:r w:rsidRPr="00C67C50">
        <w:rPr>
          <w:rFonts w:ascii="Arial" w:hAnsi="Arial" w:cs="Arial"/>
          <w:lang w:val="en-US"/>
        </w:rPr>
        <w:t xml:space="preserve">, </w:t>
      </w:r>
      <w:r w:rsidRPr="00C67C50">
        <w:rPr>
          <w:rFonts w:ascii="Arial" w:hAnsi="Arial" w:cs="Arial"/>
          <w:i/>
          <w:iCs/>
          <w:lang w:val="en-US"/>
        </w:rPr>
        <w:t>11</w:t>
      </w:r>
      <w:r w:rsidRPr="00C67C50">
        <w:rPr>
          <w:rFonts w:ascii="Arial" w:hAnsi="Arial" w:cs="Arial"/>
          <w:lang w:val="en-US"/>
        </w:rPr>
        <w:t>(9), 796–805.</w:t>
      </w:r>
    </w:p>
    <w:p w14:paraId="6232FA7D"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Herrmann, K., Montaser-Kouhsari, L., Carrasco, M., &amp; Heeger, D. J. (2010). When size matters: Attention affects performance by contrast or response gain. </w:t>
      </w:r>
      <w:r w:rsidRPr="00C67C50">
        <w:rPr>
          <w:rFonts w:ascii="Arial" w:hAnsi="Arial" w:cs="Arial"/>
          <w:i/>
          <w:iCs/>
          <w:lang w:val="en-US"/>
        </w:rPr>
        <w:t>Nature Neuroscience</w:t>
      </w:r>
      <w:r w:rsidRPr="00C67C50">
        <w:rPr>
          <w:rFonts w:ascii="Arial" w:hAnsi="Arial" w:cs="Arial"/>
          <w:lang w:val="en-US"/>
        </w:rPr>
        <w:t xml:space="preserve">, </w:t>
      </w:r>
      <w:r w:rsidRPr="00C67C50">
        <w:rPr>
          <w:rFonts w:ascii="Arial" w:hAnsi="Arial" w:cs="Arial"/>
          <w:i/>
          <w:iCs/>
          <w:lang w:val="en-US"/>
        </w:rPr>
        <w:t>13</w:t>
      </w:r>
      <w:r w:rsidRPr="00C67C50">
        <w:rPr>
          <w:rFonts w:ascii="Arial" w:hAnsi="Arial" w:cs="Arial"/>
          <w:lang w:val="en-US"/>
        </w:rPr>
        <w:t>(12), 1554–1559. https://doi.org/10.1038/nn.2669</w:t>
      </w:r>
    </w:p>
    <w:p w14:paraId="58C0743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Heywood, C. A., &amp; Cowey, A. (1992). The role of the “face-cell” area in the discrimination and recognition of faces by monkeys. </w:t>
      </w:r>
      <w:r w:rsidRPr="00C67C50">
        <w:rPr>
          <w:rFonts w:ascii="Arial" w:hAnsi="Arial" w:cs="Arial"/>
          <w:i/>
          <w:iCs/>
          <w:lang w:val="en-US"/>
        </w:rPr>
        <w:t>Philosophical Transactions of the Royal Society of London. Series B, Biological Sciences</w:t>
      </w:r>
      <w:r w:rsidRPr="00C67C50">
        <w:rPr>
          <w:rFonts w:ascii="Arial" w:hAnsi="Arial" w:cs="Arial"/>
          <w:lang w:val="en-US"/>
        </w:rPr>
        <w:t xml:space="preserve">, </w:t>
      </w:r>
      <w:r w:rsidRPr="00C67C50">
        <w:rPr>
          <w:rFonts w:ascii="Arial" w:hAnsi="Arial" w:cs="Arial"/>
          <w:i/>
          <w:iCs/>
          <w:lang w:val="en-US"/>
        </w:rPr>
        <w:t>335</w:t>
      </w:r>
      <w:r w:rsidRPr="00C67C50">
        <w:rPr>
          <w:rFonts w:ascii="Arial" w:hAnsi="Arial" w:cs="Arial"/>
          <w:lang w:val="en-US"/>
        </w:rPr>
        <w:t>(1273), 31–37; discussion 37-38. https://doi.org/10.1098/rstb.1992.0004</w:t>
      </w:r>
    </w:p>
    <w:p w14:paraId="6A371D8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Heywood, C. A., Gadotti, A., &amp; Cowey, A. (1992). Cortical area V4 and its role in the perception of color. </w:t>
      </w:r>
      <w:r w:rsidRPr="00C67C50">
        <w:rPr>
          <w:rFonts w:ascii="Arial" w:hAnsi="Arial" w:cs="Arial"/>
          <w:i/>
          <w:iCs/>
          <w:lang w:val="en-US"/>
        </w:rPr>
        <w:t>The Journal of Neuroscience: The Official Journal of the Society for Neuroscience</w:t>
      </w:r>
      <w:r w:rsidRPr="00C67C50">
        <w:rPr>
          <w:rFonts w:ascii="Arial" w:hAnsi="Arial" w:cs="Arial"/>
          <w:lang w:val="en-US"/>
        </w:rPr>
        <w:t xml:space="preserve">, </w:t>
      </w:r>
      <w:r w:rsidRPr="00C67C50">
        <w:rPr>
          <w:rFonts w:ascii="Arial" w:hAnsi="Arial" w:cs="Arial"/>
          <w:i/>
          <w:iCs/>
          <w:lang w:val="en-US"/>
        </w:rPr>
        <w:t>12</w:t>
      </w:r>
      <w:r w:rsidRPr="00C67C50">
        <w:rPr>
          <w:rFonts w:ascii="Arial" w:hAnsi="Arial" w:cs="Arial"/>
          <w:lang w:val="en-US"/>
        </w:rPr>
        <w:t>(10), 4056–4065.</w:t>
      </w:r>
    </w:p>
    <w:p w14:paraId="5F756D3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Highsmith, J., &amp; Crognale, M. A. (2010). Attentional shifts have little effect on the waveform of the chromatic onset VEP. </w:t>
      </w:r>
      <w:r w:rsidRPr="00C67C50">
        <w:rPr>
          <w:rFonts w:ascii="Arial" w:hAnsi="Arial" w:cs="Arial"/>
          <w:i/>
          <w:iCs/>
          <w:lang w:val="en-US"/>
        </w:rPr>
        <w:t>Ophthalmic &amp; Physiological Optics: The Journal of the British College of Ophthalmic Opticians (Optometrists)</w:t>
      </w:r>
      <w:r w:rsidRPr="00C67C50">
        <w:rPr>
          <w:rFonts w:ascii="Arial" w:hAnsi="Arial" w:cs="Arial"/>
          <w:lang w:val="en-US"/>
        </w:rPr>
        <w:t xml:space="preserve">, </w:t>
      </w:r>
      <w:r w:rsidRPr="00C67C50">
        <w:rPr>
          <w:rFonts w:ascii="Arial" w:hAnsi="Arial" w:cs="Arial"/>
          <w:i/>
          <w:iCs/>
          <w:lang w:val="en-US"/>
        </w:rPr>
        <w:t>30</w:t>
      </w:r>
      <w:r w:rsidRPr="00C67C50">
        <w:rPr>
          <w:rFonts w:ascii="Arial" w:hAnsi="Arial" w:cs="Arial"/>
          <w:lang w:val="en-US"/>
        </w:rPr>
        <w:t>(5), 525–533. https://doi.org/10.1111/j.1475-1313.2010.00747.x</w:t>
      </w:r>
    </w:p>
    <w:p w14:paraId="36EB72E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Holmes, G. (1918). DISTURBANCES OF VISION BY CEREBRAL LESIONS. </w:t>
      </w:r>
      <w:r w:rsidRPr="00C67C50">
        <w:rPr>
          <w:rFonts w:ascii="Arial" w:hAnsi="Arial" w:cs="Arial"/>
          <w:i/>
          <w:iCs/>
          <w:lang w:val="en-US"/>
        </w:rPr>
        <w:t>The British Journal of Ophthalmology</w:t>
      </w:r>
      <w:r w:rsidRPr="00C67C50">
        <w:rPr>
          <w:rFonts w:ascii="Arial" w:hAnsi="Arial" w:cs="Arial"/>
          <w:lang w:val="en-US"/>
        </w:rPr>
        <w:t xml:space="preserve">, </w:t>
      </w:r>
      <w:r w:rsidRPr="00C67C50">
        <w:rPr>
          <w:rFonts w:ascii="Arial" w:hAnsi="Arial" w:cs="Arial"/>
          <w:i/>
          <w:iCs/>
          <w:lang w:val="en-US"/>
        </w:rPr>
        <w:t>2</w:t>
      </w:r>
      <w:r w:rsidRPr="00C67C50">
        <w:rPr>
          <w:rFonts w:ascii="Arial" w:hAnsi="Arial" w:cs="Arial"/>
          <w:lang w:val="en-US"/>
        </w:rPr>
        <w:t>(7), 353–384.</w:t>
      </w:r>
    </w:p>
    <w:p w14:paraId="01A4E4CA"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Horton, J. C., &amp; Hubel, D. H. (1981). Regular patchy distribution of cytochrome oxidase staining in primary visual cortex of macaque monkey. </w:t>
      </w:r>
      <w:r w:rsidRPr="00C67C50">
        <w:rPr>
          <w:rFonts w:ascii="Arial" w:hAnsi="Arial" w:cs="Arial"/>
          <w:i/>
          <w:iCs/>
          <w:lang w:val="en-US"/>
        </w:rPr>
        <w:t>Nature</w:t>
      </w:r>
      <w:r w:rsidRPr="00C67C50">
        <w:rPr>
          <w:rFonts w:ascii="Arial" w:hAnsi="Arial" w:cs="Arial"/>
          <w:lang w:val="en-US"/>
        </w:rPr>
        <w:t xml:space="preserve">, </w:t>
      </w:r>
      <w:r w:rsidRPr="00C67C50">
        <w:rPr>
          <w:rFonts w:ascii="Arial" w:hAnsi="Arial" w:cs="Arial"/>
          <w:i/>
          <w:iCs/>
          <w:lang w:val="en-US"/>
        </w:rPr>
        <w:t>292</w:t>
      </w:r>
      <w:r w:rsidRPr="00C67C50">
        <w:rPr>
          <w:rFonts w:ascii="Arial" w:hAnsi="Arial" w:cs="Arial"/>
          <w:lang w:val="en-US"/>
        </w:rPr>
        <w:t>(5825), 762.</w:t>
      </w:r>
    </w:p>
    <w:p w14:paraId="2DE9C21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Hubel, D. H., &amp; Wiesel, T. N. (1959). Receptive fields of single neurones in the cat’s striate cortex. </w:t>
      </w:r>
      <w:r w:rsidRPr="00C67C50">
        <w:rPr>
          <w:rFonts w:ascii="Arial" w:hAnsi="Arial" w:cs="Arial"/>
          <w:i/>
          <w:iCs/>
          <w:lang w:val="en-US"/>
        </w:rPr>
        <w:t>The Journal of Physiology</w:t>
      </w:r>
      <w:r w:rsidRPr="00C67C50">
        <w:rPr>
          <w:rFonts w:ascii="Arial" w:hAnsi="Arial" w:cs="Arial"/>
          <w:lang w:val="en-US"/>
        </w:rPr>
        <w:t xml:space="preserve">, </w:t>
      </w:r>
      <w:r w:rsidRPr="00C67C50">
        <w:rPr>
          <w:rFonts w:ascii="Arial" w:hAnsi="Arial" w:cs="Arial"/>
          <w:i/>
          <w:iCs/>
          <w:lang w:val="en-US"/>
        </w:rPr>
        <w:t>148</w:t>
      </w:r>
      <w:r w:rsidRPr="00C67C50">
        <w:rPr>
          <w:rFonts w:ascii="Arial" w:hAnsi="Arial" w:cs="Arial"/>
          <w:lang w:val="en-US"/>
        </w:rPr>
        <w:t>(3), 574–591.</w:t>
      </w:r>
    </w:p>
    <w:p w14:paraId="7BC6F83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Hubel, D. H., &amp; Wiesel, T. N. (1962). Receptive fields, binocular interaction and functional architecture in the cat’s visual cortex. </w:t>
      </w:r>
      <w:r w:rsidRPr="00C67C50">
        <w:rPr>
          <w:rFonts w:ascii="Arial" w:hAnsi="Arial" w:cs="Arial"/>
          <w:i/>
          <w:iCs/>
          <w:lang w:val="en-US"/>
        </w:rPr>
        <w:t>The Journal of Physiology</w:t>
      </w:r>
      <w:r w:rsidRPr="00C67C50">
        <w:rPr>
          <w:rFonts w:ascii="Arial" w:hAnsi="Arial" w:cs="Arial"/>
          <w:lang w:val="en-US"/>
        </w:rPr>
        <w:t xml:space="preserve">, </w:t>
      </w:r>
      <w:r w:rsidRPr="00C67C50">
        <w:rPr>
          <w:rFonts w:ascii="Arial" w:hAnsi="Arial" w:cs="Arial"/>
          <w:i/>
          <w:iCs/>
          <w:lang w:val="en-US"/>
        </w:rPr>
        <w:t>160</w:t>
      </w:r>
      <w:r w:rsidRPr="00C67C50">
        <w:rPr>
          <w:rFonts w:ascii="Arial" w:hAnsi="Arial" w:cs="Arial"/>
          <w:lang w:val="en-US"/>
        </w:rPr>
        <w:t>(1), 106-154.2.</w:t>
      </w:r>
    </w:p>
    <w:p w14:paraId="1B2D4CDB"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Huk, A. C., &amp; Heeger, D. J. (2000). Task-related modulation of visual cortex. </w:t>
      </w:r>
      <w:r w:rsidRPr="00C67C50">
        <w:rPr>
          <w:rFonts w:ascii="Arial" w:hAnsi="Arial" w:cs="Arial"/>
          <w:i/>
          <w:iCs/>
          <w:lang w:val="en-US"/>
        </w:rPr>
        <w:t>Journal of Neurophysiology</w:t>
      </w:r>
      <w:r w:rsidRPr="00C67C50">
        <w:rPr>
          <w:rFonts w:ascii="Arial" w:hAnsi="Arial" w:cs="Arial"/>
          <w:lang w:val="en-US"/>
        </w:rPr>
        <w:t xml:space="preserve">, </w:t>
      </w:r>
      <w:r w:rsidRPr="00C67C50">
        <w:rPr>
          <w:rFonts w:ascii="Arial" w:hAnsi="Arial" w:cs="Arial"/>
          <w:i/>
          <w:iCs/>
          <w:lang w:val="en-US"/>
        </w:rPr>
        <w:t>83</w:t>
      </w:r>
      <w:r w:rsidRPr="00C67C50">
        <w:rPr>
          <w:rFonts w:ascii="Arial" w:hAnsi="Arial" w:cs="Arial"/>
          <w:lang w:val="en-US"/>
        </w:rPr>
        <w:t>(6), 3525–3536. https://doi.org/10.1152/jn.2000.83.6.3525</w:t>
      </w:r>
    </w:p>
    <w:p w14:paraId="33EA3AF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Huk, A. C., Ress, D., &amp; Heeger, D. J. (2001). Neuronal basis of the motion aftereffect reconsidered.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32</w:t>
      </w:r>
      <w:r w:rsidRPr="00C67C50">
        <w:rPr>
          <w:rFonts w:ascii="Arial" w:hAnsi="Arial" w:cs="Arial"/>
          <w:lang w:val="en-US"/>
        </w:rPr>
        <w:t>(1), 161–172.</w:t>
      </w:r>
    </w:p>
    <w:p w14:paraId="3BE4BB3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Huk, Alexander C., Dougherty, R. F., &amp; Heeger, D. J. (2002). Retinotopy and functional subdivision of human areas MT and MST. </w:t>
      </w:r>
      <w:r w:rsidRPr="00C67C50">
        <w:rPr>
          <w:rFonts w:ascii="Arial" w:hAnsi="Arial" w:cs="Arial"/>
          <w:i/>
          <w:iCs/>
          <w:lang w:val="en-US"/>
        </w:rPr>
        <w:t>Journal of Neuroscience</w:t>
      </w:r>
      <w:r w:rsidRPr="00C67C50">
        <w:rPr>
          <w:rFonts w:ascii="Arial" w:hAnsi="Arial" w:cs="Arial"/>
          <w:lang w:val="en-US"/>
        </w:rPr>
        <w:t xml:space="preserve">, </w:t>
      </w:r>
      <w:r w:rsidRPr="00C67C50">
        <w:rPr>
          <w:rFonts w:ascii="Arial" w:hAnsi="Arial" w:cs="Arial"/>
          <w:i/>
          <w:iCs/>
          <w:lang w:val="en-US"/>
        </w:rPr>
        <w:t>22</w:t>
      </w:r>
      <w:r w:rsidRPr="00C67C50">
        <w:rPr>
          <w:rFonts w:ascii="Arial" w:hAnsi="Arial" w:cs="Arial"/>
          <w:lang w:val="en-US"/>
        </w:rPr>
        <w:t>(16), 7195–7205.</w:t>
      </w:r>
    </w:p>
    <w:p w14:paraId="50EE401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Ivanov, I. V., &amp; Mullen, K. T. (2012a). The role of local features in shape discrimination of contour- and surface-defined radial frequency patterns at low contrast. </w:t>
      </w:r>
      <w:r w:rsidRPr="00C67C50">
        <w:rPr>
          <w:rFonts w:ascii="Arial" w:hAnsi="Arial" w:cs="Arial"/>
          <w:i/>
          <w:iCs/>
          <w:lang w:val="en-US"/>
        </w:rPr>
        <w:t>Vision Research</w:t>
      </w:r>
      <w:r w:rsidRPr="00C67C50">
        <w:rPr>
          <w:rFonts w:ascii="Arial" w:hAnsi="Arial" w:cs="Arial"/>
          <w:lang w:val="en-US"/>
        </w:rPr>
        <w:t xml:space="preserve">, </w:t>
      </w:r>
      <w:r w:rsidRPr="00C67C50">
        <w:rPr>
          <w:rFonts w:ascii="Arial" w:hAnsi="Arial" w:cs="Arial"/>
          <w:i/>
          <w:iCs/>
          <w:lang w:val="en-US"/>
        </w:rPr>
        <w:t>52</w:t>
      </w:r>
      <w:r w:rsidRPr="00C67C50">
        <w:rPr>
          <w:rFonts w:ascii="Arial" w:hAnsi="Arial" w:cs="Arial"/>
          <w:lang w:val="en-US"/>
        </w:rPr>
        <w:t>(1), 1–10. https://doi.org/10.1016/j.visres.2011.10.002</w:t>
      </w:r>
    </w:p>
    <w:p w14:paraId="5F1E4EE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Ivanov, I. V., &amp; Mullen, K. T. (2012b). The role of local features in shape discrimination of contour- and surface-defined radial frequency patterns at low contrast. </w:t>
      </w:r>
      <w:r w:rsidRPr="00C67C50">
        <w:rPr>
          <w:rFonts w:ascii="Arial" w:hAnsi="Arial" w:cs="Arial"/>
          <w:i/>
          <w:iCs/>
          <w:lang w:val="en-US"/>
        </w:rPr>
        <w:t>Vision Research</w:t>
      </w:r>
      <w:r w:rsidRPr="00C67C50">
        <w:rPr>
          <w:rFonts w:ascii="Arial" w:hAnsi="Arial" w:cs="Arial"/>
          <w:lang w:val="en-US"/>
        </w:rPr>
        <w:t xml:space="preserve">, </w:t>
      </w:r>
      <w:r w:rsidRPr="00C67C50">
        <w:rPr>
          <w:rFonts w:ascii="Arial" w:hAnsi="Arial" w:cs="Arial"/>
          <w:i/>
          <w:iCs/>
          <w:lang w:val="en-US"/>
        </w:rPr>
        <w:t>52</w:t>
      </w:r>
      <w:r w:rsidRPr="00C67C50">
        <w:rPr>
          <w:rFonts w:ascii="Arial" w:hAnsi="Arial" w:cs="Arial"/>
          <w:lang w:val="en-US"/>
        </w:rPr>
        <w:t>(1), 1–10. https://doi.org/10.1016/j.visres.2011.10.002</w:t>
      </w:r>
    </w:p>
    <w:p w14:paraId="28C6FBB8"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James, W. (1890). </w:t>
      </w:r>
      <w:r w:rsidRPr="00C67C50">
        <w:rPr>
          <w:rFonts w:ascii="Arial" w:hAnsi="Arial" w:cs="Arial"/>
          <w:i/>
          <w:iCs/>
          <w:lang w:val="en-US"/>
        </w:rPr>
        <w:t>The principles of psychology</w:t>
      </w:r>
      <w:r w:rsidRPr="00C67C50">
        <w:rPr>
          <w:rFonts w:ascii="Arial" w:hAnsi="Arial" w:cs="Arial"/>
          <w:lang w:val="en-US"/>
        </w:rPr>
        <w:t xml:space="preserve"> (Vol. 1). Macmillan London.</w:t>
      </w:r>
    </w:p>
    <w:p w14:paraId="74B393F6"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Jenkinson, M., Beckmann, C. F., Behrens, T. E. J., Woolrich, M. W., &amp; Smith, S. M. (2012). FSL.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62</w:t>
      </w:r>
      <w:r w:rsidRPr="00C67C50">
        <w:rPr>
          <w:rFonts w:ascii="Arial" w:hAnsi="Arial" w:cs="Arial"/>
          <w:lang w:val="en-US"/>
        </w:rPr>
        <w:t>(2), 782–790. https://doi.org/10.1016/j.neuroimage.2011.09.015</w:t>
      </w:r>
    </w:p>
    <w:p w14:paraId="2840479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Johnson, E. N., Hawken, M. J., &amp; Shapley, R. (2001). The spatial transformation of color in the primary visual cortex of the macaque monkey. </w:t>
      </w:r>
      <w:r w:rsidRPr="00C67C50">
        <w:rPr>
          <w:rFonts w:ascii="Arial" w:hAnsi="Arial" w:cs="Arial"/>
          <w:i/>
          <w:iCs/>
          <w:lang w:val="en-US"/>
        </w:rPr>
        <w:t>Nature Neuroscience</w:t>
      </w:r>
      <w:r w:rsidRPr="00C67C50">
        <w:rPr>
          <w:rFonts w:ascii="Arial" w:hAnsi="Arial" w:cs="Arial"/>
          <w:lang w:val="en-US"/>
        </w:rPr>
        <w:t xml:space="preserve">, </w:t>
      </w:r>
      <w:r w:rsidRPr="00C67C50">
        <w:rPr>
          <w:rFonts w:ascii="Arial" w:hAnsi="Arial" w:cs="Arial"/>
          <w:i/>
          <w:iCs/>
          <w:lang w:val="en-US"/>
        </w:rPr>
        <w:t>4</w:t>
      </w:r>
      <w:r w:rsidRPr="00C67C50">
        <w:rPr>
          <w:rFonts w:ascii="Arial" w:hAnsi="Arial" w:cs="Arial"/>
          <w:lang w:val="en-US"/>
        </w:rPr>
        <w:t>(4), 409–416. https://doi.org/10.1038/86061</w:t>
      </w:r>
    </w:p>
    <w:p w14:paraId="4506619D"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Johnson, J. A., &amp; Zatorre, R. J. (2006). Neural substrates for dividing and focusing attention between simultaneous auditory and visual events.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31</w:t>
      </w:r>
      <w:r w:rsidRPr="00C67C50">
        <w:rPr>
          <w:rFonts w:ascii="Arial" w:hAnsi="Arial" w:cs="Arial"/>
          <w:lang w:val="en-US"/>
        </w:rPr>
        <w:t>(4), 1673–1681. https://doi.org/10.1016/j.neuroimage.2006.02.026</w:t>
      </w:r>
    </w:p>
    <w:p w14:paraId="20DB990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Kamitani, Y., &amp; Sawahata, Y. (2010). Spatial smoothing hurts localization but not information: Pitfalls for brain mappers.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49</w:t>
      </w:r>
      <w:r w:rsidRPr="00C67C50">
        <w:rPr>
          <w:rFonts w:ascii="Arial" w:hAnsi="Arial" w:cs="Arial"/>
          <w:lang w:val="en-US"/>
        </w:rPr>
        <w:t>(3), 1949–1952. https://doi.org/10.1016/j.neuroimage.2009.06.040</w:t>
      </w:r>
    </w:p>
    <w:p w14:paraId="2389947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Kamitani, Y., &amp; Tong, F. (2005). Decoding the visual and subjective contents of the human brain. </w:t>
      </w:r>
      <w:r w:rsidRPr="00C67C50">
        <w:rPr>
          <w:rFonts w:ascii="Arial" w:hAnsi="Arial" w:cs="Arial"/>
          <w:i/>
          <w:iCs/>
          <w:lang w:val="en-US"/>
        </w:rPr>
        <w:t>Nature Neuroscience</w:t>
      </w:r>
      <w:r w:rsidRPr="00C67C50">
        <w:rPr>
          <w:rFonts w:ascii="Arial" w:hAnsi="Arial" w:cs="Arial"/>
          <w:lang w:val="en-US"/>
        </w:rPr>
        <w:t xml:space="preserve">, </w:t>
      </w:r>
      <w:r w:rsidRPr="00C67C50">
        <w:rPr>
          <w:rFonts w:ascii="Arial" w:hAnsi="Arial" w:cs="Arial"/>
          <w:i/>
          <w:iCs/>
          <w:lang w:val="en-US"/>
        </w:rPr>
        <w:t>8</w:t>
      </w:r>
      <w:r w:rsidRPr="00C67C50">
        <w:rPr>
          <w:rFonts w:ascii="Arial" w:hAnsi="Arial" w:cs="Arial"/>
          <w:lang w:val="en-US"/>
        </w:rPr>
        <w:t>(5), 679–685. https://doi.org/10.1038/nn1444</w:t>
      </w:r>
    </w:p>
    <w:p w14:paraId="7010FEDA"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Kamitani, Y., &amp; Tong, F. (2006). Decoding seen and attended motion directions from activity in the human visual cortex. </w:t>
      </w:r>
      <w:r w:rsidRPr="00C67C50">
        <w:rPr>
          <w:rFonts w:ascii="Arial" w:hAnsi="Arial" w:cs="Arial"/>
          <w:i/>
          <w:iCs/>
          <w:lang w:val="en-US"/>
        </w:rPr>
        <w:t>Current Biology: CB</w:t>
      </w:r>
      <w:r w:rsidRPr="00C67C50">
        <w:rPr>
          <w:rFonts w:ascii="Arial" w:hAnsi="Arial" w:cs="Arial"/>
          <w:lang w:val="en-US"/>
        </w:rPr>
        <w:t xml:space="preserve">, </w:t>
      </w:r>
      <w:r w:rsidRPr="00C67C50">
        <w:rPr>
          <w:rFonts w:ascii="Arial" w:hAnsi="Arial" w:cs="Arial"/>
          <w:i/>
          <w:iCs/>
          <w:lang w:val="en-US"/>
        </w:rPr>
        <w:t>16</w:t>
      </w:r>
      <w:r w:rsidRPr="00C67C50">
        <w:rPr>
          <w:rFonts w:ascii="Arial" w:hAnsi="Arial" w:cs="Arial"/>
          <w:lang w:val="en-US"/>
        </w:rPr>
        <w:t>(11), 1096–1102. https://doi.org/10.1016/j.cub.2006.04.003</w:t>
      </w:r>
    </w:p>
    <w:p w14:paraId="570DF3CB"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Kanwisher, N., McDermott, J., &amp; Chun, M. M. (1997). The fusiform face area: A module in human extrastriate cortex specialized for face perception. </w:t>
      </w:r>
      <w:r w:rsidRPr="00C67C50">
        <w:rPr>
          <w:rFonts w:ascii="Arial" w:hAnsi="Arial" w:cs="Arial"/>
          <w:i/>
          <w:iCs/>
          <w:lang w:val="en-US"/>
        </w:rPr>
        <w:t>The Journal of Neuroscience: The Official Journal of the Society for Neuroscience</w:t>
      </w:r>
      <w:r w:rsidRPr="00C67C50">
        <w:rPr>
          <w:rFonts w:ascii="Arial" w:hAnsi="Arial" w:cs="Arial"/>
          <w:lang w:val="en-US"/>
        </w:rPr>
        <w:t xml:space="preserve">, </w:t>
      </w:r>
      <w:r w:rsidRPr="00C67C50">
        <w:rPr>
          <w:rFonts w:ascii="Arial" w:hAnsi="Arial" w:cs="Arial"/>
          <w:i/>
          <w:iCs/>
          <w:lang w:val="en-US"/>
        </w:rPr>
        <w:t>17</w:t>
      </w:r>
      <w:r w:rsidRPr="00C67C50">
        <w:rPr>
          <w:rFonts w:ascii="Arial" w:hAnsi="Arial" w:cs="Arial"/>
          <w:lang w:val="en-US"/>
        </w:rPr>
        <w:t>(11), 4302–4311.</w:t>
      </w:r>
    </w:p>
    <w:p w14:paraId="4D4EA3AA"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Kanwisher, Nancy. (2010). Functional specificity in the human brain: A window into the functional architecture of the mind. </w:t>
      </w:r>
      <w:r w:rsidRPr="00C67C50">
        <w:rPr>
          <w:rFonts w:ascii="Arial" w:hAnsi="Arial" w:cs="Arial"/>
          <w:i/>
          <w:iCs/>
          <w:lang w:val="en-US"/>
        </w:rPr>
        <w:t xml:space="preserve">Proceedings of the </w:t>
      </w:r>
      <w:r w:rsidRPr="00C67C50">
        <w:rPr>
          <w:rFonts w:ascii="Arial" w:hAnsi="Arial" w:cs="Arial"/>
          <w:i/>
          <w:iCs/>
          <w:lang w:val="en-US"/>
        </w:rPr>
        <w:lastRenderedPageBreak/>
        <w:t>National Academy of Sciences</w:t>
      </w:r>
      <w:r w:rsidRPr="00C67C50">
        <w:rPr>
          <w:rFonts w:ascii="Arial" w:hAnsi="Arial" w:cs="Arial"/>
          <w:lang w:val="en-US"/>
        </w:rPr>
        <w:t xml:space="preserve">, </w:t>
      </w:r>
      <w:r w:rsidRPr="00C67C50">
        <w:rPr>
          <w:rFonts w:ascii="Arial" w:hAnsi="Arial" w:cs="Arial"/>
          <w:i/>
          <w:iCs/>
          <w:lang w:val="en-US"/>
        </w:rPr>
        <w:t>107</w:t>
      </w:r>
      <w:r w:rsidRPr="00C67C50">
        <w:rPr>
          <w:rFonts w:ascii="Arial" w:hAnsi="Arial" w:cs="Arial"/>
          <w:lang w:val="en-US"/>
        </w:rPr>
        <w:t>(25), 11163–11170. https://doi.org/10.1073/pnas.1005062107</w:t>
      </w:r>
    </w:p>
    <w:p w14:paraId="5CE9805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Kanwisher, Nancy, &amp; Yovel, G. (2006). The fusiform face area: A cortical region specialized for the perception of faces. </w:t>
      </w:r>
      <w:r w:rsidRPr="00C67C50">
        <w:rPr>
          <w:rFonts w:ascii="Arial" w:hAnsi="Arial" w:cs="Arial"/>
          <w:i/>
          <w:iCs/>
          <w:lang w:val="en-US"/>
        </w:rPr>
        <w:t>Philosophical Transactions of the Royal Society of London. Series B, Biological Sciences</w:t>
      </w:r>
      <w:r w:rsidRPr="00C67C50">
        <w:rPr>
          <w:rFonts w:ascii="Arial" w:hAnsi="Arial" w:cs="Arial"/>
          <w:lang w:val="en-US"/>
        </w:rPr>
        <w:t xml:space="preserve">, </w:t>
      </w:r>
      <w:r w:rsidRPr="00C67C50">
        <w:rPr>
          <w:rFonts w:ascii="Arial" w:hAnsi="Arial" w:cs="Arial"/>
          <w:i/>
          <w:iCs/>
          <w:lang w:val="en-US"/>
        </w:rPr>
        <w:t>361</w:t>
      </w:r>
      <w:r w:rsidRPr="00C67C50">
        <w:rPr>
          <w:rFonts w:ascii="Arial" w:hAnsi="Arial" w:cs="Arial"/>
          <w:lang w:val="en-US"/>
        </w:rPr>
        <w:t>(1476), 2109–2128. https://doi.org/10.1098/rstb.2006.1934</w:t>
      </w:r>
    </w:p>
    <w:p w14:paraId="04ED12FA"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Kastner, S., De Weerd, P., Desimone, R., &amp; Ungerleider, L. G. (1998). Mechanisms of directed attention in the human extrastriate cortex as revealed by functional MRI. </w:t>
      </w:r>
      <w:r w:rsidRPr="00C67C50">
        <w:rPr>
          <w:rFonts w:ascii="Arial" w:hAnsi="Arial" w:cs="Arial"/>
          <w:i/>
          <w:iCs/>
          <w:lang w:val="en-US"/>
        </w:rPr>
        <w:t>Science (New York, N.Y.)</w:t>
      </w:r>
      <w:r w:rsidRPr="00C67C50">
        <w:rPr>
          <w:rFonts w:ascii="Arial" w:hAnsi="Arial" w:cs="Arial"/>
          <w:lang w:val="en-US"/>
        </w:rPr>
        <w:t xml:space="preserve">, </w:t>
      </w:r>
      <w:r w:rsidRPr="00C67C50">
        <w:rPr>
          <w:rFonts w:ascii="Arial" w:hAnsi="Arial" w:cs="Arial"/>
          <w:i/>
          <w:iCs/>
          <w:lang w:val="en-US"/>
        </w:rPr>
        <w:t>282</w:t>
      </w:r>
      <w:r w:rsidRPr="00C67C50">
        <w:rPr>
          <w:rFonts w:ascii="Arial" w:hAnsi="Arial" w:cs="Arial"/>
          <w:lang w:val="en-US"/>
        </w:rPr>
        <w:t>(5386), 108–111.</w:t>
      </w:r>
    </w:p>
    <w:p w14:paraId="15FDA8F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Kay, K. N., Naselaris, T., Prenger, R. J., &amp; Gallant, J. L. (2008). Identifying natural images from human brain activity. </w:t>
      </w:r>
      <w:r w:rsidRPr="00C67C50">
        <w:rPr>
          <w:rFonts w:ascii="Arial" w:hAnsi="Arial" w:cs="Arial"/>
          <w:i/>
          <w:iCs/>
          <w:lang w:val="en-US"/>
        </w:rPr>
        <w:t>Nature</w:t>
      </w:r>
      <w:r w:rsidRPr="00C67C50">
        <w:rPr>
          <w:rFonts w:ascii="Arial" w:hAnsi="Arial" w:cs="Arial"/>
          <w:lang w:val="en-US"/>
        </w:rPr>
        <w:t xml:space="preserve">, </w:t>
      </w:r>
      <w:r w:rsidRPr="00C67C50">
        <w:rPr>
          <w:rFonts w:ascii="Arial" w:hAnsi="Arial" w:cs="Arial"/>
          <w:i/>
          <w:iCs/>
          <w:lang w:val="en-US"/>
        </w:rPr>
        <w:t>452</w:t>
      </w:r>
      <w:r w:rsidRPr="00C67C50">
        <w:rPr>
          <w:rFonts w:ascii="Arial" w:hAnsi="Arial" w:cs="Arial"/>
          <w:lang w:val="en-US"/>
        </w:rPr>
        <w:t>(7185), 352–355. https://doi.org/10.1038/nature06713</w:t>
      </w:r>
    </w:p>
    <w:p w14:paraId="3F488CC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Knerr, S., Personnaz, L., &amp; Dreyfus, G. (1990). Single-layer learning revisited: A stepwise procedure for building and training a neural network. In </w:t>
      </w:r>
      <w:r w:rsidRPr="00C67C50">
        <w:rPr>
          <w:rFonts w:ascii="Arial" w:hAnsi="Arial" w:cs="Arial"/>
          <w:i/>
          <w:iCs/>
          <w:lang w:val="en-US"/>
        </w:rPr>
        <w:t>Neurocomputing</w:t>
      </w:r>
      <w:r w:rsidRPr="00C67C50">
        <w:rPr>
          <w:rFonts w:ascii="Arial" w:hAnsi="Arial" w:cs="Arial"/>
          <w:lang w:val="en-US"/>
        </w:rPr>
        <w:t xml:space="preserve"> (pp. 41–50). Springer.</w:t>
      </w:r>
    </w:p>
    <w:p w14:paraId="5D4EC30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Kornak, J., Hall, D. A., &amp; Haggard, M. P. (2011). Spatially Extended fMRI Signal Response to Stimulus in Non-Functionally Relevant Regions of the Human Brain: Preliminary Results. </w:t>
      </w:r>
      <w:r w:rsidRPr="00C67C50">
        <w:rPr>
          <w:rFonts w:ascii="Arial" w:hAnsi="Arial" w:cs="Arial"/>
          <w:i/>
          <w:iCs/>
          <w:lang w:val="en-US"/>
        </w:rPr>
        <w:t>The Open Neuroimaging Journal</w:t>
      </w:r>
      <w:r w:rsidRPr="00C67C50">
        <w:rPr>
          <w:rFonts w:ascii="Arial" w:hAnsi="Arial" w:cs="Arial"/>
          <w:lang w:val="en-US"/>
        </w:rPr>
        <w:t xml:space="preserve">, </w:t>
      </w:r>
      <w:r w:rsidRPr="00C67C50">
        <w:rPr>
          <w:rFonts w:ascii="Arial" w:hAnsi="Arial" w:cs="Arial"/>
          <w:i/>
          <w:iCs/>
          <w:lang w:val="en-US"/>
        </w:rPr>
        <w:t>5</w:t>
      </w:r>
      <w:r w:rsidRPr="00C67C50">
        <w:rPr>
          <w:rFonts w:ascii="Arial" w:hAnsi="Arial" w:cs="Arial"/>
          <w:lang w:val="en-US"/>
        </w:rPr>
        <w:t>(1). https://doi.org/10.2174/1874440001105010024</w:t>
      </w:r>
    </w:p>
    <w:p w14:paraId="319DD278"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Kourtzi, Z., &amp; Kanwisher, N. (2001). Representation of perceived object shape by the human lateral occipital complex. </w:t>
      </w:r>
      <w:r w:rsidRPr="00C67C50">
        <w:rPr>
          <w:rFonts w:ascii="Arial" w:hAnsi="Arial" w:cs="Arial"/>
          <w:i/>
          <w:iCs/>
          <w:lang w:val="en-US"/>
        </w:rPr>
        <w:t>Science (New York, N.Y.)</w:t>
      </w:r>
      <w:r w:rsidRPr="00C67C50">
        <w:rPr>
          <w:rFonts w:ascii="Arial" w:hAnsi="Arial" w:cs="Arial"/>
          <w:lang w:val="en-US"/>
        </w:rPr>
        <w:t xml:space="preserve">, </w:t>
      </w:r>
      <w:r w:rsidRPr="00C67C50">
        <w:rPr>
          <w:rFonts w:ascii="Arial" w:hAnsi="Arial" w:cs="Arial"/>
          <w:i/>
          <w:iCs/>
          <w:lang w:val="en-US"/>
        </w:rPr>
        <w:t>293</w:t>
      </w:r>
      <w:r w:rsidRPr="00C67C50">
        <w:rPr>
          <w:rFonts w:ascii="Arial" w:hAnsi="Arial" w:cs="Arial"/>
          <w:lang w:val="en-US"/>
        </w:rPr>
        <w:t>(5534), 1506–1509. https://doi.org/10.1126/science.1061133</w:t>
      </w:r>
    </w:p>
    <w:p w14:paraId="0EA00C08"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Kowler, E. (1990). The role of visual and cognitive processes in the control of eye movement. </w:t>
      </w:r>
      <w:r w:rsidRPr="00C67C50">
        <w:rPr>
          <w:rFonts w:ascii="Arial" w:hAnsi="Arial" w:cs="Arial"/>
          <w:i/>
          <w:iCs/>
          <w:lang w:val="en-US"/>
        </w:rPr>
        <w:t>Reviews of Oculomotor Research</w:t>
      </w:r>
      <w:r w:rsidRPr="00C67C50">
        <w:rPr>
          <w:rFonts w:ascii="Arial" w:hAnsi="Arial" w:cs="Arial"/>
          <w:lang w:val="en-US"/>
        </w:rPr>
        <w:t xml:space="preserve">, </w:t>
      </w:r>
      <w:r w:rsidRPr="00C67C50">
        <w:rPr>
          <w:rFonts w:ascii="Arial" w:hAnsi="Arial" w:cs="Arial"/>
          <w:i/>
          <w:iCs/>
          <w:lang w:val="en-US"/>
        </w:rPr>
        <w:t>4</w:t>
      </w:r>
      <w:r w:rsidRPr="00C67C50">
        <w:rPr>
          <w:rFonts w:ascii="Arial" w:hAnsi="Arial" w:cs="Arial"/>
          <w:lang w:val="en-US"/>
        </w:rPr>
        <w:t>, 1–70.</w:t>
      </w:r>
    </w:p>
    <w:p w14:paraId="2CFA387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Lacadie, C., Fulbright, R., Arora, J., Constable, R., &amp; Papademetris, X. (2008). Brodmann Areas defined in MNI space using a new Tracing Tool in BioImage Suite. </w:t>
      </w:r>
      <w:r w:rsidRPr="00C67C50">
        <w:rPr>
          <w:rFonts w:ascii="Arial" w:hAnsi="Arial" w:cs="Arial"/>
          <w:i/>
          <w:iCs/>
          <w:lang w:val="en-US"/>
        </w:rPr>
        <w:t>Proceedings of the 14th Annual Meeting of the Organization for Human Brain Mapping</w:t>
      </w:r>
      <w:r w:rsidRPr="00C67C50">
        <w:rPr>
          <w:rFonts w:ascii="Arial" w:hAnsi="Arial" w:cs="Arial"/>
          <w:lang w:val="en-US"/>
        </w:rPr>
        <w:t xml:space="preserve">, </w:t>
      </w:r>
      <w:r w:rsidRPr="00C67C50">
        <w:rPr>
          <w:rFonts w:ascii="Arial" w:hAnsi="Arial" w:cs="Arial"/>
          <w:i/>
          <w:iCs/>
          <w:lang w:val="en-US"/>
        </w:rPr>
        <w:t>771</w:t>
      </w:r>
      <w:r w:rsidRPr="00C67C50">
        <w:rPr>
          <w:rFonts w:ascii="Arial" w:hAnsi="Arial" w:cs="Arial"/>
          <w:lang w:val="en-US"/>
        </w:rPr>
        <w:t>.</w:t>
      </w:r>
    </w:p>
    <w:p w14:paraId="16560C5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Larsson, J., &amp; Heeger, D. J. (2006). Two retinotopic visual areas in human lateral occipital cortex. </w:t>
      </w:r>
      <w:r w:rsidRPr="00C67C50">
        <w:rPr>
          <w:rFonts w:ascii="Arial" w:hAnsi="Arial" w:cs="Arial"/>
          <w:i/>
          <w:iCs/>
          <w:lang w:val="en-US"/>
        </w:rPr>
        <w:t>Journal of Neuroscience</w:t>
      </w:r>
      <w:r w:rsidRPr="00C67C50">
        <w:rPr>
          <w:rFonts w:ascii="Arial" w:hAnsi="Arial" w:cs="Arial"/>
          <w:lang w:val="en-US"/>
        </w:rPr>
        <w:t xml:space="preserve">, </w:t>
      </w:r>
      <w:r w:rsidRPr="00C67C50">
        <w:rPr>
          <w:rFonts w:ascii="Arial" w:hAnsi="Arial" w:cs="Arial"/>
          <w:i/>
          <w:iCs/>
          <w:lang w:val="en-US"/>
        </w:rPr>
        <w:t>26</w:t>
      </w:r>
      <w:r w:rsidRPr="00C67C50">
        <w:rPr>
          <w:rFonts w:ascii="Arial" w:hAnsi="Arial" w:cs="Arial"/>
          <w:lang w:val="en-US"/>
        </w:rPr>
        <w:t>(51), 13128–13142.</w:t>
      </w:r>
    </w:p>
    <w:p w14:paraId="7E246C40"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Lauritzen, T Z, Ales, J. M., &amp; Wade, A. R. (2010). The effects of visuospatial attention measured across visual cortex using source-imaged, steady-state EEG. </w:t>
      </w:r>
      <w:r w:rsidRPr="00C67C50">
        <w:rPr>
          <w:rFonts w:ascii="Arial" w:hAnsi="Arial" w:cs="Arial"/>
          <w:i/>
          <w:iCs/>
          <w:lang w:val="en-US"/>
        </w:rPr>
        <w:t>Journal of Vision</w:t>
      </w:r>
      <w:r w:rsidRPr="00C67C50">
        <w:rPr>
          <w:rFonts w:ascii="Arial" w:hAnsi="Arial" w:cs="Arial"/>
          <w:lang w:val="en-US"/>
        </w:rPr>
        <w:t xml:space="preserve">, </w:t>
      </w:r>
      <w:r w:rsidRPr="00C67C50">
        <w:rPr>
          <w:rFonts w:ascii="Arial" w:hAnsi="Arial" w:cs="Arial"/>
          <w:i/>
          <w:iCs/>
          <w:lang w:val="en-US"/>
        </w:rPr>
        <w:t>10</w:t>
      </w:r>
      <w:r w:rsidRPr="00C67C50">
        <w:rPr>
          <w:rFonts w:ascii="Arial" w:hAnsi="Arial" w:cs="Arial"/>
          <w:lang w:val="en-US"/>
        </w:rPr>
        <w:t>(14), 1–17. https://doi.org/10.1167/10.14.39</w:t>
      </w:r>
    </w:p>
    <w:p w14:paraId="5659BCB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Lauritzen, Thomas Z., D’Esposito, M., Heeger, D. J., &amp; Silver, M. A. (2009). Top-down flow of visual spatial attention signals from parietal to occipital cortex. </w:t>
      </w:r>
      <w:r w:rsidRPr="00C67C50">
        <w:rPr>
          <w:rFonts w:ascii="Arial" w:hAnsi="Arial" w:cs="Arial"/>
          <w:i/>
          <w:iCs/>
          <w:lang w:val="en-US"/>
        </w:rPr>
        <w:t>Journal of Vision</w:t>
      </w:r>
      <w:r w:rsidRPr="00C67C50">
        <w:rPr>
          <w:rFonts w:ascii="Arial" w:hAnsi="Arial" w:cs="Arial"/>
          <w:lang w:val="en-US"/>
        </w:rPr>
        <w:t xml:space="preserve">, </w:t>
      </w:r>
      <w:r w:rsidRPr="00C67C50">
        <w:rPr>
          <w:rFonts w:ascii="Arial" w:hAnsi="Arial" w:cs="Arial"/>
          <w:i/>
          <w:iCs/>
          <w:lang w:val="en-US"/>
        </w:rPr>
        <w:t>9</w:t>
      </w:r>
      <w:r w:rsidRPr="00C67C50">
        <w:rPr>
          <w:rFonts w:ascii="Arial" w:hAnsi="Arial" w:cs="Arial"/>
          <w:lang w:val="en-US"/>
        </w:rPr>
        <w:t>(13), 18.1-14. https://doi.org/10.1167/9.13.18</w:t>
      </w:r>
    </w:p>
    <w:p w14:paraId="4BAAE1F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Lawrence, S. J., Keefe, B. D., Vernon, R. J., Wade, A. R., McKeefry, D. J., &amp; Morland, A. B. (2016). Global shape aftereffects in composite radial frequency patterns. </w:t>
      </w:r>
      <w:r w:rsidRPr="00C67C50">
        <w:rPr>
          <w:rFonts w:ascii="Arial" w:hAnsi="Arial" w:cs="Arial"/>
          <w:i/>
          <w:iCs/>
          <w:lang w:val="en-US"/>
        </w:rPr>
        <w:t>Journal of Vision</w:t>
      </w:r>
      <w:r w:rsidRPr="00C67C50">
        <w:rPr>
          <w:rFonts w:ascii="Arial" w:hAnsi="Arial" w:cs="Arial"/>
          <w:lang w:val="en-US"/>
        </w:rPr>
        <w:t xml:space="preserve">, </w:t>
      </w:r>
      <w:r w:rsidRPr="00C67C50">
        <w:rPr>
          <w:rFonts w:ascii="Arial" w:hAnsi="Arial" w:cs="Arial"/>
          <w:i/>
          <w:iCs/>
          <w:lang w:val="en-US"/>
        </w:rPr>
        <w:t>16</w:t>
      </w:r>
      <w:r w:rsidRPr="00C67C50">
        <w:rPr>
          <w:rFonts w:ascii="Arial" w:hAnsi="Arial" w:cs="Arial"/>
          <w:lang w:val="en-US"/>
        </w:rPr>
        <w:t>(7), 17–17.</w:t>
      </w:r>
    </w:p>
    <w:p w14:paraId="75ACE214"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Levitt, J. B., Kiper, D. C., &amp; Movshon, J. A. (1994). Receptive fields and functional architecture of macaque V2. </w:t>
      </w:r>
      <w:r w:rsidRPr="00C67C50">
        <w:rPr>
          <w:rFonts w:ascii="Arial" w:hAnsi="Arial" w:cs="Arial"/>
          <w:i/>
          <w:iCs/>
          <w:lang w:val="en-US"/>
        </w:rPr>
        <w:t>Journal of Neurophysiology</w:t>
      </w:r>
      <w:r w:rsidRPr="00C67C50">
        <w:rPr>
          <w:rFonts w:ascii="Arial" w:hAnsi="Arial" w:cs="Arial"/>
          <w:lang w:val="en-US"/>
        </w:rPr>
        <w:t xml:space="preserve">, </w:t>
      </w:r>
      <w:r w:rsidRPr="00C67C50">
        <w:rPr>
          <w:rFonts w:ascii="Arial" w:hAnsi="Arial" w:cs="Arial"/>
          <w:i/>
          <w:iCs/>
          <w:lang w:val="en-US"/>
        </w:rPr>
        <w:t>71</w:t>
      </w:r>
      <w:r w:rsidRPr="00C67C50">
        <w:rPr>
          <w:rFonts w:ascii="Arial" w:hAnsi="Arial" w:cs="Arial"/>
          <w:lang w:val="en-US"/>
        </w:rPr>
        <w:t>(6), 2517–2542. https://doi.org/10.1152/jn.1994.71.6.2517</w:t>
      </w:r>
    </w:p>
    <w:p w14:paraId="046A0F6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Li, J., Zhang, D., Liang, A., Liang, B., Wang, Z., Cai, Y., … Liu, M. (2017). High transition frequencies of dynamic functional connectivity states in </w:t>
      </w:r>
      <w:r w:rsidRPr="00C67C50">
        <w:rPr>
          <w:rFonts w:ascii="Arial" w:hAnsi="Arial" w:cs="Arial"/>
          <w:lang w:val="en-US"/>
        </w:rPr>
        <w:lastRenderedPageBreak/>
        <w:t xml:space="preserve">the creative brain. </w:t>
      </w:r>
      <w:r w:rsidRPr="00C67C50">
        <w:rPr>
          <w:rFonts w:ascii="Arial" w:hAnsi="Arial" w:cs="Arial"/>
          <w:i/>
          <w:iCs/>
          <w:lang w:val="en-US"/>
        </w:rPr>
        <w:t>Scientific Reports</w:t>
      </w:r>
      <w:r w:rsidRPr="00C67C50">
        <w:rPr>
          <w:rFonts w:ascii="Arial" w:hAnsi="Arial" w:cs="Arial"/>
          <w:lang w:val="en-US"/>
        </w:rPr>
        <w:t xml:space="preserve">, </w:t>
      </w:r>
      <w:r w:rsidRPr="00C67C50">
        <w:rPr>
          <w:rFonts w:ascii="Arial" w:hAnsi="Arial" w:cs="Arial"/>
          <w:i/>
          <w:iCs/>
          <w:lang w:val="en-US"/>
        </w:rPr>
        <w:t>7</w:t>
      </w:r>
      <w:r w:rsidRPr="00C67C50">
        <w:rPr>
          <w:rFonts w:ascii="Arial" w:hAnsi="Arial" w:cs="Arial"/>
          <w:lang w:val="en-US"/>
        </w:rPr>
        <w:t>, 46072. https://doi.org/10.1038/srep46072</w:t>
      </w:r>
    </w:p>
    <w:p w14:paraId="73DEB3AB"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Liu, J., &amp; Wandell, B. A. (2005). Specializations for chromatic and temporal signals in human visual cortex. </w:t>
      </w:r>
      <w:r w:rsidRPr="00C67C50">
        <w:rPr>
          <w:rFonts w:ascii="Arial" w:hAnsi="Arial" w:cs="Arial"/>
          <w:i/>
          <w:iCs/>
          <w:lang w:val="en-US"/>
        </w:rPr>
        <w:t>The Journal of Neuroscience: The Official Journal of the Society for Neuroscience</w:t>
      </w:r>
      <w:r w:rsidRPr="00C67C50">
        <w:rPr>
          <w:rFonts w:ascii="Arial" w:hAnsi="Arial" w:cs="Arial"/>
          <w:lang w:val="en-US"/>
        </w:rPr>
        <w:t xml:space="preserve">, </w:t>
      </w:r>
      <w:r w:rsidRPr="00C67C50">
        <w:rPr>
          <w:rFonts w:ascii="Arial" w:hAnsi="Arial" w:cs="Arial"/>
          <w:i/>
          <w:iCs/>
          <w:lang w:val="en-US"/>
        </w:rPr>
        <w:t>25</w:t>
      </w:r>
      <w:r w:rsidRPr="00C67C50">
        <w:rPr>
          <w:rFonts w:ascii="Arial" w:hAnsi="Arial" w:cs="Arial"/>
          <w:lang w:val="en-US"/>
        </w:rPr>
        <w:t>(13), 3459–3468. https://doi.org/10.1523/JNEUROSCI.4206-04.2005</w:t>
      </w:r>
    </w:p>
    <w:p w14:paraId="419F969D"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Liu, T., Scott D. Slotnick, Serences, J. T., &amp; Yantis, S. (2003). Cortical mechanisms of feature-based attentional control. </w:t>
      </w:r>
      <w:r w:rsidRPr="00C67C50">
        <w:rPr>
          <w:rFonts w:ascii="Arial" w:hAnsi="Arial" w:cs="Arial"/>
          <w:i/>
          <w:iCs/>
          <w:lang w:val="en-US"/>
        </w:rPr>
        <w:t>Cerebral Cortex</w:t>
      </w:r>
      <w:r w:rsidRPr="00C67C50">
        <w:rPr>
          <w:rFonts w:ascii="Arial" w:hAnsi="Arial" w:cs="Arial"/>
          <w:lang w:val="en-US"/>
        </w:rPr>
        <w:t xml:space="preserve">, </w:t>
      </w:r>
      <w:r w:rsidRPr="00C67C50">
        <w:rPr>
          <w:rFonts w:ascii="Arial" w:hAnsi="Arial" w:cs="Arial"/>
          <w:i/>
          <w:iCs/>
          <w:lang w:val="en-US"/>
        </w:rPr>
        <w:t>13</w:t>
      </w:r>
      <w:r w:rsidRPr="00C67C50">
        <w:rPr>
          <w:rFonts w:ascii="Arial" w:hAnsi="Arial" w:cs="Arial"/>
          <w:lang w:val="en-US"/>
        </w:rPr>
        <w:t>(12), 1334–1343.</w:t>
      </w:r>
    </w:p>
    <w:p w14:paraId="2261E9AA"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Livingstone, M., &amp; Hubel, D. (1988). Segregation of form, color, movement, and depth: Anatomy, physiology, and perception. </w:t>
      </w:r>
      <w:r w:rsidRPr="00C67C50">
        <w:rPr>
          <w:rFonts w:ascii="Arial" w:hAnsi="Arial" w:cs="Arial"/>
          <w:i/>
          <w:iCs/>
          <w:lang w:val="en-US"/>
        </w:rPr>
        <w:t>Science</w:t>
      </w:r>
      <w:r w:rsidRPr="00C67C50">
        <w:rPr>
          <w:rFonts w:ascii="Arial" w:hAnsi="Arial" w:cs="Arial"/>
          <w:lang w:val="en-US"/>
        </w:rPr>
        <w:t xml:space="preserve">, </w:t>
      </w:r>
      <w:r w:rsidRPr="00C67C50">
        <w:rPr>
          <w:rFonts w:ascii="Arial" w:hAnsi="Arial" w:cs="Arial"/>
          <w:i/>
          <w:iCs/>
          <w:lang w:val="en-US"/>
        </w:rPr>
        <w:t>240</w:t>
      </w:r>
      <w:r w:rsidRPr="00C67C50">
        <w:rPr>
          <w:rFonts w:ascii="Arial" w:hAnsi="Arial" w:cs="Arial"/>
          <w:lang w:val="en-US"/>
        </w:rPr>
        <w:t>(4853), 740–749.</w:t>
      </w:r>
    </w:p>
    <w:p w14:paraId="214DF66D"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Livingstone, M. S., &amp; Hubel, D. H. (1984). Anatomy and physiology of a color system in the primate visual cortex. </w:t>
      </w:r>
      <w:r w:rsidRPr="00C67C50">
        <w:rPr>
          <w:rFonts w:ascii="Arial" w:hAnsi="Arial" w:cs="Arial"/>
          <w:i/>
          <w:iCs/>
          <w:lang w:val="en-US"/>
        </w:rPr>
        <w:t>The Journal of Neuroscience: The Official Journal of the Society for Neuroscience</w:t>
      </w:r>
      <w:r w:rsidRPr="00C67C50">
        <w:rPr>
          <w:rFonts w:ascii="Arial" w:hAnsi="Arial" w:cs="Arial"/>
          <w:lang w:val="en-US"/>
        </w:rPr>
        <w:t xml:space="preserve">, </w:t>
      </w:r>
      <w:r w:rsidRPr="00C67C50">
        <w:rPr>
          <w:rFonts w:ascii="Arial" w:hAnsi="Arial" w:cs="Arial"/>
          <w:i/>
          <w:iCs/>
          <w:lang w:val="en-US"/>
        </w:rPr>
        <w:t>4</w:t>
      </w:r>
      <w:r w:rsidRPr="00C67C50">
        <w:rPr>
          <w:rFonts w:ascii="Arial" w:hAnsi="Arial" w:cs="Arial"/>
          <w:lang w:val="en-US"/>
        </w:rPr>
        <w:t>(1), 309–356.</w:t>
      </w:r>
    </w:p>
    <w:p w14:paraId="46F37B01"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Loffler, G. (2008). Perception of contours and shapes: Low and intermediate stage mechanisms. </w:t>
      </w:r>
      <w:r w:rsidRPr="00C67C50">
        <w:rPr>
          <w:rFonts w:ascii="Arial" w:hAnsi="Arial" w:cs="Arial"/>
          <w:i/>
          <w:iCs/>
          <w:lang w:val="en-US"/>
        </w:rPr>
        <w:t>Vision Research</w:t>
      </w:r>
      <w:r w:rsidRPr="00C67C50">
        <w:rPr>
          <w:rFonts w:ascii="Arial" w:hAnsi="Arial" w:cs="Arial"/>
          <w:lang w:val="en-US"/>
        </w:rPr>
        <w:t xml:space="preserve">, </w:t>
      </w:r>
      <w:r w:rsidRPr="00C67C50">
        <w:rPr>
          <w:rFonts w:ascii="Arial" w:hAnsi="Arial" w:cs="Arial"/>
          <w:i/>
          <w:iCs/>
          <w:lang w:val="en-US"/>
        </w:rPr>
        <w:t>48</w:t>
      </w:r>
      <w:r w:rsidRPr="00C67C50">
        <w:rPr>
          <w:rFonts w:ascii="Arial" w:hAnsi="Arial" w:cs="Arial"/>
          <w:lang w:val="en-US"/>
        </w:rPr>
        <w:t>(20), 2106–2127. https://doi.org/10.1016/j.visres.2008.03.006</w:t>
      </w:r>
    </w:p>
    <w:p w14:paraId="05C2B32D"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Logothetis, N. K., Guggenberger, H., Peled, S., &amp; Pauls, J. (1999). Functional imaging of the monkey brain. </w:t>
      </w:r>
      <w:r w:rsidRPr="00C67C50">
        <w:rPr>
          <w:rFonts w:ascii="Arial" w:hAnsi="Arial" w:cs="Arial"/>
          <w:i/>
          <w:iCs/>
          <w:lang w:val="en-US"/>
        </w:rPr>
        <w:t>Nature Neuroscience</w:t>
      </w:r>
      <w:r w:rsidRPr="00C67C50">
        <w:rPr>
          <w:rFonts w:ascii="Arial" w:hAnsi="Arial" w:cs="Arial"/>
          <w:lang w:val="en-US"/>
        </w:rPr>
        <w:t xml:space="preserve">, </w:t>
      </w:r>
      <w:r w:rsidRPr="00C67C50">
        <w:rPr>
          <w:rFonts w:ascii="Arial" w:hAnsi="Arial" w:cs="Arial"/>
          <w:i/>
          <w:iCs/>
          <w:lang w:val="en-US"/>
        </w:rPr>
        <w:t>2</w:t>
      </w:r>
      <w:r w:rsidRPr="00C67C50">
        <w:rPr>
          <w:rFonts w:ascii="Arial" w:hAnsi="Arial" w:cs="Arial"/>
          <w:lang w:val="en-US"/>
        </w:rPr>
        <w:t>(6), 555–562. https://doi.org/10.1038/9210</w:t>
      </w:r>
    </w:p>
    <w:p w14:paraId="196088B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Logothetis, Nikos K., &amp; Wandell, B. A. (2004). Interpreting the BOLD signal. </w:t>
      </w:r>
      <w:r w:rsidRPr="00C67C50">
        <w:rPr>
          <w:rFonts w:ascii="Arial" w:hAnsi="Arial" w:cs="Arial"/>
          <w:i/>
          <w:iCs/>
          <w:lang w:val="en-US"/>
        </w:rPr>
        <w:t>Annual Review of Physiology</w:t>
      </w:r>
      <w:r w:rsidRPr="00C67C50">
        <w:rPr>
          <w:rFonts w:ascii="Arial" w:hAnsi="Arial" w:cs="Arial"/>
          <w:lang w:val="en-US"/>
        </w:rPr>
        <w:t xml:space="preserve">, </w:t>
      </w:r>
      <w:r w:rsidRPr="00C67C50">
        <w:rPr>
          <w:rFonts w:ascii="Arial" w:hAnsi="Arial" w:cs="Arial"/>
          <w:i/>
          <w:iCs/>
          <w:lang w:val="en-US"/>
        </w:rPr>
        <w:t>66</w:t>
      </w:r>
      <w:r w:rsidRPr="00C67C50">
        <w:rPr>
          <w:rFonts w:ascii="Arial" w:hAnsi="Arial" w:cs="Arial"/>
          <w:lang w:val="en-US"/>
        </w:rPr>
        <w:t>, 735–769. https://doi.org/10.1146/annurev.physiol.66.082602.092845</w:t>
      </w:r>
    </w:p>
    <w:p w14:paraId="27696CE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Loose, R., Kaufmann, C., Auer, D. P., &amp; Lange, K. W. (2003). Human prefrontal and sensory cortical activity during divided attention tasks. </w:t>
      </w:r>
      <w:r w:rsidRPr="00C67C50">
        <w:rPr>
          <w:rFonts w:ascii="Arial" w:hAnsi="Arial" w:cs="Arial"/>
          <w:i/>
          <w:iCs/>
          <w:lang w:val="en-US"/>
        </w:rPr>
        <w:lastRenderedPageBreak/>
        <w:t>Human Brain Mapping</w:t>
      </w:r>
      <w:r w:rsidRPr="00C67C50">
        <w:rPr>
          <w:rFonts w:ascii="Arial" w:hAnsi="Arial" w:cs="Arial"/>
          <w:lang w:val="en-US"/>
        </w:rPr>
        <w:t xml:space="preserve">, </w:t>
      </w:r>
      <w:r w:rsidRPr="00C67C50">
        <w:rPr>
          <w:rFonts w:ascii="Arial" w:hAnsi="Arial" w:cs="Arial"/>
          <w:i/>
          <w:iCs/>
          <w:lang w:val="en-US"/>
        </w:rPr>
        <w:t>18</w:t>
      </w:r>
      <w:r w:rsidRPr="00C67C50">
        <w:rPr>
          <w:rFonts w:ascii="Arial" w:hAnsi="Arial" w:cs="Arial"/>
          <w:lang w:val="en-US"/>
        </w:rPr>
        <w:t>(4), 249–259. https://doi.org/10.1002/hbm.10082</w:t>
      </w:r>
    </w:p>
    <w:p w14:paraId="1283E25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Lu, Z.-L., Lesmes, L. A., &amp; Sperling, G. (1999). The mechanism of isoluminant chromatic motion perception. </w:t>
      </w:r>
      <w:r w:rsidRPr="00C67C50">
        <w:rPr>
          <w:rFonts w:ascii="Arial" w:hAnsi="Arial" w:cs="Arial"/>
          <w:i/>
          <w:iCs/>
          <w:lang w:val="en-US"/>
        </w:rPr>
        <w:t>Proceedings of the National Academy of Sciences of the United States of America</w:t>
      </w:r>
      <w:r w:rsidRPr="00C67C50">
        <w:rPr>
          <w:rFonts w:ascii="Arial" w:hAnsi="Arial" w:cs="Arial"/>
          <w:lang w:val="en-US"/>
        </w:rPr>
        <w:t xml:space="preserve">, </w:t>
      </w:r>
      <w:r w:rsidRPr="00C67C50">
        <w:rPr>
          <w:rFonts w:ascii="Arial" w:hAnsi="Arial" w:cs="Arial"/>
          <w:i/>
          <w:iCs/>
          <w:lang w:val="en-US"/>
        </w:rPr>
        <w:t>96</w:t>
      </w:r>
      <w:r w:rsidRPr="00C67C50">
        <w:rPr>
          <w:rFonts w:ascii="Arial" w:hAnsi="Arial" w:cs="Arial"/>
          <w:lang w:val="en-US"/>
        </w:rPr>
        <w:t>(14), 8289–8294.</w:t>
      </w:r>
    </w:p>
    <w:p w14:paraId="688FDAB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Luck, S. J., Chelazzi, L., Hillyard, S. A., &amp; Desimone, R. (1997). Neural mechanisms of spatial selective attention in areas V1, V2, and V4 of macaque visual cortex. </w:t>
      </w:r>
      <w:r w:rsidRPr="00C67C50">
        <w:rPr>
          <w:rFonts w:ascii="Arial" w:hAnsi="Arial" w:cs="Arial"/>
          <w:i/>
          <w:iCs/>
          <w:lang w:val="en-US"/>
        </w:rPr>
        <w:t>Journal of Neurophysiology</w:t>
      </w:r>
      <w:r w:rsidRPr="00C67C50">
        <w:rPr>
          <w:rFonts w:ascii="Arial" w:hAnsi="Arial" w:cs="Arial"/>
          <w:lang w:val="en-US"/>
        </w:rPr>
        <w:t xml:space="preserve">, </w:t>
      </w:r>
      <w:r w:rsidRPr="00C67C50">
        <w:rPr>
          <w:rFonts w:ascii="Arial" w:hAnsi="Arial" w:cs="Arial"/>
          <w:i/>
          <w:iCs/>
          <w:lang w:val="en-US"/>
        </w:rPr>
        <w:t>77</w:t>
      </w:r>
      <w:r w:rsidRPr="00C67C50">
        <w:rPr>
          <w:rFonts w:ascii="Arial" w:hAnsi="Arial" w:cs="Arial"/>
          <w:lang w:val="en-US"/>
        </w:rPr>
        <w:t>(1), 24–42. https://doi.org/10.1152/jn.1997.77.1.24</w:t>
      </w:r>
    </w:p>
    <w:p w14:paraId="71C6322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Malach, R., Reppas, J. B., Benson, R. R., Kwong, K. K., Jiang, H., Kennedy, W. A., … Tootell, R. B. (1995). Object-related activity revealed by functional magnetic resonance imaging in human occipital cortex. </w:t>
      </w:r>
      <w:r w:rsidRPr="00C67C50">
        <w:rPr>
          <w:rFonts w:ascii="Arial" w:hAnsi="Arial" w:cs="Arial"/>
          <w:i/>
          <w:iCs/>
          <w:lang w:val="en-US"/>
        </w:rPr>
        <w:t>Proceedings of the National Academy of Sciences of the United States of America</w:t>
      </w:r>
      <w:r w:rsidRPr="00C67C50">
        <w:rPr>
          <w:rFonts w:ascii="Arial" w:hAnsi="Arial" w:cs="Arial"/>
          <w:lang w:val="en-US"/>
        </w:rPr>
        <w:t xml:space="preserve">, </w:t>
      </w:r>
      <w:r w:rsidRPr="00C67C50">
        <w:rPr>
          <w:rFonts w:ascii="Arial" w:hAnsi="Arial" w:cs="Arial"/>
          <w:i/>
          <w:iCs/>
          <w:lang w:val="en-US"/>
        </w:rPr>
        <w:t>92</w:t>
      </w:r>
      <w:r w:rsidRPr="00C67C50">
        <w:rPr>
          <w:rFonts w:ascii="Arial" w:hAnsi="Arial" w:cs="Arial"/>
          <w:lang w:val="en-US"/>
        </w:rPr>
        <w:t>(18), 8135–8139.</w:t>
      </w:r>
    </w:p>
    <w:p w14:paraId="5B802C8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Maloney, R. T., Watson, T. L., &amp; Clifford, C. W. (2013). Human cortical and behavioral sensitivity to patterns of complex motion at eccentricity. </w:t>
      </w:r>
      <w:r w:rsidRPr="00C67C50">
        <w:rPr>
          <w:rFonts w:ascii="Arial" w:hAnsi="Arial" w:cs="Arial"/>
          <w:i/>
          <w:iCs/>
          <w:lang w:val="en-US"/>
        </w:rPr>
        <w:t>Journal of Neurophysiology</w:t>
      </w:r>
      <w:r w:rsidRPr="00C67C50">
        <w:rPr>
          <w:rFonts w:ascii="Arial" w:hAnsi="Arial" w:cs="Arial"/>
          <w:lang w:val="en-US"/>
        </w:rPr>
        <w:t xml:space="preserve">, </w:t>
      </w:r>
      <w:r w:rsidRPr="00C67C50">
        <w:rPr>
          <w:rFonts w:ascii="Arial" w:hAnsi="Arial" w:cs="Arial"/>
          <w:i/>
          <w:iCs/>
          <w:lang w:val="en-US"/>
        </w:rPr>
        <w:t>110</w:t>
      </w:r>
      <w:r w:rsidRPr="00C67C50">
        <w:rPr>
          <w:rFonts w:ascii="Arial" w:hAnsi="Arial" w:cs="Arial"/>
          <w:lang w:val="en-US"/>
        </w:rPr>
        <w:t>(11), 2545–2556.</w:t>
      </w:r>
    </w:p>
    <w:p w14:paraId="5F3865B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Mannion, D. J., McDonald, J. S., &amp; Clifford, C. W. G. (2009). Discrimination of the local orientation structure of spiral Glass patterns early in human visual cortex.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46</w:t>
      </w:r>
      <w:r w:rsidRPr="00C67C50">
        <w:rPr>
          <w:rFonts w:ascii="Arial" w:hAnsi="Arial" w:cs="Arial"/>
          <w:lang w:val="en-US"/>
        </w:rPr>
        <w:t>(2), 511–515.</w:t>
      </w:r>
    </w:p>
    <w:p w14:paraId="11A42728"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Martinez, A., DiRusso, F., Anllo-Vento, L., Sereno, M. I., Buxton, R. B., &amp; Hillyard, S. A. (2001). Putting spatial attention on the map: Timing and localization of stimulus selection processes in striate and extrastriate visual areas. </w:t>
      </w:r>
      <w:r w:rsidRPr="00C67C50">
        <w:rPr>
          <w:rFonts w:ascii="Arial" w:hAnsi="Arial" w:cs="Arial"/>
          <w:i/>
          <w:iCs/>
          <w:lang w:val="en-US"/>
        </w:rPr>
        <w:t>Vision Research</w:t>
      </w:r>
      <w:r w:rsidRPr="00C67C50">
        <w:rPr>
          <w:rFonts w:ascii="Arial" w:hAnsi="Arial" w:cs="Arial"/>
          <w:lang w:val="en-US"/>
        </w:rPr>
        <w:t xml:space="preserve">, </w:t>
      </w:r>
      <w:r w:rsidRPr="00C67C50">
        <w:rPr>
          <w:rFonts w:ascii="Arial" w:hAnsi="Arial" w:cs="Arial"/>
          <w:i/>
          <w:iCs/>
          <w:lang w:val="en-US"/>
        </w:rPr>
        <w:t>41</w:t>
      </w:r>
      <w:r w:rsidRPr="00C67C50">
        <w:rPr>
          <w:rFonts w:ascii="Arial" w:hAnsi="Arial" w:cs="Arial"/>
          <w:lang w:val="en-US"/>
        </w:rPr>
        <w:t>(10–11), 1437–1457.</w:t>
      </w:r>
    </w:p>
    <w:p w14:paraId="617EEA0B"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Martinez-Trujillo, J. C., &amp; Treue, S. (2004). Feature-based attention increases the selectivity of population responses in primate visual cortex. </w:t>
      </w:r>
      <w:r w:rsidRPr="00C67C50">
        <w:rPr>
          <w:rFonts w:ascii="Arial" w:hAnsi="Arial" w:cs="Arial"/>
          <w:i/>
          <w:iCs/>
          <w:lang w:val="en-US"/>
        </w:rPr>
        <w:t>Current Biology: CB</w:t>
      </w:r>
      <w:r w:rsidRPr="00C67C50">
        <w:rPr>
          <w:rFonts w:ascii="Arial" w:hAnsi="Arial" w:cs="Arial"/>
          <w:lang w:val="en-US"/>
        </w:rPr>
        <w:t xml:space="preserve">, </w:t>
      </w:r>
      <w:r w:rsidRPr="00C67C50">
        <w:rPr>
          <w:rFonts w:ascii="Arial" w:hAnsi="Arial" w:cs="Arial"/>
          <w:i/>
          <w:iCs/>
          <w:lang w:val="en-US"/>
        </w:rPr>
        <w:t>14</w:t>
      </w:r>
      <w:r w:rsidRPr="00C67C50">
        <w:rPr>
          <w:rFonts w:ascii="Arial" w:hAnsi="Arial" w:cs="Arial"/>
          <w:lang w:val="en-US"/>
        </w:rPr>
        <w:t>(9), 744–751. https://doi.org/10.1016/j.cub.2004.04.028</w:t>
      </w:r>
    </w:p>
    <w:p w14:paraId="5CE590E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Martínez-Trujillo, J., &amp; Treue, S. (2002). Attentional modulation strength in cortical area MT depends on stimulus contrast.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35</w:t>
      </w:r>
      <w:r w:rsidRPr="00C67C50">
        <w:rPr>
          <w:rFonts w:ascii="Arial" w:hAnsi="Arial" w:cs="Arial"/>
          <w:lang w:val="en-US"/>
        </w:rPr>
        <w:t>(2), 365–370.</w:t>
      </w:r>
    </w:p>
    <w:p w14:paraId="6DF4866B"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Meadows, J. C. (1974). Disturbed perception of colours associated with localized cerebral lesions. </w:t>
      </w:r>
      <w:r w:rsidRPr="00C67C50">
        <w:rPr>
          <w:rFonts w:ascii="Arial" w:hAnsi="Arial" w:cs="Arial"/>
          <w:i/>
          <w:iCs/>
          <w:lang w:val="en-US"/>
        </w:rPr>
        <w:t>Brain: A Journal of Neurology</w:t>
      </w:r>
      <w:r w:rsidRPr="00C67C50">
        <w:rPr>
          <w:rFonts w:ascii="Arial" w:hAnsi="Arial" w:cs="Arial"/>
          <w:lang w:val="en-US"/>
        </w:rPr>
        <w:t xml:space="preserve">, </w:t>
      </w:r>
      <w:r w:rsidRPr="00C67C50">
        <w:rPr>
          <w:rFonts w:ascii="Arial" w:hAnsi="Arial" w:cs="Arial"/>
          <w:i/>
          <w:iCs/>
          <w:lang w:val="en-US"/>
        </w:rPr>
        <w:t>97</w:t>
      </w:r>
      <w:r w:rsidRPr="00C67C50">
        <w:rPr>
          <w:rFonts w:ascii="Arial" w:hAnsi="Arial" w:cs="Arial"/>
          <w:lang w:val="en-US"/>
        </w:rPr>
        <w:t>(4), 615–632. https://doi.org/10.1093/brain/97.1.615</w:t>
      </w:r>
    </w:p>
    <w:p w14:paraId="58D59FEB"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Melyan, Z., Tarttelin, E. E., Bellingham, J., Lucas, R. J., &amp; Hankins, M. W. (2005). Addition of human melanopsin renders mammalian cells photoresponsive. </w:t>
      </w:r>
      <w:r w:rsidRPr="00C67C50">
        <w:rPr>
          <w:rFonts w:ascii="Arial" w:hAnsi="Arial" w:cs="Arial"/>
          <w:i/>
          <w:iCs/>
          <w:lang w:val="en-US"/>
        </w:rPr>
        <w:t>Nature</w:t>
      </w:r>
      <w:r w:rsidRPr="00C67C50">
        <w:rPr>
          <w:rFonts w:ascii="Arial" w:hAnsi="Arial" w:cs="Arial"/>
          <w:lang w:val="en-US"/>
        </w:rPr>
        <w:t xml:space="preserve">, </w:t>
      </w:r>
      <w:r w:rsidRPr="00C67C50">
        <w:rPr>
          <w:rFonts w:ascii="Arial" w:hAnsi="Arial" w:cs="Arial"/>
          <w:i/>
          <w:iCs/>
          <w:lang w:val="en-US"/>
        </w:rPr>
        <w:t>433</w:t>
      </w:r>
      <w:r w:rsidRPr="00C67C50">
        <w:rPr>
          <w:rFonts w:ascii="Arial" w:hAnsi="Arial" w:cs="Arial"/>
          <w:lang w:val="en-US"/>
        </w:rPr>
        <w:t>(7027), 741–745. https://doi.org/10.1038/nature03344</w:t>
      </w:r>
    </w:p>
    <w:p w14:paraId="1664EDB0"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Merigan, W. H. (1996). Basic visual capacities and shape discrimination after lesions of extrastriate area V4 in macaques. </w:t>
      </w:r>
      <w:r w:rsidRPr="00C67C50">
        <w:rPr>
          <w:rFonts w:ascii="Arial" w:hAnsi="Arial" w:cs="Arial"/>
          <w:i/>
          <w:iCs/>
          <w:lang w:val="en-US"/>
        </w:rPr>
        <w:t>Visual Neuroscience</w:t>
      </w:r>
      <w:r w:rsidRPr="00C67C50">
        <w:rPr>
          <w:rFonts w:ascii="Arial" w:hAnsi="Arial" w:cs="Arial"/>
          <w:lang w:val="en-US"/>
        </w:rPr>
        <w:t xml:space="preserve">, </w:t>
      </w:r>
      <w:r w:rsidRPr="00C67C50">
        <w:rPr>
          <w:rFonts w:ascii="Arial" w:hAnsi="Arial" w:cs="Arial"/>
          <w:i/>
          <w:iCs/>
          <w:lang w:val="en-US"/>
        </w:rPr>
        <w:t>13</w:t>
      </w:r>
      <w:r w:rsidRPr="00C67C50">
        <w:rPr>
          <w:rFonts w:ascii="Arial" w:hAnsi="Arial" w:cs="Arial"/>
          <w:lang w:val="en-US"/>
        </w:rPr>
        <w:t>(1), 51–60.</w:t>
      </w:r>
    </w:p>
    <w:p w14:paraId="38FF415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Merigan, W. H., &amp; Pham, H. A. (1998). V4 lesions in macaques affect both single- and multiple-viewpoint shape discriminations. </w:t>
      </w:r>
      <w:r w:rsidRPr="00C67C50">
        <w:rPr>
          <w:rFonts w:ascii="Arial" w:hAnsi="Arial" w:cs="Arial"/>
          <w:i/>
          <w:iCs/>
          <w:lang w:val="en-US"/>
        </w:rPr>
        <w:t>Visual Neuroscience</w:t>
      </w:r>
      <w:r w:rsidRPr="00C67C50">
        <w:rPr>
          <w:rFonts w:ascii="Arial" w:hAnsi="Arial" w:cs="Arial"/>
          <w:lang w:val="en-US"/>
        </w:rPr>
        <w:t xml:space="preserve">, </w:t>
      </w:r>
      <w:r w:rsidRPr="00C67C50">
        <w:rPr>
          <w:rFonts w:ascii="Arial" w:hAnsi="Arial" w:cs="Arial"/>
          <w:i/>
          <w:iCs/>
          <w:lang w:val="en-US"/>
        </w:rPr>
        <w:t>15</w:t>
      </w:r>
      <w:r w:rsidRPr="00C67C50">
        <w:rPr>
          <w:rFonts w:ascii="Arial" w:hAnsi="Arial" w:cs="Arial"/>
          <w:lang w:val="en-US"/>
        </w:rPr>
        <w:t>(2), 359–367.</w:t>
      </w:r>
    </w:p>
    <w:p w14:paraId="3379AC1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Moran, J., &amp; Desimone, R. (1985). Selective attention gates visual processing in the extrastriate cortex. </w:t>
      </w:r>
      <w:r w:rsidRPr="00C67C50">
        <w:rPr>
          <w:rFonts w:ascii="Arial" w:hAnsi="Arial" w:cs="Arial"/>
          <w:i/>
          <w:iCs/>
          <w:lang w:val="en-US"/>
        </w:rPr>
        <w:t>Science (New York, N.Y.)</w:t>
      </w:r>
      <w:r w:rsidRPr="00C67C50">
        <w:rPr>
          <w:rFonts w:ascii="Arial" w:hAnsi="Arial" w:cs="Arial"/>
          <w:lang w:val="en-US"/>
        </w:rPr>
        <w:t xml:space="preserve">, </w:t>
      </w:r>
      <w:r w:rsidRPr="00C67C50">
        <w:rPr>
          <w:rFonts w:ascii="Arial" w:hAnsi="Arial" w:cs="Arial"/>
          <w:i/>
          <w:iCs/>
          <w:lang w:val="en-US"/>
        </w:rPr>
        <w:t>229</w:t>
      </w:r>
      <w:r w:rsidRPr="00C67C50">
        <w:rPr>
          <w:rFonts w:ascii="Arial" w:hAnsi="Arial" w:cs="Arial"/>
          <w:lang w:val="en-US"/>
        </w:rPr>
        <w:t>(4715), 782–784.</w:t>
      </w:r>
    </w:p>
    <w:p w14:paraId="5DCC1598"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Mowinckel, A. M., Alnæs, D., Pedersen, M. L., Ziegler, S., Fredriksen, M., Kaufmann, T., … Biele, G. (2017). Increased default-mode variability is related to reduced task-performance and is evident in adults with </w:t>
      </w:r>
      <w:r w:rsidRPr="00C67C50">
        <w:rPr>
          <w:rFonts w:ascii="Arial" w:hAnsi="Arial" w:cs="Arial"/>
          <w:lang w:val="en-US"/>
        </w:rPr>
        <w:lastRenderedPageBreak/>
        <w:t xml:space="preserve">ADHD. </w:t>
      </w:r>
      <w:r w:rsidRPr="00C67C50">
        <w:rPr>
          <w:rFonts w:ascii="Arial" w:hAnsi="Arial" w:cs="Arial"/>
          <w:i/>
          <w:iCs/>
          <w:lang w:val="en-US"/>
        </w:rPr>
        <w:t>NeuroImage. Clinical</w:t>
      </w:r>
      <w:r w:rsidRPr="00C67C50">
        <w:rPr>
          <w:rFonts w:ascii="Arial" w:hAnsi="Arial" w:cs="Arial"/>
          <w:lang w:val="en-US"/>
        </w:rPr>
        <w:t xml:space="preserve">, </w:t>
      </w:r>
      <w:r w:rsidRPr="00C67C50">
        <w:rPr>
          <w:rFonts w:ascii="Arial" w:hAnsi="Arial" w:cs="Arial"/>
          <w:i/>
          <w:iCs/>
          <w:lang w:val="en-US"/>
        </w:rPr>
        <w:t>16</w:t>
      </w:r>
      <w:r w:rsidRPr="00C67C50">
        <w:rPr>
          <w:rFonts w:ascii="Arial" w:hAnsi="Arial" w:cs="Arial"/>
          <w:lang w:val="en-US"/>
        </w:rPr>
        <w:t>, 369–382. https://doi.org/10.1016/j.nicl.2017.03.008</w:t>
      </w:r>
    </w:p>
    <w:p w14:paraId="7965523D"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Mullen, K. T., Chang, D. H. F., &amp; Hess, R. F. (2015). The selectivity of responses to red-green colour and achromatic contrast in the human visual cortex: An fMRI adaptation study. </w:t>
      </w:r>
      <w:r w:rsidRPr="00C67C50">
        <w:rPr>
          <w:rFonts w:ascii="Arial" w:hAnsi="Arial" w:cs="Arial"/>
          <w:i/>
          <w:iCs/>
          <w:lang w:val="en-US"/>
        </w:rPr>
        <w:t>The European Journal of Neuroscience</w:t>
      </w:r>
      <w:r w:rsidRPr="00C67C50">
        <w:rPr>
          <w:rFonts w:ascii="Arial" w:hAnsi="Arial" w:cs="Arial"/>
          <w:lang w:val="en-US"/>
        </w:rPr>
        <w:t xml:space="preserve">, </w:t>
      </w:r>
      <w:r w:rsidRPr="00C67C50">
        <w:rPr>
          <w:rFonts w:ascii="Arial" w:hAnsi="Arial" w:cs="Arial"/>
          <w:i/>
          <w:iCs/>
          <w:lang w:val="en-US"/>
        </w:rPr>
        <w:t>42</w:t>
      </w:r>
      <w:r w:rsidRPr="00C67C50">
        <w:rPr>
          <w:rFonts w:ascii="Arial" w:hAnsi="Arial" w:cs="Arial"/>
          <w:lang w:val="en-US"/>
        </w:rPr>
        <w:t>(11), 2923–2933. https://doi.org/10.1111/ejn.13090</w:t>
      </w:r>
    </w:p>
    <w:p w14:paraId="3F10EF30"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Nebel, K., Wiese, H., Stude, P., de Greiff, A., Diener, H.-C., &amp; Keidel, M. (2005). On the neural basis of focused and divided attention. </w:t>
      </w:r>
      <w:r w:rsidRPr="00C67C50">
        <w:rPr>
          <w:rFonts w:ascii="Arial" w:hAnsi="Arial" w:cs="Arial"/>
          <w:i/>
          <w:iCs/>
          <w:lang w:val="en-US"/>
        </w:rPr>
        <w:t>Brain Research. Cognitive Brain Research</w:t>
      </w:r>
      <w:r w:rsidRPr="00C67C50">
        <w:rPr>
          <w:rFonts w:ascii="Arial" w:hAnsi="Arial" w:cs="Arial"/>
          <w:lang w:val="en-US"/>
        </w:rPr>
        <w:t xml:space="preserve">, </w:t>
      </w:r>
      <w:r w:rsidRPr="00C67C50">
        <w:rPr>
          <w:rFonts w:ascii="Arial" w:hAnsi="Arial" w:cs="Arial"/>
          <w:i/>
          <w:iCs/>
          <w:lang w:val="en-US"/>
        </w:rPr>
        <w:t>25</w:t>
      </w:r>
      <w:r w:rsidRPr="00C67C50">
        <w:rPr>
          <w:rFonts w:ascii="Arial" w:hAnsi="Arial" w:cs="Arial"/>
          <w:lang w:val="en-US"/>
        </w:rPr>
        <w:t>(3), 760–776. https://doi.org/10.1016/j.cogbrainres.2005.09.011</w:t>
      </w:r>
    </w:p>
    <w:p w14:paraId="07B4D630"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Nestares, O., &amp; Heeger, D. J. (2000). Robust multiresolution alignment of MRI brain volumes. </w:t>
      </w:r>
      <w:r w:rsidRPr="00C67C50">
        <w:rPr>
          <w:rFonts w:ascii="Arial" w:hAnsi="Arial" w:cs="Arial"/>
          <w:i/>
          <w:iCs/>
          <w:lang w:val="en-US"/>
        </w:rPr>
        <w:t>Magnetic Resonance in Medicine: An Official Journal of the International Society for Magnetic Resonance in Medicine</w:t>
      </w:r>
      <w:r w:rsidRPr="00C67C50">
        <w:rPr>
          <w:rFonts w:ascii="Arial" w:hAnsi="Arial" w:cs="Arial"/>
          <w:lang w:val="en-US"/>
        </w:rPr>
        <w:t xml:space="preserve">, </w:t>
      </w:r>
      <w:r w:rsidRPr="00C67C50">
        <w:rPr>
          <w:rFonts w:ascii="Arial" w:hAnsi="Arial" w:cs="Arial"/>
          <w:i/>
          <w:iCs/>
          <w:lang w:val="en-US"/>
        </w:rPr>
        <w:t>43</w:t>
      </w:r>
      <w:r w:rsidRPr="00C67C50">
        <w:rPr>
          <w:rFonts w:ascii="Arial" w:hAnsi="Arial" w:cs="Arial"/>
          <w:lang w:val="en-US"/>
        </w:rPr>
        <w:t>(5), 705–715.</w:t>
      </w:r>
    </w:p>
    <w:p w14:paraId="3F89A96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Ninio, A., &amp; Kahneman, D. (1974). Reaction time in focused and in divided attention. </w:t>
      </w:r>
      <w:r w:rsidRPr="00C67C50">
        <w:rPr>
          <w:rFonts w:ascii="Arial" w:hAnsi="Arial" w:cs="Arial"/>
          <w:i/>
          <w:iCs/>
          <w:lang w:val="en-US"/>
        </w:rPr>
        <w:t>Journal of Experimental Psychology</w:t>
      </w:r>
      <w:r w:rsidRPr="00C67C50">
        <w:rPr>
          <w:rFonts w:ascii="Arial" w:hAnsi="Arial" w:cs="Arial"/>
          <w:lang w:val="en-US"/>
        </w:rPr>
        <w:t xml:space="preserve">, </w:t>
      </w:r>
      <w:r w:rsidRPr="00C67C50">
        <w:rPr>
          <w:rFonts w:ascii="Arial" w:hAnsi="Arial" w:cs="Arial"/>
          <w:i/>
          <w:iCs/>
          <w:lang w:val="en-US"/>
        </w:rPr>
        <w:t>103</w:t>
      </w:r>
      <w:r w:rsidRPr="00C67C50">
        <w:rPr>
          <w:rFonts w:ascii="Arial" w:hAnsi="Arial" w:cs="Arial"/>
          <w:lang w:val="en-US"/>
        </w:rPr>
        <w:t>(3), 394–399. https://doi.org/10.1037/h0037202</w:t>
      </w:r>
    </w:p>
    <w:p w14:paraId="1F35D16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Noble, W. S. (2009). How does multiple testing correction work? </w:t>
      </w:r>
      <w:r w:rsidRPr="00C67C50">
        <w:rPr>
          <w:rFonts w:ascii="Arial" w:hAnsi="Arial" w:cs="Arial"/>
          <w:i/>
          <w:iCs/>
          <w:lang w:val="en-US"/>
        </w:rPr>
        <w:t>Nature Biotechnology</w:t>
      </w:r>
      <w:r w:rsidRPr="00C67C50">
        <w:rPr>
          <w:rFonts w:ascii="Arial" w:hAnsi="Arial" w:cs="Arial"/>
          <w:lang w:val="en-US"/>
        </w:rPr>
        <w:t xml:space="preserve">, </w:t>
      </w:r>
      <w:r w:rsidRPr="00C67C50">
        <w:rPr>
          <w:rFonts w:ascii="Arial" w:hAnsi="Arial" w:cs="Arial"/>
          <w:i/>
          <w:iCs/>
          <w:lang w:val="en-US"/>
        </w:rPr>
        <w:t>27</w:t>
      </w:r>
      <w:r w:rsidRPr="00C67C50">
        <w:rPr>
          <w:rFonts w:ascii="Arial" w:hAnsi="Arial" w:cs="Arial"/>
          <w:lang w:val="en-US"/>
        </w:rPr>
        <w:t>(12), 1135–1137. https://doi.org/10.1038/nbt1209-1135</w:t>
      </w:r>
    </w:p>
    <w:p w14:paraId="6EB0351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O’Craven, K. M., Downing, P. E., &amp; Kanwisher, N. (1999). FMRI evidence for objects as the units of attentional selection. </w:t>
      </w:r>
      <w:r w:rsidRPr="00C67C50">
        <w:rPr>
          <w:rFonts w:ascii="Arial" w:hAnsi="Arial" w:cs="Arial"/>
          <w:i/>
          <w:iCs/>
          <w:lang w:val="en-US"/>
        </w:rPr>
        <w:t>Nature</w:t>
      </w:r>
      <w:r w:rsidRPr="00C67C50">
        <w:rPr>
          <w:rFonts w:ascii="Arial" w:hAnsi="Arial" w:cs="Arial"/>
          <w:lang w:val="en-US"/>
        </w:rPr>
        <w:t xml:space="preserve">, </w:t>
      </w:r>
      <w:r w:rsidRPr="00C67C50">
        <w:rPr>
          <w:rFonts w:ascii="Arial" w:hAnsi="Arial" w:cs="Arial"/>
          <w:i/>
          <w:iCs/>
          <w:lang w:val="en-US"/>
        </w:rPr>
        <w:t>401</w:t>
      </w:r>
      <w:r w:rsidRPr="00C67C50">
        <w:rPr>
          <w:rFonts w:ascii="Arial" w:hAnsi="Arial" w:cs="Arial"/>
          <w:lang w:val="en-US"/>
        </w:rPr>
        <w:t>(6753), 584. https://doi.org/10.1038/44134</w:t>
      </w:r>
    </w:p>
    <w:p w14:paraId="78F17BC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O’Craven, K. M., Rosen, B. R., Kwong, K. K., Treisman, A., &amp; Savoy, R. L. (1997). Voluntary attention modulates fMRI activity in human MT–MST.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18</w:t>
      </w:r>
      <w:r w:rsidRPr="00C67C50">
        <w:rPr>
          <w:rFonts w:ascii="Arial" w:hAnsi="Arial" w:cs="Arial"/>
          <w:lang w:val="en-US"/>
        </w:rPr>
        <w:t>(4), 591–598.</w:t>
      </w:r>
    </w:p>
    <w:p w14:paraId="6327A6EA"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Oemisch, M., Westendorff, S., Everling, S., &amp; Womelsdorf, T. (2015). Interareal Spike-Train Correlations of Anterior Cingulate and Dorsal Prefrontal Cortex during Attention Shifts. </w:t>
      </w:r>
      <w:r w:rsidRPr="00C67C50">
        <w:rPr>
          <w:rFonts w:ascii="Arial" w:hAnsi="Arial" w:cs="Arial"/>
          <w:i/>
          <w:iCs/>
          <w:lang w:val="en-US"/>
        </w:rPr>
        <w:t>The Journal of Neuroscience: The Official Journal of the Society for Neuroscience</w:t>
      </w:r>
      <w:r w:rsidRPr="00C67C50">
        <w:rPr>
          <w:rFonts w:ascii="Arial" w:hAnsi="Arial" w:cs="Arial"/>
          <w:lang w:val="en-US"/>
        </w:rPr>
        <w:t xml:space="preserve">, </w:t>
      </w:r>
      <w:r w:rsidRPr="00C67C50">
        <w:rPr>
          <w:rFonts w:ascii="Arial" w:hAnsi="Arial" w:cs="Arial"/>
          <w:i/>
          <w:iCs/>
          <w:lang w:val="en-US"/>
        </w:rPr>
        <w:t>35</w:t>
      </w:r>
      <w:r w:rsidRPr="00C67C50">
        <w:rPr>
          <w:rFonts w:ascii="Arial" w:hAnsi="Arial" w:cs="Arial"/>
          <w:lang w:val="en-US"/>
        </w:rPr>
        <w:t>(38), 13076–13089. https://doi.org/10.1523/JNEUROSCI.1262-15.2015</w:t>
      </w:r>
    </w:p>
    <w:p w14:paraId="033B3C73"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Ohzawa, I., Sclar, G., &amp; Freeman, R. D. (1985). Contrast gain control in the cat’s visual system. </w:t>
      </w:r>
      <w:r w:rsidRPr="00C67C50">
        <w:rPr>
          <w:rFonts w:ascii="Arial" w:hAnsi="Arial" w:cs="Arial"/>
          <w:i/>
          <w:iCs/>
          <w:lang w:val="en-US"/>
        </w:rPr>
        <w:t>Journal of Neurophysiology</w:t>
      </w:r>
      <w:r w:rsidRPr="00C67C50">
        <w:rPr>
          <w:rFonts w:ascii="Arial" w:hAnsi="Arial" w:cs="Arial"/>
          <w:lang w:val="en-US"/>
        </w:rPr>
        <w:t xml:space="preserve">, </w:t>
      </w:r>
      <w:r w:rsidRPr="00C67C50">
        <w:rPr>
          <w:rFonts w:ascii="Arial" w:hAnsi="Arial" w:cs="Arial"/>
          <w:i/>
          <w:iCs/>
          <w:lang w:val="en-US"/>
        </w:rPr>
        <w:t>54</w:t>
      </w:r>
      <w:r w:rsidRPr="00C67C50">
        <w:rPr>
          <w:rFonts w:ascii="Arial" w:hAnsi="Arial" w:cs="Arial"/>
          <w:lang w:val="en-US"/>
        </w:rPr>
        <w:t>(3), 651–667. https://doi.org/10.1152/jn.1985.54.3.651</w:t>
      </w:r>
    </w:p>
    <w:p w14:paraId="128AA84D"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Op de Beeck, H. P. (2010). Against hyperacuity in brain reading: Spatial smoothing does not hurt multivariate fMRI analyses?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49</w:t>
      </w:r>
      <w:r w:rsidRPr="00C67C50">
        <w:rPr>
          <w:rFonts w:ascii="Arial" w:hAnsi="Arial" w:cs="Arial"/>
          <w:lang w:val="en-US"/>
        </w:rPr>
        <w:t>(3), 1943–1948. https://doi.org/10.1016/j.neuroimage.2009.02.047</w:t>
      </w:r>
    </w:p>
    <w:p w14:paraId="6C673F01"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O’Toole, A. J., Roark, D. A., &amp; Abdi, H. (2002). Recognizing moving faces: A psychological and neural synthesis. </w:t>
      </w:r>
      <w:r w:rsidRPr="00C67C50">
        <w:rPr>
          <w:rFonts w:ascii="Arial" w:hAnsi="Arial" w:cs="Arial"/>
          <w:i/>
          <w:iCs/>
          <w:lang w:val="en-US"/>
        </w:rPr>
        <w:t>Trends in Cognitive Sciences</w:t>
      </w:r>
      <w:r w:rsidRPr="00C67C50">
        <w:rPr>
          <w:rFonts w:ascii="Arial" w:hAnsi="Arial" w:cs="Arial"/>
          <w:lang w:val="en-US"/>
        </w:rPr>
        <w:t xml:space="preserve">, </w:t>
      </w:r>
      <w:r w:rsidRPr="00C67C50">
        <w:rPr>
          <w:rFonts w:ascii="Arial" w:hAnsi="Arial" w:cs="Arial"/>
          <w:i/>
          <w:iCs/>
          <w:lang w:val="en-US"/>
        </w:rPr>
        <w:t>6</w:t>
      </w:r>
      <w:r w:rsidRPr="00C67C50">
        <w:rPr>
          <w:rFonts w:ascii="Arial" w:hAnsi="Arial" w:cs="Arial"/>
          <w:lang w:val="en-US"/>
        </w:rPr>
        <w:t>(6), 261–266.</w:t>
      </w:r>
    </w:p>
    <w:p w14:paraId="4FE90093"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Palmer, J., Mobley, L. A., &amp; Teller, D. Y. (1993). Motion at isoluminance: Discrimination/detection ratios and the summation of luminance and chromatic signals. </w:t>
      </w:r>
      <w:r w:rsidRPr="00C67C50">
        <w:rPr>
          <w:rFonts w:ascii="Arial" w:hAnsi="Arial" w:cs="Arial"/>
          <w:i/>
          <w:iCs/>
          <w:lang w:val="en-US"/>
        </w:rPr>
        <w:t>Journal of the Optical Society of America. A, Optics and Image Science</w:t>
      </w:r>
      <w:r w:rsidRPr="00C67C50">
        <w:rPr>
          <w:rFonts w:ascii="Arial" w:hAnsi="Arial" w:cs="Arial"/>
          <w:lang w:val="en-US"/>
        </w:rPr>
        <w:t xml:space="preserve">, </w:t>
      </w:r>
      <w:r w:rsidRPr="00C67C50">
        <w:rPr>
          <w:rFonts w:ascii="Arial" w:hAnsi="Arial" w:cs="Arial"/>
          <w:i/>
          <w:iCs/>
          <w:lang w:val="en-US"/>
        </w:rPr>
        <w:t>10</w:t>
      </w:r>
      <w:r w:rsidRPr="00C67C50">
        <w:rPr>
          <w:rFonts w:ascii="Arial" w:hAnsi="Arial" w:cs="Arial"/>
          <w:lang w:val="en-US"/>
        </w:rPr>
        <w:t>(6), 1353–1362.</w:t>
      </w:r>
    </w:p>
    <w:p w14:paraId="38C7E0F1"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Panda, S., Nayak, S. K., Campo, B., Walker, J. R., Hogenesch, J. B., &amp; Jegla, T. (2005). Illumination of the melanopsin signaling pathway. </w:t>
      </w:r>
      <w:r w:rsidRPr="00C67C50">
        <w:rPr>
          <w:rFonts w:ascii="Arial" w:hAnsi="Arial" w:cs="Arial"/>
          <w:i/>
          <w:iCs/>
          <w:lang w:val="en-US"/>
        </w:rPr>
        <w:t>Science (New York, N.Y.)</w:t>
      </w:r>
      <w:r w:rsidRPr="00C67C50">
        <w:rPr>
          <w:rFonts w:ascii="Arial" w:hAnsi="Arial" w:cs="Arial"/>
          <w:lang w:val="en-US"/>
        </w:rPr>
        <w:t xml:space="preserve">, </w:t>
      </w:r>
      <w:r w:rsidRPr="00C67C50">
        <w:rPr>
          <w:rFonts w:ascii="Arial" w:hAnsi="Arial" w:cs="Arial"/>
          <w:i/>
          <w:iCs/>
          <w:lang w:val="en-US"/>
        </w:rPr>
        <w:t>307</w:t>
      </w:r>
      <w:r w:rsidRPr="00C67C50">
        <w:rPr>
          <w:rFonts w:ascii="Arial" w:hAnsi="Arial" w:cs="Arial"/>
          <w:lang w:val="en-US"/>
        </w:rPr>
        <w:t>(5709), 600–604. https://doi.org/10.1126/science.1105121</w:t>
      </w:r>
    </w:p>
    <w:p w14:paraId="670D59B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Parasuraman, R. (1998). The attentive brain: Issues and prospects. In </w:t>
      </w:r>
      <w:r w:rsidRPr="00C67C50">
        <w:rPr>
          <w:rFonts w:ascii="Arial" w:hAnsi="Arial" w:cs="Arial"/>
          <w:i/>
          <w:iCs/>
          <w:lang w:val="en-US"/>
        </w:rPr>
        <w:t>The Attentive Brain</w:t>
      </w:r>
      <w:r w:rsidRPr="00C67C50">
        <w:rPr>
          <w:rFonts w:ascii="Arial" w:hAnsi="Arial" w:cs="Arial"/>
          <w:lang w:val="en-US"/>
        </w:rPr>
        <w:t xml:space="preserve"> (pp. 3–15). Cambridge, Massachusetts: Mit Press.</w:t>
      </w:r>
    </w:p>
    <w:p w14:paraId="063784FF"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Pasupathy, A., &amp; Connor, C. E. (2001). Shape representation in area V4: Position-specific tuning for boundary conformation. </w:t>
      </w:r>
      <w:r w:rsidRPr="00C67C50">
        <w:rPr>
          <w:rFonts w:ascii="Arial" w:hAnsi="Arial" w:cs="Arial"/>
          <w:i/>
          <w:iCs/>
          <w:lang w:val="en-US"/>
        </w:rPr>
        <w:t>Journal of Neurophysiology</w:t>
      </w:r>
      <w:r w:rsidRPr="00C67C50">
        <w:rPr>
          <w:rFonts w:ascii="Arial" w:hAnsi="Arial" w:cs="Arial"/>
          <w:lang w:val="en-US"/>
        </w:rPr>
        <w:t xml:space="preserve">, </w:t>
      </w:r>
      <w:r w:rsidRPr="00C67C50">
        <w:rPr>
          <w:rFonts w:ascii="Arial" w:hAnsi="Arial" w:cs="Arial"/>
          <w:i/>
          <w:iCs/>
          <w:lang w:val="en-US"/>
        </w:rPr>
        <w:t>86</w:t>
      </w:r>
      <w:r w:rsidRPr="00C67C50">
        <w:rPr>
          <w:rFonts w:ascii="Arial" w:hAnsi="Arial" w:cs="Arial"/>
          <w:lang w:val="en-US"/>
        </w:rPr>
        <w:t>(5), 2505–2519. https://doi.org/10.1152/jn.2001.86.5.2505</w:t>
      </w:r>
    </w:p>
    <w:p w14:paraId="1AF5D101"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Pasupathy, Anitha. (2006). Neural basis of shape representation in the primate brain. </w:t>
      </w:r>
      <w:r w:rsidRPr="00C67C50">
        <w:rPr>
          <w:rFonts w:ascii="Arial" w:hAnsi="Arial" w:cs="Arial"/>
          <w:i/>
          <w:iCs/>
          <w:lang w:val="en-US"/>
        </w:rPr>
        <w:t>Progress in Brain Research</w:t>
      </w:r>
      <w:r w:rsidRPr="00C67C50">
        <w:rPr>
          <w:rFonts w:ascii="Arial" w:hAnsi="Arial" w:cs="Arial"/>
          <w:lang w:val="en-US"/>
        </w:rPr>
        <w:t xml:space="preserve">, </w:t>
      </w:r>
      <w:r w:rsidRPr="00C67C50">
        <w:rPr>
          <w:rFonts w:ascii="Arial" w:hAnsi="Arial" w:cs="Arial"/>
          <w:i/>
          <w:iCs/>
          <w:lang w:val="en-US"/>
        </w:rPr>
        <w:t>154</w:t>
      </w:r>
      <w:r w:rsidRPr="00C67C50">
        <w:rPr>
          <w:rFonts w:ascii="Arial" w:hAnsi="Arial" w:cs="Arial"/>
          <w:lang w:val="en-US"/>
        </w:rPr>
        <w:t>, 293–313. https://doi.org/10.1016/S0079-6123(06)54016-6</w:t>
      </w:r>
    </w:p>
    <w:p w14:paraId="635FC6D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Peirce, J., Gray, J. R., Simpson, S., MacAskill, M., Höchenberger, R., Sogo, H., … Lindeløv, J. K. (2019). PsychoPy2: Experiments in behavior made easy. </w:t>
      </w:r>
      <w:r w:rsidRPr="00C67C50">
        <w:rPr>
          <w:rFonts w:ascii="Arial" w:hAnsi="Arial" w:cs="Arial"/>
          <w:i/>
          <w:iCs/>
          <w:lang w:val="en-US"/>
        </w:rPr>
        <w:t>Behavior Research Methods</w:t>
      </w:r>
      <w:r w:rsidRPr="00C67C50">
        <w:rPr>
          <w:rFonts w:ascii="Arial" w:hAnsi="Arial" w:cs="Arial"/>
          <w:lang w:val="en-US"/>
        </w:rPr>
        <w:t xml:space="preserve">, </w:t>
      </w:r>
      <w:r w:rsidRPr="00C67C50">
        <w:rPr>
          <w:rFonts w:ascii="Arial" w:hAnsi="Arial" w:cs="Arial"/>
          <w:i/>
          <w:iCs/>
          <w:lang w:val="en-US"/>
        </w:rPr>
        <w:t>51</w:t>
      </w:r>
      <w:r w:rsidRPr="00C67C50">
        <w:rPr>
          <w:rFonts w:ascii="Arial" w:hAnsi="Arial" w:cs="Arial"/>
          <w:lang w:val="en-US"/>
        </w:rPr>
        <w:t>(1), 195–203. https://doi.org/10.3758/s13428-018-01193-y</w:t>
      </w:r>
    </w:p>
    <w:p w14:paraId="6C5BF7C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Pelli, D. G. (1997). The VideoToolbox software for visual psychophysics: Transforming numbers into movies. </w:t>
      </w:r>
      <w:r w:rsidRPr="00C67C50">
        <w:rPr>
          <w:rFonts w:ascii="Arial" w:hAnsi="Arial" w:cs="Arial"/>
          <w:i/>
          <w:iCs/>
          <w:lang w:val="en-US"/>
        </w:rPr>
        <w:t>Spatial Vision</w:t>
      </w:r>
      <w:r w:rsidRPr="00C67C50">
        <w:rPr>
          <w:rFonts w:ascii="Arial" w:hAnsi="Arial" w:cs="Arial"/>
          <w:lang w:val="en-US"/>
        </w:rPr>
        <w:t xml:space="preserve">, </w:t>
      </w:r>
      <w:r w:rsidRPr="00C67C50">
        <w:rPr>
          <w:rFonts w:ascii="Arial" w:hAnsi="Arial" w:cs="Arial"/>
          <w:i/>
          <w:iCs/>
          <w:lang w:val="en-US"/>
        </w:rPr>
        <w:t>10</w:t>
      </w:r>
      <w:r w:rsidRPr="00C67C50">
        <w:rPr>
          <w:rFonts w:ascii="Arial" w:hAnsi="Arial" w:cs="Arial"/>
          <w:lang w:val="en-US"/>
        </w:rPr>
        <w:t>(4), 437–442.</w:t>
      </w:r>
    </w:p>
    <w:p w14:paraId="1F3D66AF" w14:textId="77777777" w:rsidR="00CB265E" w:rsidRPr="00C67C50" w:rsidRDefault="00CB265E" w:rsidP="00CB265E">
      <w:pPr>
        <w:pStyle w:val="Bibliography"/>
        <w:rPr>
          <w:rFonts w:ascii="Arial" w:hAnsi="Arial" w:cs="Arial"/>
          <w:lang w:val="en-US"/>
        </w:rPr>
      </w:pPr>
      <w:r w:rsidRPr="00C67C50">
        <w:rPr>
          <w:rFonts w:ascii="Arial" w:hAnsi="Arial" w:cs="Arial"/>
          <w:lang w:val="en-US"/>
        </w:rPr>
        <w:t>Penny, W., Friston, K. J., Ashburner, J., Kiebel, S., &amp; Nichols, T. (2006). Statistical Parametric Mapping: The Analysis of Functional Brain Images—1st Edition. Retrieved February 28, 2019, from https://www.elsevier.com/books/statistical-parametric-mapping-the-analysis-of-functional-brain-images/penny/978-0-12-372560-8</w:t>
      </w:r>
    </w:p>
    <w:p w14:paraId="119915E1"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Polyak, S. L. (1941). </w:t>
      </w:r>
      <w:r w:rsidRPr="00C67C50">
        <w:rPr>
          <w:rFonts w:ascii="Arial" w:hAnsi="Arial" w:cs="Arial"/>
          <w:i/>
          <w:iCs/>
          <w:lang w:val="en-US"/>
        </w:rPr>
        <w:t>The retina.</w:t>
      </w:r>
    </w:p>
    <w:p w14:paraId="38E9051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Posner, M I. (1994). Attention: The mechanisms of consciousness. </w:t>
      </w:r>
      <w:r w:rsidRPr="00C67C50">
        <w:rPr>
          <w:rFonts w:ascii="Arial" w:hAnsi="Arial" w:cs="Arial"/>
          <w:i/>
          <w:iCs/>
          <w:lang w:val="en-US"/>
        </w:rPr>
        <w:t>Proceedings of the National Academy of Sciences of the United States of America</w:t>
      </w:r>
      <w:r w:rsidRPr="00C67C50">
        <w:rPr>
          <w:rFonts w:ascii="Arial" w:hAnsi="Arial" w:cs="Arial"/>
          <w:lang w:val="en-US"/>
        </w:rPr>
        <w:t xml:space="preserve">, </w:t>
      </w:r>
      <w:r w:rsidRPr="00C67C50">
        <w:rPr>
          <w:rFonts w:ascii="Arial" w:hAnsi="Arial" w:cs="Arial"/>
          <w:i/>
          <w:iCs/>
          <w:lang w:val="en-US"/>
        </w:rPr>
        <w:t>91</w:t>
      </w:r>
      <w:r w:rsidRPr="00C67C50">
        <w:rPr>
          <w:rFonts w:ascii="Arial" w:hAnsi="Arial" w:cs="Arial"/>
          <w:lang w:val="en-US"/>
        </w:rPr>
        <w:t>(16), 7398–7403.</w:t>
      </w:r>
    </w:p>
    <w:p w14:paraId="5E7557F0"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Posner, M. I., &amp; Petersen, S. E. (1990). The attention system of the human brain. </w:t>
      </w:r>
      <w:r w:rsidRPr="00C67C50">
        <w:rPr>
          <w:rFonts w:ascii="Arial" w:hAnsi="Arial" w:cs="Arial"/>
          <w:i/>
          <w:iCs/>
          <w:lang w:val="en-US"/>
        </w:rPr>
        <w:t>Annual Review of Neuroscience</w:t>
      </w:r>
      <w:r w:rsidRPr="00C67C50">
        <w:rPr>
          <w:rFonts w:ascii="Arial" w:hAnsi="Arial" w:cs="Arial"/>
          <w:lang w:val="en-US"/>
        </w:rPr>
        <w:t xml:space="preserve">, </w:t>
      </w:r>
      <w:r w:rsidRPr="00C67C50">
        <w:rPr>
          <w:rFonts w:ascii="Arial" w:hAnsi="Arial" w:cs="Arial"/>
          <w:i/>
          <w:iCs/>
          <w:lang w:val="en-US"/>
        </w:rPr>
        <w:t>13</w:t>
      </w:r>
      <w:r w:rsidRPr="00C67C50">
        <w:rPr>
          <w:rFonts w:ascii="Arial" w:hAnsi="Arial" w:cs="Arial"/>
          <w:lang w:val="en-US"/>
        </w:rPr>
        <w:t>, 25–42. https://doi.org/10.1146/annurev.ne.13.030190.000325</w:t>
      </w:r>
    </w:p>
    <w:p w14:paraId="56BB7372"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Posner, M. I., Snyder, C. R., &amp; Davidson, B. J. (1980). Attention and the detection of signals. </w:t>
      </w:r>
      <w:r w:rsidRPr="00C67C50">
        <w:rPr>
          <w:rFonts w:ascii="Arial" w:hAnsi="Arial" w:cs="Arial"/>
          <w:i/>
          <w:iCs/>
          <w:lang w:val="en-US"/>
        </w:rPr>
        <w:t>Journal of Experimental Psychology</w:t>
      </w:r>
      <w:r w:rsidRPr="00C67C50">
        <w:rPr>
          <w:rFonts w:ascii="Arial" w:hAnsi="Arial" w:cs="Arial"/>
          <w:lang w:val="en-US"/>
        </w:rPr>
        <w:t xml:space="preserve">, </w:t>
      </w:r>
      <w:r w:rsidRPr="00C67C50">
        <w:rPr>
          <w:rFonts w:ascii="Arial" w:hAnsi="Arial" w:cs="Arial"/>
          <w:i/>
          <w:iCs/>
          <w:lang w:val="en-US"/>
        </w:rPr>
        <w:t>109</w:t>
      </w:r>
      <w:r w:rsidRPr="00C67C50">
        <w:rPr>
          <w:rFonts w:ascii="Arial" w:hAnsi="Arial" w:cs="Arial"/>
          <w:lang w:val="en-US"/>
        </w:rPr>
        <w:t>(2), 160–174.</w:t>
      </w:r>
    </w:p>
    <w:p w14:paraId="7048AD6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Posner, Michael I., &amp; Cohen, Y. (1984). Components of visual orienting. </w:t>
      </w:r>
      <w:r w:rsidRPr="00C67C50">
        <w:rPr>
          <w:rFonts w:ascii="Arial" w:hAnsi="Arial" w:cs="Arial"/>
          <w:i/>
          <w:iCs/>
          <w:lang w:val="en-US"/>
        </w:rPr>
        <w:t>Attention and Performance X: Control of Language Processes</w:t>
      </w:r>
      <w:r w:rsidRPr="00C67C50">
        <w:rPr>
          <w:rFonts w:ascii="Arial" w:hAnsi="Arial" w:cs="Arial"/>
          <w:lang w:val="en-US"/>
        </w:rPr>
        <w:t xml:space="preserve">, </w:t>
      </w:r>
      <w:r w:rsidRPr="00C67C50">
        <w:rPr>
          <w:rFonts w:ascii="Arial" w:hAnsi="Arial" w:cs="Arial"/>
          <w:i/>
          <w:iCs/>
          <w:lang w:val="en-US"/>
        </w:rPr>
        <w:t>32</w:t>
      </w:r>
      <w:r w:rsidRPr="00C67C50">
        <w:rPr>
          <w:rFonts w:ascii="Arial" w:hAnsi="Arial" w:cs="Arial"/>
          <w:lang w:val="en-US"/>
        </w:rPr>
        <w:t>, 531–556.</w:t>
      </w:r>
    </w:p>
    <w:p w14:paraId="2F317C8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Pratte, M. S., Sy, J. L., Swisher, J. D., &amp; Tong, F. (2016). Radial bias is not necessary for orientation decoding.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127</w:t>
      </w:r>
      <w:r w:rsidRPr="00C67C50">
        <w:rPr>
          <w:rFonts w:ascii="Arial" w:hAnsi="Arial" w:cs="Arial"/>
          <w:lang w:val="en-US"/>
        </w:rPr>
        <w:t>, 23–33. https://doi.org/10.1016/j.neuroimage.2015.11.066</w:t>
      </w:r>
    </w:p>
    <w:p w14:paraId="1883D3D0"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Ptak, R., Lazeyras, F., Di Pietro, M., Schnider, A., &amp; Simon, S. R. (2014). Visual object agnosia is associated with a breakdown of object-selective responses in the lateral occipital cortex. </w:t>
      </w:r>
      <w:r w:rsidRPr="00C67C50">
        <w:rPr>
          <w:rFonts w:ascii="Arial" w:hAnsi="Arial" w:cs="Arial"/>
          <w:i/>
          <w:iCs/>
          <w:lang w:val="en-US"/>
        </w:rPr>
        <w:t>Neuropsychologia</w:t>
      </w:r>
      <w:r w:rsidRPr="00C67C50">
        <w:rPr>
          <w:rFonts w:ascii="Arial" w:hAnsi="Arial" w:cs="Arial"/>
          <w:lang w:val="en-US"/>
        </w:rPr>
        <w:t xml:space="preserve">, </w:t>
      </w:r>
      <w:r w:rsidRPr="00C67C50">
        <w:rPr>
          <w:rFonts w:ascii="Arial" w:hAnsi="Arial" w:cs="Arial"/>
          <w:i/>
          <w:iCs/>
          <w:lang w:val="en-US"/>
        </w:rPr>
        <w:t>60</w:t>
      </w:r>
      <w:r w:rsidRPr="00C67C50">
        <w:rPr>
          <w:rFonts w:ascii="Arial" w:hAnsi="Arial" w:cs="Arial"/>
          <w:lang w:val="en-US"/>
        </w:rPr>
        <w:t>, 10–20. https://doi.org/10.1016/j.neuropsychologia.2014.05.009</w:t>
      </w:r>
    </w:p>
    <w:p w14:paraId="14619AF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Raemaekers, M., Lankheet, M. J. M., Moorman, S., Kourtzi, Z., &amp; van Wezel, R. J. A. (2009). Directional anisotropy of motion responses in retinotopic cortex. </w:t>
      </w:r>
      <w:r w:rsidRPr="00C67C50">
        <w:rPr>
          <w:rFonts w:ascii="Arial" w:hAnsi="Arial" w:cs="Arial"/>
          <w:i/>
          <w:iCs/>
          <w:lang w:val="en-US"/>
        </w:rPr>
        <w:t>Human Brain Mapping</w:t>
      </w:r>
      <w:r w:rsidRPr="00C67C50">
        <w:rPr>
          <w:rFonts w:ascii="Arial" w:hAnsi="Arial" w:cs="Arial"/>
          <w:lang w:val="en-US"/>
        </w:rPr>
        <w:t xml:space="preserve">, </w:t>
      </w:r>
      <w:r w:rsidRPr="00C67C50">
        <w:rPr>
          <w:rFonts w:ascii="Arial" w:hAnsi="Arial" w:cs="Arial"/>
          <w:i/>
          <w:iCs/>
          <w:lang w:val="en-US"/>
        </w:rPr>
        <w:t>30</w:t>
      </w:r>
      <w:r w:rsidRPr="00C67C50">
        <w:rPr>
          <w:rFonts w:ascii="Arial" w:hAnsi="Arial" w:cs="Arial"/>
          <w:lang w:val="en-US"/>
        </w:rPr>
        <w:t>(12), 3970–3980. https://doi.org/10.1002/hbm.20822</w:t>
      </w:r>
    </w:p>
    <w:p w14:paraId="7F81FB38"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Raichle, M. E. (2015). The brain’s default mode network. </w:t>
      </w:r>
      <w:r w:rsidRPr="00C67C50">
        <w:rPr>
          <w:rFonts w:ascii="Arial" w:hAnsi="Arial" w:cs="Arial"/>
          <w:i/>
          <w:iCs/>
          <w:lang w:val="en-US"/>
        </w:rPr>
        <w:t>Annual Review of Neuroscience</w:t>
      </w:r>
      <w:r w:rsidRPr="00C67C50">
        <w:rPr>
          <w:rFonts w:ascii="Arial" w:hAnsi="Arial" w:cs="Arial"/>
          <w:lang w:val="en-US"/>
        </w:rPr>
        <w:t xml:space="preserve">, </w:t>
      </w:r>
      <w:r w:rsidRPr="00C67C50">
        <w:rPr>
          <w:rFonts w:ascii="Arial" w:hAnsi="Arial" w:cs="Arial"/>
          <w:i/>
          <w:iCs/>
          <w:lang w:val="en-US"/>
        </w:rPr>
        <w:t>38</w:t>
      </w:r>
      <w:r w:rsidRPr="00C67C50">
        <w:rPr>
          <w:rFonts w:ascii="Arial" w:hAnsi="Arial" w:cs="Arial"/>
          <w:lang w:val="en-US"/>
        </w:rPr>
        <w:t>, 433–447. https://doi.org/10.1146/annurev-neuro-071013-014030</w:t>
      </w:r>
    </w:p>
    <w:p w14:paraId="388F943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Raichle, M. E., MacLeod, A. M., Snyder, A. Z., Powers, W. J., Gusnard, D. A., &amp; Shulman, G. L. (2001). A default mode of brain function. </w:t>
      </w:r>
      <w:r w:rsidRPr="00C67C50">
        <w:rPr>
          <w:rFonts w:ascii="Arial" w:hAnsi="Arial" w:cs="Arial"/>
          <w:i/>
          <w:iCs/>
          <w:lang w:val="en-US"/>
        </w:rPr>
        <w:t>Proceedings of the National Academy of Sciences</w:t>
      </w:r>
      <w:r w:rsidRPr="00C67C50">
        <w:rPr>
          <w:rFonts w:ascii="Arial" w:hAnsi="Arial" w:cs="Arial"/>
          <w:lang w:val="en-US"/>
        </w:rPr>
        <w:t xml:space="preserve">, </w:t>
      </w:r>
      <w:r w:rsidRPr="00C67C50">
        <w:rPr>
          <w:rFonts w:ascii="Arial" w:hAnsi="Arial" w:cs="Arial"/>
          <w:i/>
          <w:iCs/>
          <w:lang w:val="en-US"/>
        </w:rPr>
        <w:t>98</w:t>
      </w:r>
      <w:r w:rsidRPr="00C67C50">
        <w:rPr>
          <w:rFonts w:ascii="Arial" w:hAnsi="Arial" w:cs="Arial"/>
          <w:lang w:val="en-US"/>
        </w:rPr>
        <w:t>(2), 676–682.</w:t>
      </w:r>
    </w:p>
    <w:p w14:paraId="7736125D"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Rees, G., Frackowiak, R., &amp; Frith, C. (1997). Two modulatory effects of attention that mediate object categorization in human cortex. </w:t>
      </w:r>
      <w:r w:rsidRPr="00C67C50">
        <w:rPr>
          <w:rFonts w:ascii="Arial" w:hAnsi="Arial" w:cs="Arial"/>
          <w:i/>
          <w:iCs/>
          <w:lang w:val="en-US"/>
        </w:rPr>
        <w:t>Science (New York, N.Y.)</w:t>
      </w:r>
      <w:r w:rsidRPr="00C67C50">
        <w:rPr>
          <w:rFonts w:ascii="Arial" w:hAnsi="Arial" w:cs="Arial"/>
          <w:lang w:val="en-US"/>
        </w:rPr>
        <w:t xml:space="preserve">, </w:t>
      </w:r>
      <w:r w:rsidRPr="00C67C50">
        <w:rPr>
          <w:rFonts w:ascii="Arial" w:hAnsi="Arial" w:cs="Arial"/>
          <w:i/>
          <w:iCs/>
          <w:lang w:val="en-US"/>
        </w:rPr>
        <w:t>275</w:t>
      </w:r>
      <w:r w:rsidRPr="00C67C50">
        <w:rPr>
          <w:rFonts w:ascii="Arial" w:hAnsi="Arial" w:cs="Arial"/>
          <w:lang w:val="en-US"/>
        </w:rPr>
        <w:t>(5301), 835–838.</w:t>
      </w:r>
    </w:p>
    <w:p w14:paraId="706B7ACF"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Reineberg, A. E., Gustavson, D. E., Benca, C., Banich, M. T., &amp; Friedman, N. P. (2018). The Relationship Between Resting State Network Connectivity and Individual Differences in Executive Functions. </w:t>
      </w:r>
      <w:r w:rsidRPr="00C67C50">
        <w:rPr>
          <w:rFonts w:ascii="Arial" w:hAnsi="Arial" w:cs="Arial"/>
          <w:i/>
          <w:iCs/>
          <w:lang w:val="en-US"/>
        </w:rPr>
        <w:t>Frontiers in Psychology</w:t>
      </w:r>
      <w:r w:rsidRPr="00C67C50">
        <w:rPr>
          <w:rFonts w:ascii="Arial" w:hAnsi="Arial" w:cs="Arial"/>
          <w:lang w:val="en-US"/>
        </w:rPr>
        <w:t xml:space="preserve">, </w:t>
      </w:r>
      <w:r w:rsidRPr="00C67C50">
        <w:rPr>
          <w:rFonts w:ascii="Arial" w:hAnsi="Arial" w:cs="Arial"/>
          <w:i/>
          <w:iCs/>
          <w:lang w:val="en-US"/>
        </w:rPr>
        <w:t>9</w:t>
      </w:r>
      <w:r w:rsidRPr="00C67C50">
        <w:rPr>
          <w:rFonts w:ascii="Arial" w:hAnsi="Arial" w:cs="Arial"/>
          <w:lang w:val="en-US"/>
        </w:rPr>
        <w:t>, 1600. https://doi.org/10.3389/fpsyg.2018.01600</w:t>
      </w:r>
    </w:p>
    <w:p w14:paraId="66534F4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Reynolds, J. H., &amp; Heeger, D. J. (2009). The normalization model of attention.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61</w:t>
      </w:r>
      <w:r w:rsidRPr="00C67C50">
        <w:rPr>
          <w:rFonts w:ascii="Arial" w:hAnsi="Arial" w:cs="Arial"/>
          <w:lang w:val="en-US"/>
        </w:rPr>
        <w:t>(2), 168–185. https://doi.org/10.1016/j.neuron.2009.01.002</w:t>
      </w:r>
    </w:p>
    <w:p w14:paraId="25166A2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Reynolds, J. H., Pasternak, T., &amp; Desimone, R. (2000). Attention increases sensitivity of V4 neurons.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26</w:t>
      </w:r>
      <w:r w:rsidRPr="00C67C50">
        <w:rPr>
          <w:rFonts w:ascii="Arial" w:hAnsi="Arial" w:cs="Arial"/>
          <w:lang w:val="en-US"/>
        </w:rPr>
        <w:t>(3), 703–714.</w:t>
      </w:r>
    </w:p>
    <w:p w14:paraId="67F26B6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Rockland, K. S., &amp; Pandya, D. N. (1979). Laminar origins and terminations of cortical connections of the occipital lobe in the rhesus monkey. </w:t>
      </w:r>
      <w:r w:rsidRPr="00C67C50">
        <w:rPr>
          <w:rFonts w:ascii="Arial" w:hAnsi="Arial" w:cs="Arial"/>
          <w:i/>
          <w:iCs/>
          <w:lang w:val="en-US"/>
        </w:rPr>
        <w:t>Brain Research</w:t>
      </w:r>
      <w:r w:rsidRPr="00C67C50">
        <w:rPr>
          <w:rFonts w:ascii="Arial" w:hAnsi="Arial" w:cs="Arial"/>
          <w:lang w:val="en-US"/>
        </w:rPr>
        <w:t xml:space="preserve">, </w:t>
      </w:r>
      <w:r w:rsidRPr="00C67C50">
        <w:rPr>
          <w:rFonts w:ascii="Arial" w:hAnsi="Arial" w:cs="Arial"/>
          <w:i/>
          <w:iCs/>
          <w:lang w:val="en-US"/>
        </w:rPr>
        <w:t>179</w:t>
      </w:r>
      <w:r w:rsidRPr="00C67C50">
        <w:rPr>
          <w:rFonts w:ascii="Arial" w:hAnsi="Arial" w:cs="Arial"/>
          <w:lang w:val="en-US"/>
        </w:rPr>
        <w:t>(1), 3–20.</w:t>
      </w:r>
    </w:p>
    <w:p w14:paraId="5A0FFC9A"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Roorda, A., &amp; Williams, D. R. (1999). The arrangement of the three cone classes in the living human eye. </w:t>
      </w:r>
      <w:r w:rsidRPr="00C67C50">
        <w:rPr>
          <w:rFonts w:ascii="Arial" w:hAnsi="Arial" w:cs="Arial"/>
          <w:i/>
          <w:iCs/>
          <w:lang w:val="en-US"/>
        </w:rPr>
        <w:t>Nature</w:t>
      </w:r>
      <w:r w:rsidRPr="00C67C50">
        <w:rPr>
          <w:rFonts w:ascii="Arial" w:hAnsi="Arial" w:cs="Arial"/>
          <w:lang w:val="en-US"/>
        </w:rPr>
        <w:t xml:space="preserve">, </w:t>
      </w:r>
      <w:r w:rsidRPr="00C67C50">
        <w:rPr>
          <w:rFonts w:ascii="Arial" w:hAnsi="Arial" w:cs="Arial"/>
          <w:i/>
          <w:iCs/>
          <w:lang w:val="en-US"/>
        </w:rPr>
        <w:t>397</w:t>
      </w:r>
      <w:r w:rsidRPr="00C67C50">
        <w:rPr>
          <w:rFonts w:ascii="Arial" w:hAnsi="Arial" w:cs="Arial"/>
          <w:lang w:val="en-US"/>
        </w:rPr>
        <w:t>(6719), 520–522. https://doi.org/10.1038/17383</w:t>
      </w:r>
    </w:p>
    <w:p w14:paraId="325A8F24"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Rossion, B., Caldara, R., Seghier, M., Schuller, A.-M., Lazeyras, F., &amp; Mayer, E. (2003). A network of occipito-temporal face-sensitive areas besides the right middle fusiform gyrus is necessary for normal face processing. </w:t>
      </w:r>
      <w:r w:rsidRPr="00C67C50">
        <w:rPr>
          <w:rFonts w:ascii="Arial" w:hAnsi="Arial" w:cs="Arial"/>
          <w:i/>
          <w:iCs/>
          <w:lang w:val="en-US"/>
        </w:rPr>
        <w:t>Brain: A Journal of Neurology</w:t>
      </w:r>
      <w:r w:rsidRPr="00C67C50">
        <w:rPr>
          <w:rFonts w:ascii="Arial" w:hAnsi="Arial" w:cs="Arial"/>
          <w:lang w:val="en-US"/>
        </w:rPr>
        <w:t xml:space="preserve">, </w:t>
      </w:r>
      <w:r w:rsidRPr="00C67C50">
        <w:rPr>
          <w:rFonts w:ascii="Arial" w:hAnsi="Arial" w:cs="Arial"/>
          <w:i/>
          <w:iCs/>
          <w:lang w:val="en-US"/>
        </w:rPr>
        <w:t>126</w:t>
      </w:r>
      <w:r w:rsidRPr="00C67C50">
        <w:rPr>
          <w:rFonts w:ascii="Arial" w:hAnsi="Arial" w:cs="Arial"/>
          <w:lang w:val="en-US"/>
        </w:rPr>
        <w:t>(Pt 11), 2381–2395. https://doi.org/10.1093/brain/awg241</w:t>
      </w:r>
    </w:p>
    <w:p w14:paraId="573220D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Russ, B. E., &amp; Leopold, D. A. (2015). Functional MRI mapping of dynamic visual features during natural viewing in the macaque.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109</w:t>
      </w:r>
      <w:r w:rsidRPr="00C67C50">
        <w:rPr>
          <w:rFonts w:ascii="Arial" w:hAnsi="Arial" w:cs="Arial"/>
          <w:lang w:val="en-US"/>
        </w:rPr>
        <w:t>, 84–94. https://doi.org/10.1016/j.neuroimage.2015.01.012</w:t>
      </w:r>
    </w:p>
    <w:p w14:paraId="39227388"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Ryu, S.-Y., Kwon, M. J., Lee, S.-B., Yang, D. W., Kim, T.-W., Song, I.-U., … Lee, A. Y. (2010). Measurement of precuneal and hippocampal </w:t>
      </w:r>
      <w:r w:rsidRPr="00C67C50">
        <w:rPr>
          <w:rFonts w:ascii="Arial" w:hAnsi="Arial" w:cs="Arial"/>
          <w:lang w:val="en-US"/>
        </w:rPr>
        <w:lastRenderedPageBreak/>
        <w:t xml:space="preserve">volumes using magnetic resonance volumetry in Alzheimer’s disease. </w:t>
      </w:r>
      <w:r w:rsidRPr="00C67C50">
        <w:rPr>
          <w:rFonts w:ascii="Arial" w:hAnsi="Arial" w:cs="Arial"/>
          <w:i/>
          <w:iCs/>
          <w:lang w:val="en-US"/>
        </w:rPr>
        <w:t>Journal of Clinical Neurology</w:t>
      </w:r>
      <w:r w:rsidRPr="00C67C50">
        <w:rPr>
          <w:rFonts w:ascii="Arial" w:hAnsi="Arial" w:cs="Arial"/>
          <w:lang w:val="en-US"/>
        </w:rPr>
        <w:t xml:space="preserve">, </w:t>
      </w:r>
      <w:r w:rsidRPr="00C67C50">
        <w:rPr>
          <w:rFonts w:ascii="Arial" w:hAnsi="Arial" w:cs="Arial"/>
          <w:i/>
          <w:iCs/>
          <w:lang w:val="en-US"/>
        </w:rPr>
        <w:t>6</w:t>
      </w:r>
      <w:r w:rsidRPr="00C67C50">
        <w:rPr>
          <w:rFonts w:ascii="Arial" w:hAnsi="Arial" w:cs="Arial"/>
          <w:lang w:val="en-US"/>
        </w:rPr>
        <w:t>(4), 196–203.</w:t>
      </w:r>
    </w:p>
    <w:p w14:paraId="79B6EE50"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Saenz, M., Buracas, G. T., &amp; Boynton, G. M. (2002). Global effects of feature-based attention in human visual cortex. </w:t>
      </w:r>
      <w:r w:rsidRPr="00C67C50">
        <w:rPr>
          <w:rFonts w:ascii="Arial" w:hAnsi="Arial" w:cs="Arial"/>
          <w:i/>
          <w:iCs/>
          <w:lang w:val="en-US"/>
        </w:rPr>
        <w:t>Nat Neurosci</w:t>
      </w:r>
      <w:r w:rsidRPr="00C67C50">
        <w:rPr>
          <w:rFonts w:ascii="Arial" w:hAnsi="Arial" w:cs="Arial"/>
          <w:lang w:val="en-US"/>
        </w:rPr>
        <w:t xml:space="preserve">, </w:t>
      </w:r>
      <w:r w:rsidRPr="00C67C50">
        <w:rPr>
          <w:rFonts w:ascii="Arial" w:hAnsi="Arial" w:cs="Arial"/>
          <w:i/>
          <w:iCs/>
          <w:lang w:val="en-US"/>
        </w:rPr>
        <w:t>5</w:t>
      </w:r>
      <w:r w:rsidRPr="00C67C50">
        <w:rPr>
          <w:rFonts w:ascii="Arial" w:hAnsi="Arial" w:cs="Arial"/>
          <w:lang w:val="en-US"/>
        </w:rPr>
        <w:t>(7), 631–632.</w:t>
      </w:r>
    </w:p>
    <w:p w14:paraId="79E15EF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Safford, A. S., Hussey, E. A., Parasuraman, R., &amp; Thompson, J. C. (2010). Object-based attentional modulation of biological motion processing: Spatiotemporal dynamics using functional magnetic resonance imaging and electroencephalography. </w:t>
      </w:r>
      <w:r w:rsidRPr="00C67C50">
        <w:rPr>
          <w:rFonts w:ascii="Arial" w:hAnsi="Arial" w:cs="Arial"/>
          <w:i/>
          <w:iCs/>
          <w:lang w:val="en-US"/>
        </w:rPr>
        <w:t>The Journal of Neuroscience: The Official Journal of the Society for Neuroscience</w:t>
      </w:r>
      <w:r w:rsidRPr="00C67C50">
        <w:rPr>
          <w:rFonts w:ascii="Arial" w:hAnsi="Arial" w:cs="Arial"/>
          <w:lang w:val="en-US"/>
        </w:rPr>
        <w:t xml:space="preserve">, </w:t>
      </w:r>
      <w:r w:rsidRPr="00C67C50">
        <w:rPr>
          <w:rFonts w:ascii="Arial" w:hAnsi="Arial" w:cs="Arial"/>
          <w:i/>
          <w:iCs/>
          <w:lang w:val="en-US"/>
        </w:rPr>
        <w:t>30</w:t>
      </w:r>
      <w:r w:rsidRPr="00C67C50">
        <w:rPr>
          <w:rFonts w:ascii="Arial" w:hAnsi="Arial" w:cs="Arial"/>
          <w:lang w:val="en-US"/>
        </w:rPr>
        <w:t>(27), 9064–9073. https://doi.org/10.1523/JNEUROSCI.1779-10.2010</w:t>
      </w:r>
    </w:p>
    <w:p w14:paraId="5604CC6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Sani, I., Santandrea, E., Golzar, A., Morrone, M. C., &amp; Chelazzi, L. (2013). Selective tuning for contrast in macaque area V4. </w:t>
      </w:r>
      <w:r w:rsidRPr="00C67C50">
        <w:rPr>
          <w:rFonts w:ascii="Arial" w:hAnsi="Arial" w:cs="Arial"/>
          <w:i/>
          <w:iCs/>
          <w:lang w:val="en-US"/>
        </w:rPr>
        <w:t>Journal of Neuroscience</w:t>
      </w:r>
      <w:r w:rsidRPr="00C67C50">
        <w:rPr>
          <w:rFonts w:ascii="Arial" w:hAnsi="Arial" w:cs="Arial"/>
          <w:lang w:val="en-US"/>
        </w:rPr>
        <w:t xml:space="preserve">, </w:t>
      </w:r>
      <w:r w:rsidRPr="00C67C50">
        <w:rPr>
          <w:rFonts w:ascii="Arial" w:hAnsi="Arial" w:cs="Arial"/>
          <w:i/>
          <w:iCs/>
          <w:lang w:val="en-US"/>
        </w:rPr>
        <w:t>33</w:t>
      </w:r>
      <w:r w:rsidRPr="00C67C50">
        <w:rPr>
          <w:rFonts w:ascii="Arial" w:hAnsi="Arial" w:cs="Arial"/>
          <w:lang w:val="en-US"/>
        </w:rPr>
        <w:t>(47), 18583–18596.</w:t>
      </w:r>
    </w:p>
    <w:p w14:paraId="112328F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Sapountzis, P., Schluppeck, D., Bowtell, R., &amp; Peirce, J. W. (2010). A comparison of fMRI adaptation and multivariate pattern classification analysis in visual cortex.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49</w:t>
      </w:r>
      <w:r w:rsidRPr="00C67C50">
        <w:rPr>
          <w:rFonts w:ascii="Arial" w:hAnsi="Arial" w:cs="Arial"/>
          <w:lang w:val="en-US"/>
        </w:rPr>
        <w:t>(2), 1632–1640. https://doi.org/10.1016/j.neuroimage.2009.09.066</w:t>
      </w:r>
    </w:p>
    <w:p w14:paraId="0CE794DA"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Sasaki, Y., Rajimehr, R., Kim, B. W., Ekstrom, L. B., Vanduffel, W., &amp; Tootell, R. B. H. (2006). The radial bias: A different slant on visual orientation sensitivity in human and nonhuman primates.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51</w:t>
      </w:r>
      <w:r w:rsidRPr="00C67C50">
        <w:rPr>
          <w:rFonts w:ascii="Arial" w:hAnsi="Arial" w:cs="Arial"/>
          <w:lang w:val="en-US"/>
        </w:rPr>
        <w:t>(5), 661–670. https://doi.org/10.1016/j.neuron.2006.07.021</w:t>
      </w:r>
    </w:p>
    <w:p w14:paraId="2B46321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Schiller, P. H. (1995). Effect of lesions in visual cortical area V4 on the recognition of transformed objects. </w:t>
      </w:r>
      <w:r w:rsidRPr="00C67C50">
        <w:rPr>
          <w:rFonts w:ascii="Arial" w:hAnsi="Arial" w:cs="Arial"/>
          <w:i/>
          <w:iCs/>
          <w:lang w:val="en-US"/>
        </w:rPr>
        <w:t>Nature</w:t>
      </w:r>
      <w:r w:rsidRPr="00C67C50">
        <w:rPr>
          <w:rFonts w:ascii="Arial" w:hAnsi="Arial" w:cs="Arial"/>
          <w:lang w:val="en-US"/>
        </w:rPr>
        <w:t xml:space="preserve">, </w:t>
      </w:r>
      <w:r w:rsidRPr="00C67C50">
        <w:rPr>
          <w:rFonts w:ascii="Arial" w:hAnsi="Arial" w:cs="Arial"/>
          <w:i/>
          <w:iCs/>
          <w:lang w:val="en-US"/>
        </w:rPr>
        <w:t>376</w:t>
      </w:r>
      <w:r w:rsidRPr="00C67C50">
        <w:rPr>
          <w:rFonts w:ascii="Arial" w:hAnsi="Arial" w:cs="Arial"/>
          <w:lang w:val="en-US"/>
        </w:rPr>
        <w:t>(6538), 342–344. https://doi.org/10.1038/376342a0</w:t>
      </w:r>
    </w:p>
    <w:p w14:paraId="3EFD1784"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Schiller, P. H. (1996). On the specificity of neurons and visual areas. </w:t>
      </w:r>
      <w:r w:rsidRPr="00C67C50">
        <w:rPr>
          <w:rFonts w:ascii="Arial" w:hAnsi="Arial" w:cs="Arial"/>
          <w:i/>
          <w:iCs/>
          <w:lang w:val="en-US"/>
        </w:rPr>
        <w:t>Behavioural Brain Research</w:t>
      </w:r>
      <w:r w:rsidRPr="00C67C50">
        <w:rPr>
          <w:rFonts w:ascii="Arial" w:hAnsi="Arial" w:cs="Arial"/>
          <w:lang w:val="en-US"/>
        </w:rPr>
        <w:t xml:space="preserve">, </w:t>
      </w:r>
      <w:r w:rsidRPr="00C67C50">
        <w:rPr>
          <w:rFonts w:ascii="Arial" w:hAnsi="Arial" w:cs="Arial"/>
          <w:i/>
          <w:iCs/>
          <w:lang w:val="en-US"/>
        </w:rPr>
        <w:t>76</w:t>
      </w:r>
      <w:r w:rsidRPr="00C67C50">
        <w:rPr>
          <w:rFonts w:ascii="Arial" w:hAnsi="Arial" w:cs="Arial"/>
          <w:lang w:val="en-US"/>
        </w:rPr>
        <w:t>(1–2), 21–35.</w:t>
      </w:r>
    </w:p>
    <w:p w14:paraId="0E7BF76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Schiller, P. H., &amp; Malpeli, J. G. (1977). The effect of striate cortex cooling on area 18 cells in the monkey. </w:t>
      </w:r>
      <w:r w:rsidRPr="00C67C50">
        <w:rPr>
          <w:rFonts w:ascii="Arial" w:hAnsi="Arial" w:cs="Arial"/>
          <w:i/>
          <w:iCs/>
          <w:lang w:val="en-US"/>
        </w:rPr>
        <w:t>Brain Research</w:t>
      </w:r>
      <w:r w:rsidRPr="00C67C50">
        <w:rPr>
          <w:rFonts w:ascii="Arial" w:hAnsi="Arial" w:cs="Arial"/>
          <w:lang w:val="en-US"/>
        </w:rPr>
        <w:t xml:space="preserve">, </w:t>
      </w:r>
      <w:r w:rsidRPr="00C67C50">
        <w:rPr>
          <w:rFonts w:ascii="Arial" w:hAnsi="Arial" w:cs="Arial"/>
          <w:i/>
          <w:iCs/>
          <w:lang w:val="en-US"/>
        </w:rPr>
        <w:t>126</w:t>
      </w:r>
      <w:r w:rsidRPr="00C67C50">
        <w:rPr>
          <w:rFonts w:ascii="Arial" w:hAnsi="Arial" w:cs="Arial"/>
          <w:lang w:val="en-US"/>
        </w:rPr>
        <w:t>(2), 366–369.</w:t>
      </w:r>
    </w:p>
    <w:p w14:paraId="44CED2BB"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Schnapf, J. L., Kraft, T. W., &amp; Baylor, D. A. (1987). Spectral sensitivity of human cone photoreceptors. </w:t>
      </w:r>
      <w:r w:rsidRPr="00C67C50">
        <w:rPr>
          <w:rFonts w:ascii="Arial" w:hAnsi="Arial" w:cs="Arial"/>
          <w:i/>
          <w:iCs/>
          <w:lang w:val="en-US"/>
        </w:rPr>
        <w:t>Nature</w:t>
      </w:r>
      <w:r w:rsidRPr="00C67C50">
        <w:rPr>
          <w:rFonts w:ascii="Arial" w:hAnsi="Arial" w:cs="Arial"/>
          <w:lang w:val="en-US"/>
        </w:rPr>
        <w:t xml:space="preserve">, </w:t>
      </w:r>
      <w:r w:rsidRPr="00C67C50">
        <w:rPr>
          <w:rFonts w:ascii="Arial" w:hAnsi="Arial" w:cs="Arial"/>
          <w:i/>
          <w:iCs/>
          <w:lang w:val="en-US"/>
        </w:rPr>
        <w:t>325</w:t>
      </w:r>
      <w:r w:rsidRPr="00C67C50">
        <w:rPr>
          <w:rFonts w:ascii="Arial" w:hAnsi="Arial" w:cs="Arial"/>
          <w:lang w:val="en-US"/>
        </w:rPr>
        <w:t>(6103), 439–441. https://doi.org/10.1038/325439a0</w:t>
      </w:r>
    </w:p>
    <w:p w14:paraId="4D771F2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Schoenfeld, M. A., Hopf, J.-M., Martinez, A., Mai, H. M., Sattler, C., Gasde, A., … Hillyard, S. A. (2007). Spatio-temporal analysis of feature-based attention. </w:t>
      </w:r>
      <w:r w:rsidRPr="00C67C50">
        <w:rPr>
          <w:rFonts w:ascii="Arial" w:hAnsi="Arial" w:cs="Arial"/>
          <w:i/>
          <w:iCs/>
          <w:lang w:val="en-US"/>
        </w:rPr>
        <w:t>Cerebral Cortex</w:t>
      </w:r>
      <w:r w:rsidRPr="00C67C50">
        <w:rPr>
          <w:rFonts w:ascii="Arial" w:hAnsi="Arial" w:cs="Arial"/>
          <w:lang w:val="en-US"/>
        </w:rPr>
        <w:t xml:space="preserve">, </w:t>
      </w:r>
      <w:r w:rsidRPr="00C67C50">
        <w:rPr>
          <w:rFonts w:ascii="Arial" w:hAnsi="Arial" w:cs="Arial"/>
          <w:i/>
          <w:iCs/>
          <w:lang w:val="en-US"/>
        </w:rPr>
        <w:t>17</w:t>
      </w:r>
      <w:r w:rsidRPr="00C67C50">
        <w:rPr>
          <w:rFonts w:ascii="Arial" w:hAnsi="Arial" w:cs="Arial"/>
          <w:lang w:val="en-US"/>
        </w:rPr>
        <w:t>(10), 2468–2477.</w:t>
      </w:r>
    </w:p>
    <w:p w14:paraId="6DF234F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Sclar, G., Maunsell, J. H., &amp; Lennie, P. (1990). Coding of image contrast in central visual pathways of the macaque monkey. </w:t>
      </w:r>
      <w:r w:rsidRPr="00C67C50">
        <w:rPr>
          <w:rFonts w:ascii="Arial" w:hAnsi="Arial" w:cs="Arial"/>
          <w:i/>
          <w:iCs/>
          <w:lang w:val="en-US"/>
        </w:rPr>
        <w:t>Vision Research</w:t>
      </w:r>
      <w:r w:rsidRPr="00C67C50">
        <w:rPr>
          <w:rFonts w:ascii="Arial" w:hAnsi="Arial" w:cs="Arial"/>
          <w:lang w:val="en-US"/>
        </w:rPr>
        <w:t xml:space="preserve">, </w:t>
      </w:r>
      <w:r w:rsidRPr="00C67C50">
        <w:rPr>
          <w:rFonts w:ascii="Arial" w:hAnsi="Arial" w:cs="Arial"/>
          <w:i/>
          <w:iCs/>
          <w:lang w:val="en-US"/>
        </w:rPr>
        <w:t>30</w:t>
      </w:r>
      <w:r w:rsidRPr="00C67C50">
        <w:rPr>
          <w:rFonts w:ascii="Arial" w:hAnsi="Arial" w:cs="Arial"/>
          <w:lang w:val="en-US"/>
        </w:rPr>
        <w:t>(1), 1–10.</w:t>
      </w:r>
    </w:p>
    <w:p w14:paraId="7FE6CADB"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Semedo, J. D., Zandvakili, A., Machens, C. K., Yu, B. M., &amp; Kohn, A. (2019). Cortical Areas Interact through a Communication Subspace.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102</w:t>
      </w:r>
      <w:r w:rsidRPr="00C67C50">
        <w:rPr>
          <w:rFonts w:ascii="Arial" w:hAnsi="Arial" w:cs="Arial"/>
          <w:lang w:val="en-US"/>
        </w:rPr>
        <w:t>(1), 249-259.e4. https://doi.org/10.1016/j.neuron.2019.01.026</w:t>
      </w:r>
    </w:p>
    <w:p w14:paraId="54013FC0"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Serences, J. T., &amp; Boynton, G. M. (2007). Feature-based attentional modulations in the absence of direct visual stimulation.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55</w:t>
      </w:r>
      <w:r w:rsidRPr="00C67C50">
        <w:rPr>
          <w:rFonts w:ascii="Arial" w:hAnsi="Arial" w:cs="Arial"/>
          <w:lang w:val="en-US"/>
        </w:rPr>
        <w:t>(2), 301–312. https://doi.org/10.1016/j.neuron.2007.06.015</w:t>
      </w:r>
    </w:p>
    <w:p w14:paraId="4EF77CE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Serences, J. T., Saproo, S., Scolari, M., Ho, T., &amp; Muftuler, L. T. (2009). Estimating the influence of attention on population codes in human visual cortex using voxel-based tuning functions.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44</w:t>
      </w:r>
      <w:r w:rsidRPr="00C67C50">
        <w:rPr>
          <w:rFonts w:ascii="Arial" w:hAnsi="Arial" w:cs="Arial"/>
          <w:lang w:val="en-US"/>
        </w:rPr>
        <w:t>(1), 223–231. https://doi.org/10.1016/j.neuroimage.2008.07.043</w:t>
      </w:r>
    </w:p>
    <w:p w14:paraId="077F365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Seymour, K., Clifford, C. W. G., Logothetis, N. K., &amp; Bartels, A. (2009). The coding of color, motion, and their conjunction in the human visual </w:t>
      </w:r>
      <w:r w:rsidRPr="00C67C50">
        <w:rPr>
          <w:rFonts w:ascii="Arial" w:hAnsi="Arial" w:cs="Arial"/>
          <w:lang w:val="en-US"/>
        </w:rPr>
        <w:lastRenderedPageBreak/>
        <w:t xml:space="preserve">cortex. </w:t>
      </w:r>
      <w:r w:rsidRPr="00C67C50">
        <w:rPr>
          <w:rFonts w:ascii="Arial" w:hAnsi="Arial" w:cs="Arial"/>
          <w:i/>
          <w:iCs/>
          <w:lang w:val="en-US"/>
        </w:rPr>
        <w:t>Current Biology: CB</w:t>
      </w:r>
      <w:r w:rsidRPr="00C67C50">
        <w:rPr>
          <w:rFonts w:ascii="Arial" w:hAnsi="Arial" w:cs="Arial"/>
          <w:lang w:val="en-US"/>
        </w:rPr>
        <w:t xml:space="preserve">, </w:t>
      </w:r>
      <w:r w:rsidRPr="00C67C50">
        <w:rPr>
          <w:rFonts w:ascii="Arial" w:hAnsi="Arial" w:cs="Arial"/>
          <w:i/>
          <w:iCs/>
          <w:lang w:val="en-US"/>
        </w:rPr>
        <w:t>19</w:t>
      </w:r>
      <w:r w:rsidRPr="00C67C50">
        <w:rPr>
          <w:rFonts w:ascii="Arial" w:hAnsi="Arial" w:cs="Arial"/>
          <w:lang w:val="en-US"/>
        </w:rPr>
        <w:t>(3), 177–183. https://doi.org/10.1016/j.cub.2008.12.050</w:t>
      </w:r>
    </w:p>
    <w:p w14:paraId="365520B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Seymour, K., Clifford, C. W. G., Logothetis, N. K., &amp; Bartels, A. (2010). Coding and binding of color and form in visual cortex. </w:t>
      </w:r>
      <w:r w:rsidRPr="00C67C50">
        <w:rPr>
          <w:rFonts w:ascii="Arial" w:hAnsi="Arial" w:cs="Arial"/>
          <w:i/>
          <w:iCs/>
          <w:lang w:val="en-US"/>
        </w:rPr>
        <w:t>Cerebral Cortex (New York, N.Y.: 1991)</w:t>
      </w:r>
      <w:r w:rsidRPr="00C67C50">
        <w:rPr>
          <w:rFonts w:ascii="Arial" w:hAnsi="Arial" w:cs="Arial"/>
          <w:lang w:val="en-US"/>
        </w:rPr>
        <w:t xml:space="preserve">, </w:t>
      </w:r>
      <w:r w:rsidRPr="00C67C50">
        <w:rPr>
          <w:rFonts w:ascii="Arial" w:hAnsi="Arial" w:cs="Arial"/>
          <w:i/>
          <w:iCs/>
          <w:lang w:val="en-US"/>
        </w:rPr>
        <w:t>20</w:t>
      </w:r>
      <w:r w:rsidRPr="00C67C50">
        <w:rPr>
          <w:rFonts w:ascii="Arial" w:hAnsi="Arial" w:cs="Arial"/>
          <w:lang w:val="en-US"/>
        </w:rPr>
        <w:t>(8), 1946–1954. https://doi.org/10.1093/cercor/bhp265</w:t>
      </w:r>
    </w:p>
    <w:p w14:paraId="7AD5F123"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Seymour, K. J., Williams, M. A., &amp; Rich, A. N. (2016). The Representation of Color across the Human Visual Cortex: Distinguishing Chromatic Signals Contributing to Object Form Versus Surface Color. </w:t>
      </w:r>
      <w:r w:rsidRPr="00C67C50">
        <w:rPr>
          <w:rFonts w:ascii="Arial" w:hAnsi="Arial" w:cs="Arial"/>
          <w:i/>
          <w:iCs/>
          <w:lang w:val="en-US"/>
        </w:rPr>
        <w:t>Cerebral Cortex (New York, N.Y.: 1991)</w:t>
      </w:r>
      <w:r w:rsidRPr="00C67C50">
        <w:rPr>
          <w:rFonts w:ascii="Arial" w:hAnsi="Arial" w:cs="Arial"/>
          <w:lang w:val="en-US"/>
        </w:rPr>
        <w:t xml:space="preserve">, </w:t>
      </w:r>
      <w:r w:rsidRPr="00C67C50">
        <w:rPr>
          <w:rFonts w:ascii="Arial" w:hAnsi="Arial" w:cs="Arial"/>
          <w:i/>
          <w:iCs/>
          <w:lang w:val="en-US"/>
        </w:rPr>
        <w:t>26</w:t>
      </w:r>
      <w:r w:rsidRPr="00C67C50">
        <w:rPr>
          <w:rFonts w:ascii="Arial" w:hAnsi="Arial" w:cs="Arial"/>
          <w:lang w:val="en-US"/>
        </w:rPr>
        <w:t>(5), 1997–2005. https://doi.org/10.1093/cercor/bhv021</w:t>
      </w:r>
    </w:p>
    <w:p w14:paraId="7C90BCE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Shapley, R., &amp; Enroth-Cugell, C. (1984). Chapter 9 Visual adaptation and retinal gain controls. </w:t>
      </w:r>
      <w:r w:rsidRPr="00C67C50">
        <w:rPr>
          <w:rFonts w:ascii="Arial" w:hAnsi="Arial" w:cs="Arial"/>
          <w:i/>
          <w:iCs/>
          <w:lang w:val="en-US"/>
        </w:rPr>
        <w:t>Progress in Retinal Research</w:t>
      </w:r>
      <w:r w:rsidRPr="00C67C50">
        <w:rPr>
          <w:rFonts w:ascii="Arial" w:hAnsi="Arial" w:cs="Arial"/>
          <w:lang w:val="en-US"/>
        </w:rPr>
        <w:t xml:space="preserve">, </w:t>
      </w:r>
      <w:r w:rsidRPr="00C67C50">
        <w:rPr>
          <w:rFonts w:ascii="Arial" w:hAnsi="Arial" w:cs="Arial"/>
          <w:i/>
          <w:iCs/>
          <w:lang w:val="en-US"/>
        </w:rPr>
        <w:t>3</w:t>
      </w:r>
      <w:r w:rsidRPr="00C67C50">
        <w:rPr>
          <w:rFonts w:ascii="Arial" w:hAnsi="Arial" w:cs="Arial"/>
          <w:lang w:val="en-US"/>
        </w:rPr>
        <w:t>, 263–346. https://doi.org/10.1016/0278-4327(84)90011-7</w:t>
      </w:r>
    </w:p>
    <w:p w14:paraId="57ACE1FB"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Shulman, G. L., Fiez, J. A., Corbetta, M., Buckner, R. L., Miezin, F. M., Raichle, M. E., &amp; Petersen, S. E. (1997). Common Blood Flow Changes across Visual Tasks: II. Decreases in Cerebral Cortex. </w:t>
      </w:r>
      <w:r w:rsidRPr="00C67C50">
        <w:rPr>
          <w:rFonts w:ascii="Arial" w:hAnsi="Arial" w:cs="Arial"/>
          <w:i/>
          <w:iCs/>
          <w:lang w:val="en-US"/>
        </w:rPr>
        <w:t>Journal of Cognitive Neuroscience</w:t>
      </w:r>
      <w:r w:rsidRPr="00C67C50">
        <w:rPr>
          <w:rFonts w:ascii="Arial" w:hAnsi="Arial" w:cs="Arial"/>
          <w:lang w:val="en-US"/>
        </w:rPr>
        <w:t xml:space="preserve">, </w:t>
      </w:r>
      <w:r w:rsidRPr="00C67C50">
        <w:rPr>
          <w:rFonts w:ascii="Arial" w:hAnsi="Arial" w:cs="Arial"/>
          <w:i/>
          <w:iCs/>
          <w:lang w:val="en-US"/>
        </w:rPr>
        <w:t>9</w:t>
      </w:r>
      <w:r w:rsidRPr="00C67C50">
        <w:rPr>
          <w:rFonts w:ascii="Arial" w:hAnsi="Arial" w:cs="Arial"/>
          <w:lang w:val="en-US"/>
        </w:rPr>
        <w:t>(5), 648–663. https://doi.org/10.1162/jocn.1997.9.5.648</w:t>
      </w:r>
    </w:p>
    <w:p w14:paraId="1E664D33"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Silson, E. H., McKeefry, D. J., Rodgers, J., Gouws, A. D., Hymers, M., &amp; Morland, A. B. (2013a). Specialized and independent processing of orientation and shape in visual field maps LO1 and LO2. </w:t>
      </w:r>
      <w:r w:rsidRPr="00C67C50">
        <w:rPr>
          <w:rFonts w:ascii="Arial" w:hAnsi="Arial" w:cs="Arial"/>
          <w:i/>
          <w:iCs/>
          <w:lang w:val="en-US"/>
        </w:rPr>
        <w:t>Nature Neuroscience</w:t>
      </w:r>
      <w:r w:rsidRPr="00C67C50">
        <w:rPr>
          <w:rFonts w:ascii="Arial" w:hAnsi="Arial" w:cs="Arial"/>
          <w:lang w:val="en-US"/>
        </w:rPr>
        <w:t xml:space="preserve">, </w:t>
      </w:r>
      <w:r w:rsidRPr="00C67C50">
        <w:rPr>
          <w:rFonts w:ascii="Arial" w:hAnsi="Arial" w:cs="Arial"/>
          <w:i/>
          <w:iCs/>
          <w:lang w:val="en-US"/>
        </w:rPr>
        <w:t>16</w:t>
      </w:r>
      <w:r w:rsidRPr="00C67C50">
        <w:rPr>
          <w:rFonts w:ascii="Arial" w:hAnsi="Arial" w:cs="Arial"/>
          <w:lang w:val="en-US"/>
        </w:rPr>
        <w:t>(3), 267.</w:t>
      </w:r>
    </w:p>
    <w:p w14:paraId="55AC706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Silson, E. H., McKeefry, D. J., Rodgers, J., Gouws, A. D., Hymers, M., &amp; Morland, A. B. (2013b). Specialized and independent processing of </w:t>
      </w:r>
      <w:r w:rsidRPr="00C67C50">
        <w:rPr>
          <w:rFonts w:ascii="Arial" w:hAnsi="Arial" w:cs="Arial"/>
          <w:lang w:val="en-US"/>
        </w:rPr>
        <w:lastRenderedPageBreak/>
        <w:t xml:space="preserve">orientation and shape in visual field maps LO1 and LO2. </w:t>
      </w:r>
      <w:r w:rsidRPr="00C67C50">
        <w:rPr>
          <w:rFonts w:ascii="Arial" w:hAnsi="Arial" w:cs="Arial"/>
          <w:i/>
          <w:iCs/>
          <w:lang w:val="en-US"/>
        </w:rPr>
        <w:t>Nature Neuroscience</w:t>
      </w:r>
      <w:r w:rsidRPr="00C67C50">
        <w:rPr>
          <w:rFonts w:ascii="Arial" w:hAnsi="Arial" w:cs="Arial"/>
          <w:lang w:val="en-US"/>
        </w:rPr>
        <w:t xml:space="preserve">, </w:t>
      </w:r>
      <w:r w:rsidRPr="00C67C50">
        <w:rPr>
          <w:rFonts w:ascii="Arial" w:hAnsi="Arial" w:cs="Arial"/>
          <w:i/>
          <w:iCs/>
          <w:lang w:val="en-US"/>
        </w:rPr>
        <w:t>16</w:t>
      </w:r>
      <w:r w:rsidRPr="00C67C50">
        <w:rPr>
          <w:rFonts w:ascii="Arial" w:hAnsi="Arial" w:cs="Arial"/>
          <w:lang w:val="en-US"/>
        </w:rPr>
        <w:t>(3), 267.</w:t>
      </w:r>
    </w:p>
    <w:p w14:paraId="5360CED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Smith, P. L., Lee, Y.-E., Wolfgang, B. J., &amp; Ratcliff, R. (2009). Attention and the detection of masked radial frequency patterns: Data and model. </w:t>
      </w:r>
      <w:r w:rsidRPr="00C67C50">
        <w:rPr>
          <w:rFonts w:ascii="Arial" w:hAnsi="Arial" w:cs="Arial"/>
          <w:i/>
          <w:iCs/>
          <w:lang w:val="en-US"/>
        </w:rPr>
        <w:t>Vision Research</w:t>
      </w:r>
      <w:r w:rsidRPr="00C67C50">
        <w:rPr>
          <w:rFonts w:ascii="Arial" w:hAnsi="Arial" w:cs="Arial"/>
          <w:lang w:val="en-US"/>
        </w:rPr>
        <w:t xml:space="preserve">, </w:t>
      </w:r>
      <w:r w:rsidRPr="00C67C50">
        <w:rPr>
          <w:rFonts w:ascii="Arial" w:hAnsi="Arial" w:cs="Arial"/>
          <w:i/>
          <w:iCs/>
          <w:lang w:val="en-US"/>
        </w:rPr>
        <w:t>49</w:t>
      </w:r>
      <w:r w:rsidRPr="00C67C50">
        <w:rPr>
          <w:rFonts w:ascii="Arial" w:hAnsi="Arial" w:cs="Arial"/>
          <w:lang w:val="en-US"/>
        </w:rPr>
        <w:t>(10), 1363–1377. https://doi.org/10.1016/j.visres.2008.04.024</w:t>
      </w:r>
    </w:p>
    <w:p w14:paraId="43EC33D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Song, J.-H., Rowland, J., McPeek, R. M., &amp; Wade, A. R. (2011). Attentional Modulation of fMRI Responses in Human V1 Is Consistent with Distinct Spatial Maps for Chromatically Defined Orientation and Contrast. </w:t>
      </w:r>
      <w:r w:rsidRPr="00C67C50">
        <w:rPr>
          <w:rFonts w:ascii="Arial" w:hAnsi="Arial" w:cs="Arial"/>
          <w:i/>
          <w:iCs/>
          <w:lang w:val="en-US"/>
        </w:rPr>
        <w:t>Journal of Neuroscience</w:t>
      </w:r>
      <w:r w:rsidRPr="00C67C50">
        <w:rPr>
          <w:rFonts w:ascii="Arial" w:hAnsi="Arial" w:cs="Arial"/>
          <w:lang w:val="en-US"/>
        </w:rPr>
        <w:t xml:space="preserve">, </w:t>
      </w:r>
      <w:r w:rsidRPr="00C67C50">
        <w:rPr>
          <w:rFonts w:ascii="Arial" w:hAnsi="Arial" w:cs="Arial"/>
          <w:i/>
          <w:iCs/>
          <w:lang w:val="en-US"/>
        </w:rPr>
        <w:t>31</w:t>
      </w:r>
      <w:r w:rsidRPr="00C67C50">
        <w:rPr>
          <w:rFonts w:ascii="Arial" w:hAnsi="Arial" w:cs="Arial"/>
          <w:lang w:val="en-US"/>
        </w:rPr>
        <w:t>(36), 12900–12905. https://doi.org/10.1523/JNEUROSCI.0580-11.2011</w:t>
      </w:r>
    </w:p>
    <w:p w14:paraId="578DDD94"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Spadone, S., Della Penna, S., Sestieri, C., Betti, V., Tosoni, A., Perrucci, M. G., … Corbetta, M. (2015). Dynamic reorganization of human resting-state networks during visuospatial attention. </w:t>
      </w:r>
      <w:r w:rsidRPr="00C67C50">
        <w:rPr>
          <w:rFonts w:ascii="Arial" w:hAnsi="Arial" w:cs="Arial"/>
          <w:i/>
          <w:iCs/>
          <w:lang w:val="en-US"/>
        </w:rPr>
        <w:t>Proceedings of the National Academy of Sciences of the United States of America</w:t>
      </w:r>
      <w:r w:rsidRPr="00C67C50">
        <w:rPr>
          <w:rFonts w:ascii="Arial" w:hAnsi="Arial" w:cs="Arial"/>
          <w:lang w:val="en-US"/>
        </w:rPr>
        <w:t xml:space="preserve">, </w:t>
      </w:r>
      <w:r w:rsidRPr="00C67C50">
        <w:rPr>
          <w:rFonts w:ascii="Arial" w:hAnsi="Arial" w:cs="Arial"/>
          <w:i/>
          <w:iCs/>
          <w:lang w:val="en-US"/>
        </w:rPr>
        <w:t>112</w:t>
      </w:r>
      <w:r w:rsidRPr="00C67C50">
        <w:rPr>
          <w:rFonts w:ascii="Arial" w:hAnsi="Arial" w:cs="Arial"/>
          <w:lang w:val="en-US"/>
        </w:rPr>
        <w:t>(26), 8112–8117. https://doi.org/10.1073/pnas.1415439112</w:t>
      </w:r>
    </w:p>
    <w:p w14:paraId="787A571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Spiers, H. J., &amp; Maguire, E. A. (2007). Decoding human brain activity during real-world experiences. </w:t>
      </w:r>
      <w:r w:rsidRPr="00C67C50">
        <w:rPr>
          <w:rFonts w:ascii="Arial" w:hAnsi="Arial" w:cs="Arial"/>
          <w:i/>
          <w:iCs/>
          <w:lang w:val="en-US"/>
        </w:rPr>
        <w:t>Trends in Cognitive Sciences</w:t>
      </w:r>
      <w:r w:rsidRPr="00C67C50">
        <w:rPr>
          <w:rFonts w:ascii="Arial" w:hAnsi="Arial" w:cs="Arial"/>
          <w:lang w:val="en-US"/>
        </w:rPr>
        <w:t xml:space="preserve">, </w:t>
      </w:r>
      <w:r w:rsidRPr="00C67C50">
        <w:rPr>
          <w:rFonts w:ascii="Arial" w:hAnsi="Arial" w:cs="Arial"/>
          <w:i/>
          <w:iCs/>
          <w:lang w:val="en-US"/>
        </w:rPr>
        <w:t>11</w:t>
      </w:r>
      <w:r w:rsidRPr="00C67C50">
        <w:rPr>
          <w:rFonts w:ascii="Arial" w:hAnsi="Arial" w:cs="Arial"/>
          <w:lang w:val="en-US"/>
        </w:rPr>
        <w:t>(8), 356–365. https://doi.org/10.1016/j.tics.2007.06.002</w:t>
      </w:r>
    </w:p>
    <w:p w14:paraId="086D30B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Stanislaw, H., &amp; Todorov, N. (1999). Calculation of signal detection theory measures. </w:t>
      </w:r>
      <w:r w:rsidRPr="00C67C50">
        <w:rPr>
          <w:rFonts w:ascii="Arial" w:hAnsi="Arial" w:cs="Arial"/>
          <w:i/>
          <w:iCs/>
          <w:lang w:val="en-US"/>
        </w:rPr>
        <w:t>Behavior Research Methods, Instruments, &amp; Computers: A Journal of the Psychonomic Society, Inc</w:t>
      </w:r>
      <w:r w:rsidRPr="00C67C50">
        <w:rPr>
          <w:rFonts w:ascii="Arial" w:hAnsi="Arial" w:cs="Arial"/>
          <w:lang w:val="en-US"/>
        </w:rPr>
        <w:t xml:space="preserve">, </w:t>
      </w:r>
      <w:r w:rsidRPr="00C67C50">
        <w:rPr>
          <w:rFonts w:ascii="Arial" w:hAnsi="Arial" w:cs="Arial"/>
          <w:i/>
          <w:iCs/>
          <w:lang w:val="en-US"/>
        </w:rPr>
        <w:t>31</w:t>
      </w:r>
      <w:r w:rsidRPr="00C67C50">
        <w:rPr>
          <w:rFonts w:ascii="Arial" w:hAnsi="Arial" w:cs="Arial"/>
          <w:lang w:val="en-US"/>
        </w:rPr>
        <w:t>(1), 137–149.</w:t>
      </w:r>
    </w:p>
    <w:p w14:paraId="5FF3422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Sumner, P. (2006). Seeing colour. </w:t>
      </w:r>
      <w:r w:rsidRPr="00C67C50">
        <w:rPr>
          <w:rFonts w:ascii="Arial" w:hAnsi="Arial" w:cs="Arial"/>
          <w:i/>
          <w:iCs/>
          <w:lang w:val="en-US"/>
        </w:rPr>
        <w:t>Advances in Clinical Neuroscience and Rehabilitation</w:t>
      </w:r>
      <w:r w:rsidRPr="00C67C50">
        <w:rPr>
          <w:rFonts w:ascii="Arial" w:hAnsi="Arial" w:cs="Arial"/>
          <w:lang w:val="en-US"/>
        </w:rPr>
        <w:t xml:space="preserve">, </w:t>
      </w:r>
      <w:r w:rsidRPr="00C67C50">
        <w:rPr>
          <w:rFonts w:ascii="Arial" w:hAnsi="Arial" w:cs="Arial"/>
          <w:i/>
          <w:iCs/>
          <w:lang w:val="en-US"/>
        </w:rPr>
        <w:t>6</w:t>
      </w:r>
      <w:r w:rsidRPr="00C67C50">
        <w:rPr>
          <w:rFonts w:ascii="Arial" w:hAnsi="Arial" w:cs="Arial"/>
          <w:lang w:val="en-US"/>
        </w:rPr>
        <w:t>(3), 12–13.</w:t>
      </w:r>
    </w:p>
    <w:p w14:paraId="123D0824" w14:textId="77777777" w:rsidR="00CB265E" w:rsidRPr="00C67C50" w:rsidRDefault="00CB265E" w:rsidP="00CB265E">
      <w:pPr>
        <w:pStyle w:val="Bibliography"/>
        <w:rPr>
          <w:rFonts w:ascii="Arial" w:hAnsi="Arial" w:cs="Arial"/>
          <w:lang w:val="en-US"/>
        </w:rPr>
      </w:pPr>
      <w:r w:rsidRPr="00C67C50">
        <w:rPr>
          <w:rFonts w:ascii="Arial" w:hAnsi="Arial" w:cs="Arial"/>
          <w:lang w:val="en-US"/>
        </w:rPr>
        <w:t>Sumner, P., Anderson, E. J., Sylvester, R., Haynes, J.-D., &amp; Rees, G. (2008). Combined orientation and colour information in human V1 for both L-</w:t>
      </w:r>
      <w:r w:rsidRPr="00C67C50">
        <w:rPr>
          <w:rFonts w:ascii="Arial" w:hAnsi="Arial" w:cs="Arial"/>
          <w:lang w:val="en-US"/>
        </w:rPr>
        <w:lastRenderedPageBreak/>
        <w:t xml:space="preserve">M and S-cone chromatic axes.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39</w:t>
      </w:r>
      <w:r w:rsidRPr="00C67C50">
        <w:rPr>
          <w:rFonts w:ascii="Arial" w:hAnsi="Arial" w:cs="Arial"/>
          <w:lang w:val="en-US"/>
        </w:rPr>
        <w:t>(2), 814–824. https://doi.org/10.1016/j.neuroimage.2007.09.013</w:t>
      </w:r>
    </w:p>
    <w:p w14:paraId="4A6E153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Sumner, P., Tsai, P.-C., Yu, K., &amp; Nachev, P. (2006). Attentional modulation of sensorimotor processes in the absence of perceptual awareness. </w:t>
      </w:r>
      <w:r w:rsidRPr="00C67C50">
        <w:rPr>
          <w:rFonts w:ascii="Arial" w:hAnsi="Arial" w:cs="Arial"/>
          <w:i/>
          <w:iCs/>
          <w:lang w:val="en-US"/>
        </w:rPr>
        <w:t>Proceedings of the National Academy of Sciences of the United States of America</w:t>
      </w:r>
      <w:r w:rsidRPr="00C67C50">
        <w:rPr>
          <w:rFonts w:ascii="Arial" w:hAnsi="Arial" w:cs="Arial"/>
          <w:lang w:val="en-US"/>
        </w:rPr>
        <w:t xml:space="preserve">, </w:t>
      </w:r>
      <w:r w:rsidRPr="00C67C50">
        <w:rPr>
          <w:rFonts w:ascii="Arial" w:hAnsi="Arial" w:cs="Arial"/>
          <w:i/>
          <w:iCs/>
          <w:lang w:val="en-US"/>
        </w:rPr>
        <w:t>103</w:t>
      </w:r>
      <w:r w:rsidRPr="00C67C50">
        <w:rPr>
          <w:rFonts w:ascii="Arial" w:hAnsi="Arial" w:cs="Arial"/>
          <w:lang w:val="en-US"/>
        </w:rPr>
        <w:t>(27), 10520–10525. https://doi.org/10.1073/pnas.0601974103</w:t>
      </w:r>
    </w:p>
    <w:p w14:paraId="7C31758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Teo, P. C., Sapiro, G., &amp; Wandell, B. A. (1997). Creating connected representations of cortical gray matter for functional MRI visualization. </w:t>
      </w:r>
      <w:r w:rsidRPr="00C67C50">
        <w:rPr>
          <w:rFonts w:ascii="Arial" w:hAnsi="Arial" w:cs="Arial"/>
          <w:i/>
          <w:iCs/>
          <w:lang w:val="en-US"/>
        </w:rPr>
        <w:t>IEEE Transactions on Medical Imaging</w:t>
      </w:r>
      <w:r w:rsidRPr="00C67C50">
        <w:rPr>
          <w:rFonts w:ascii="Arial" w:hAnsi="Arial" w:cs="Arial"/>
          <w:lang w:val="en-US"/>
        </w:rPr>
        <w:t xml:space="preserve">, </w:t>
      </w:r>
      <w:r w:rsidRPr="00C67C50">
        <w:rPr>
          <w:rFonts w:ascii="Arial" w:hAnsi="Arial" w:cs="Arial"/>
          <w:i/>
          <w:iCs/>
          <w:lang w:val="en-US"/>
        </w:rPr>
        <w:t>16</w:t>
      </w:r>
      <w:r w:rsidRPr="00C67C50">
        <w:rPr>
          <w:rFonts w:ascii="Arial" w:hAnsi="Arial" w:cs="Arial"/>
          <w:lang w:val="en-US"/>
        </w:rPr>
        <w:t>(6), 852–863. https://doi.org/10.1109/42.650881</w:t>
      </w:r>
    </w:p>
    <w:p w14:paraId="1077FC31"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Theeuwes, J. (2013). Feature-based attention: It is all bottom-up priming. </w:t>
      </w:r>
      <w:r w:rsidRPr="00C67C50">
        <w:rPr>
          <w:rFonts w:ascii="Arial" w:hAnsi="Arial" w:cs="Arial"/>
          <w:i/>
          <w:iCs/>
          <w:lang w:val="en-US"/>
        </w:rPr>
        <w:t>Philosophical Transactions of the Royal Society of London. Series B, Biological Sciences</w:t>
      </w:r>
      <w:r w:rsidRPr="00C67C50">
        <w:rPr>
          <w:rFonts w:ascii="Arial" w:hAnsi="Arial" w:cs="Arial"/>
          <w:lang w:val="en-US"/>
        </w:rPr>
        <w:t xml:space="preserve">, </w:t>
      </w:r>
      <w:r w:rsidRPr="00C67C50">
        <w:rPr>
          <w:rFonts w:ascii="Arial" w:hAnsi="Arial" w:cs="Arial"/>
          <w:i/>
          <w:iCs/>
          <w:lang w:val="en-US"/>
        </w:rPr>
        <w:t>368</w:t>
      </w:r>
      <w:r w:rsidRPr="00C67C50">
        <w:rPr>
          <w:rFonts w:ascii="Arial" w:hAnsi="Arial" w:cs="Arial"/>
          <w:lang w:val="en-US"/>
        </w:rPr>
        <w:t>(1628), 20130055. https://doi.org/10.1098/rstb.2013.0055</w:t>
      </w:r>
    </w:p>
    <w:p w14:paraId="6612A66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Tootell, R. B., Hadjikhani, N., Hall, E. K., Marrett, S., Vanduffel, W., Vaughan, J. T., &amp; Dale, A. M. (1998). The retinotopy of visual spatial attention.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21</w:t>
      </w:r>
      <w:r w:rsidRPr="00C67C50">
        <w:rPr>
          <w:rFonts w:ascii="Arial" w:hAnsi="Arial" w:cs="Arial"/>
          <w:lang w:val="en-US"/>
        </w:rPr>
        <w:t>(6), 1409–1422.</w:t>
      </w:r>
    </w:p>
    <w:p w14:paraId="7486F65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Tootell, Roger BH, Hadjikhani, N., Hall, E. K., Marrett, S., Vanduffel, W., Vaughan, J. T., &amp; Dale, A. M. (1998a). The retinotopy of visual spatial attention.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21</w:t>
      </w:r>
      <w:r w:rsidRPr="00C67C50">
        <w:rPr>
          <w:rFonts w:ascii="Arial" w:hAnsi="Arial" w:cs="Arial"/>
          <w:lang w:val="en-US"/>
        </w:rPr>
        <w:t>(6), 1409–1422.</w:t>
      </w:r>
    </w:p>
    <w:p w14:paraId="78A54C88"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Tootell, Roger BH, Hadjikhani, N., Hall, E. K., Marrett, S., Vanduffel, W., Vaughan, J. T., &amp; Dale, A. M. (1998b). The retinotopy of visual spatial attention.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21</w:t>
      </w:r>
      <w:r w:rsidRPr="00C67C50">
        <w:rPr>
          <w:rFonts w:ascii="Arial" w:hAnsi="Arial" w:cs="Arial"/>
          <w:lang w:val="en-US"/>
        </w:rPr>
        <w:t>(6), 1409–1422.</w:t>
      </w:r>
    </w:p>
    <w:p w14:paraId="7875F104"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Treue, S., &amp; Martínez Trujillo, J. C. (1999). Feature-based attention influences motion processing gain in macaque visual cortex. </w:t>
      </w:r>
      <w:r w:rsidRPr="00C67C50">
        <w:rPr>
          <w:rFonts w:ascii="Arial" w:hAnsi="Arial" w:cs="Arial"/>
          <w:i/>
          <w:iCs/>
          <w:lang w:val="en-US"/>
        </w:rPr>
        <w:t>Nature</w:t>
      </w:r>
      <w:r w:rsidRPr="00C67C50">
        <w:rPr>
          <w:rFonts w:ascii="Arial" w:hAnsi="Arial" w:cs="Arial"/>
          <w:lang w:val="en-US"/>
        </w:rPr>
        <w:t xml:space="preserve">, </w:t>
      </w:r>
      <w:r w:rsidRPr="00C67C50">
        <w:rPr>
          <w:rFonts w:ascii="Arial" w:hAnsi="Arial" w:cs="Arial"/>
          <w:i/>
          <w:iCs/>
          <w:lang w:val="en-US"/>
        </w:rPr>
        <w:t>399</w:t>
      </w:r>
      <w:r w:rsidRPr="00C67C50">
        <w:rPr>
          <w:rFonts w:ascii="Arial" w:hAnsi="Arial" w:cs="Arial"/>
          <w:lang w:val="en-US"/>
        </w:rPr>
        <w:t>(6736), 575–579. https://doi.org/10.1038/21176</w:t>
      </w:r>
    </w:p>
    <w:p w14:paraId="5FAC312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Tschechne, S., &amp; Neumann, H. (2014). Hierarchical representation of shapes in visual cortex-from localized features to figural shape segregation. </w:t>
      </w:r>
      <w:r w:rsidRPr="00C67C50">
        <w:rPr>
          <w:rFonts w:ascii="Arial" w:hAnsi="Arial" w:cs="Arial"/>
          <w:i/>
          <w:iCs/>
          <w:lang w:val="en-US"/>
        </w:rPr>
        <w:t>Frontiers in Computational Neuroscience</w:t>
      </w:r>
      <w:r w:rsidRPr="00C67C50">
        <w:rPr>
          <w:rFonts w:ascii="Arial" w:hAnsi="Arial" w:cs="Arial"/>
          <w:lang w:val="en-US"/>
        </w:rPr>
        <w:t xml:space="preserve">, </w:t>
      </w:r>
      <w:r w:rsidRPr="00C67C50">
        <w:rPr>
          <w:rFonts w:ascii="Arial" w:hAnsi="Arial" w:cs="Arial"/>
          <w:i/>
          <w:iCs/>
          <w:lang w:val="en-US"/>
        </w:rPr>
        <w:t>8</w:t>
      </w:r>
      <w:r w:rsidRPr="00C67C50">
        <w:rPr>
          <w:rFonts w:ascii="Arial" w:hAnsi="Arial" w:cs="Arial"/>
          <w:lang w:val="en-US"/>
        </w:rPr>
        <w:t>, 93. https://doi.org/10.3389/fncom.2014.00093</w:t>
      </w:r>
    </w:p>
    <w:p w14:paraId="6BE63AA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Vandenberghe, R., Duncan, J., Dupont, P., Ward, R., Poline, J. B., Bormans, G., … Orban, G. A. (1997). Attention to one or two features in left or right visual field: A positron emission tomography study. </w:t>
      </w:r>
      <w:r w:rsidRPr="00C67C50">
        <w:rPr>
          <w:rFonts w:ascii="Arial" w:hAnsi="Arial" w:cs="Arial"/>
          <w:i/>
          <w:iCs/>
          <w:lang w:val="en-US"/>
        </w:rPr>
        <w:t>The Journal of Neuroscience: The Official Journal of the Society for Neuroscience</w:t>
      </w:r>
      <w:r w:rsidRPr="00C67C50">
        <w:rPr>
          <w:rFonts w:ascii="Arial" w:hAnsi="Arial" w:cs="Arial"/>
          <w:lang w:val="en-US"/>
        </w:rPr>
        <w:t xml:space="preserve">, </w:t>
      </w:r>
      <w:r w:rsidRPr="00C67C50">
        <w:rPr>
          <w:rFonts w:ascii="Arial" w:hAnsi="Arial" w:cs="Arial"/>
          <w:i/>
          <w:iCs/>
          <w:lang w:val="en-US"/>
        </w:rPr>
        <w:t>17</w:t>
      </w:r>
      <w:r w:rsidRPr="00C67C50">
        <w:rPr>
          <w:rFonts w:ascii="Arial" w:hAnsi="Arial" w:cs="Arial"/>
          <w:lang w:val="en-US"/>
        </w:rPr>
        <w:t>(10), 3739–3750.</w:t>
      </w:r>
    </w:p>
    <w:p w14:paraId="7A65B75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Vander Wyk, B. C., Voos, A., &amp; Pelphrey, K. A. (2012). Action representation in the superior temporal sulcus in children and adults: An fMRI study. </w:t>
      </w:r>
      <w:r w:rsidRPr="00C67C50">
        <w:rPr>
          <w:rFonts w:ascii="Arial" w:hAnsi="Arial" w:cs="Arial"/>
          <w:i/>
          <w:iCs/>
          <w:lang w:val="en-US"/>
        </w:rPr>
        <w:t>Developmental Cognitive Neuroscience</w:t>
      </w:r>
      <w:r w:rsidRPr="00C67C50">
        <w:rPr>
          <w:rFonts w:ascii="Arial" w:hAnsi="Arial" w:cs="Arial"/>
          <w:lang w:val="en-US"/>
        </w:rPr>
        <w:t xml:space="preserve">, </w:t>
      </w:r>
      <w:r w:rsidRPr="00C67C50">
        <w:rPr>
          <w:rFonts w:ascii="Arial" w:hAnsi="Arial" w:cs="Arial"/>
          <w:i/>
          <w:iCs/>
          <w:lang w:val="en-US"/>
        </w:rPr>
        <w:t>2</w:t>
      </w:r>
      <w:r w:rsidRPr="00C67C50">
        <w:rPr>
          <w:rFonts w:ascii="Arial" w:hAnsi="Arial" w:cs="Arial"/>
          <w:lang w:val="en-US"/>
        </w:rPr>
        <w:t>(4), 409–416.</w:t>
      </w:r>
    </w:p>
    <w:p w14:paraId="2B378350"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Vatansever, D., Manktelow, A. E., Sahakian, B. J., Menon, D. K., &amp; Stamatakis, E. A. (2016). Cognitive Flexibility: A Default Network and Basal Ganglia Connectivity Perspective. </w:t>
      </w:r>
      <w:r w:rsidRPr="00C67C50">
        <w:rPr>
          <w:rFonts w:ascii="Arial" w:hAnsi="Arial" w:cs="Arial"/>
          <w:i/>
          <w:iCs/>
          <w:lang w:val="en-US"/>
        </w:rPr>
        <w:t>Brain Connectivity</w:t>
      </w:r>
      <w:r w:rsidRPr="00C67C50">
        <w:rPr>
          <w:rFonts w:ascii="Arial" w:hAnsi="Arial" w:cs="Arial"/>
          <w:lang w:val="en-US"/>
        </w:rPr>
        <w:t xml:space="preserve">, </w:t>
      </w:r>
      <w:r w:rsidRPr="00C67C50">
        <w:rPr>
          <w:rFonts w:ascii="Arial" w:hAnsi="Arial" w:cs="Arial"/>
          <w:i/>
          <w:iCs/>
          <w:lang w:val="en-US"/>
        </w:rPr>
        <w:t>6</w:t>
      </w:r>
      <w:r w:rsidRPr="00C67C50">
        <w:rPr>
          <w:rFonts w:ascii="Arial" w:hAnsi="Arial" w:cs="Arial"/>
          <w:lang w:val="en-US"/>
        </w:rPr>
        <w:t>(3), 201–207. https://doi.org/10.1089/brain.2015.0388</w:t>
      </w:r>
    </w:p>
    <w:p w14:paraId="0BB54D8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Verghese, P., Kim, Y.-J., &amp; Wade, A. R. (2012). Attention selects informative neural populations in human V1. </w:t>
      </w:r>
      <w:r w:rsidRPr="00C67C50">
        <w:rPr>
          <w:rFonts w:ascii="Arial" w:hAnsi="Arial" w:cs="Arial"/>
          <w:i/>
          <w:iCs/>
          <w:lang w:val="en-US"/>
        </w:rPr>
        <w:t>Journal of Neuroscience</w:t>
      </w:r>
      <w:r w:rsidRPr="00C67C50">
        <w:rPr>
          <w:rFonts w:ascii="Arial" w:hAnsi="Arial" w:cs="Arial"/>
          <w:lang w:val="en-US"/>
        </w:rPr>
        <w:t xml:space="preserve">, </w:t>
      </w:r>
      <w:r w:rsidRPr="00C67C50">
        <w:rPr>
          <w:rFonts w:ascii="Arial" w:hAnsi="Arial" w:cs="Arial"/>
          <w:i/>
          <w:iCs/>
          <w:lang w:val="en-US"/>
        </w:rPr>
        <w:t>32</w:t>
      </w:r>
      <w:r w:rsidRPr="00C67C50">
        <w:rPr>
          <w:rFonts w:ascii="Arial" w:hAnsi="Arial" w:cs="Arial"/>
          <w:lang w:val="en-US"/>
        </w:rPr>
        <w:t>(46), 16379–16390.</w:t>
      </w:r>
    </w:p>
    <w:p w14:paraId="456C407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Verhoef, B.-E., &amp; Maunsell, J. H. R. (2017). Attention-related changes in correlated neuronal activity arise from normalization mechanisms. </w:t>
      </w:r>
      <w:r w:rsidRPr="00C67C50">
        <w:rPr>
          <w:rFonts w:ascii="Arial" w:hAnsi="Arial" w:cs="Arial"/>
          <w:i/>
          <w:iCs/>
          <w:lang w:val="en-US"/>
        </w:rPr>
        <w:t>Nature Neuroscience</w:t>
      </w:r>
      <w:r w:rsidRPr="00C67C50">
        <w:rPr>
          <w:rFonts w:ascii="Arial" w:hAnsi="Arial" w:cs="Arial"/>
          <w:lang w:val="en-US"/>
        </w:rPr>
        <w:t xml:space="preserve">, </w:t>
      </w:r>
      <w:r w:rsidRPr="00C67C50">
        <w:rPr>
          <w:rFonts w:ascii="Arial" w:hAnsi="Arial" w:cs="Arial"/>
          <w:i/>
          <w:iCs/>
          <w:lang w:val="en-US"/>
        </w:rPr>
        <w:t>20</w:t>
      </w:r>
      <w:r w:rsidRPr="00C67C50">
        <w:rPr>
          <w:rFonts w:ascii="Arial" w:hAnsi="Arial" w:cs="Arial"/>
          <w:lang w:val="en-US"/>
        </w:rPr>
        <w:t>(7), 969–977. https://doi.org/10.1038/nn.4572</w:t>
      </w:r>
    </w:p>
    <w:p w14:paraId="64F1B17A"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Vernon, R. J. W. (2016). </w:t>
      </w:r>
      <w:r w:rsidRPr="00C67C50">
        <w:rPr>
          <w:rFonts w:ascii="Arial" w:hAnsi="Arial" w:cs="Arial"/>
          <w:i/>
          <w:iCs/>
          <w:lang w:val="en-US"/>
        </w:rPr>
        <w:t>Shape Processing across Lateral Occipital Cortex</w:t>
      </w:r>
      <w:r w:rsidRPr="00C67C50">
        <w:rPr>
          <w:rFonts w:ascii="Arial" w:hAnsi="Arial" w:cs="Arial"/>
          <w:lang w:val="en-US"/>
        </w:rPr>
        <w:t xml:space="preserve"> (Phd, University of York). Retrieved from http://etheses.whiterose.ac.uk/16777/</w:t>
      </w:r>
    </w:p>
    <w:p w14:paraId="2732818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Vernon, R. J. W., Gouws, A. D., Lawrence, S. J. D., Wade, A. R., &amp; Morland, A. B. (2016). Multivariate Patterns in the Human Object-Processing Pathway Reveal a Shift from Retinotopic to Shape Curvature Representations in Lateral Occipital Areas, LO-1 and LO-2. </w:t>
      </w:r>
      <w:r w:rsidRPr="00C67C50">
        <w:rPr>
          <w:rFonts w:ascii="Arial" w:hAnsi="Arial" w:cs="Arial"/>
          <w:i/>
          <w:iCs/>
          <w:lang w:val="en-US"/>
        </w:rPr>
        <w:t>Journal of Neuroscience</w:t>
      </w:r>
      <w:r w:rsidRPr="00C67C50">
        <w:rPr>
          <w:rFonts w:ascii="Arial" w:hAnsi="Arial" w:cs="Arial"/>
          <w:lang w:val="en-US"/>
        </w:rPr>
        <w:t xml:space="preserve">, </w:t>
      </w:r>
      <w:r w:rsidRPr="00C67C50">
        <w:rPr>
          <w:rFonts w:ascii="Arial" w:hAnsi="Arial" w:cs="Arial"/>
          <w:i/>
          <w:iCs/>
          <w:lang w:val="en-US"/>
        </w:rPr>
        <w:t>36</w:t>
      </w:r>
      <w:r w:rsidRPr="00C67C50">
        <w:rPr>
          <w:rFonts w:ascii="Arial" w:hAnsi="Arial" w:cs="Arial"/>
          <w:lang w:val="en-US"/>
        </w:rPr>
        <w:t>(21), 5763–5774. https://doi.org/10.1523/JNEUROSCI.3603-15.2016</w:t>
      </w:r>
    </w:p>
    <w:p w14:paraId="579F89E1"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Wandell, B. A. (1995). </w:t>
      </w:r>
      <w:r w:rsidRPr="00C67C50">
        <w:rPr>
          <w:rFonts w:ascii="Arial" w:hAnsi="Arial" w:cs="Arial"/>
          <w:i/>
          <w:iCs/>
          <w:lang w:val="en-US"/>
        </w:rPr>
        <w:t>Foundations of vision</w:t>
      </w:r>
      <w:r w:rsidRPr="00C67C50">
        <w:rPr>
          <w:rFonts w:ascii="Arial" w:hAnsi="Arial" w:cs="Arial"/>
          <w:lang w:val="en-US"/>
        </w:rPr>
        <w:t>. Sunderland, MA, US: Sinauer Associates.</w:t>
      </w:r>
    </w:p>
    <w:p w14:paraId="1E797048"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Wandell, B. A., Dumoulin, S. O., &amp; Brewer, A. A. (2007). Visual field maps in human cortex. </w:t>
      </w:r>
      <w:r w:rsidRPr="00C67C50">
        <w:rPr>
          <w:rFonts w:ascii="Arial" w:hAnsi="Arial" w:cs="Arial"/>
          <w:i/>
          <w:iCs/>
          <w:lang w:val="en-US"/>
        </w:rPr>
        <w:t>Neuron</w:t>
      </w:r>
      <w:r w:rsidRPr="00C67C50">
        <w:rPr>
          <w:rFonts w:ascii="Arial" w:hAnsi="Arial" w:cs="Arial"/>
          <w:lang w:val="en-US"/>
        </w:rPr>
        <w:t xml:space="preserve">, </w:t>
      </w:r>
      <w:r w:rsidRPr="00C67C50">
        <w:rPr>
          <w:rFonts w:ascii="Arial" w:hAnsi="Arial" w:cs="Arial"/>
          <w:i/>
          <w:iCs/>
          <w:lang w:val="en-US"/>
        </w:rPr>
        <w:t>56</w:t>
      </w:r>
      <w:r w:rsidRPr="00C67C50">
        <w:rPr>
          <w:rFonts w:ascii="Arial" w:hAnsi="Arial" w:cs="Arial"/>
          <w:lang w:val="en-US"/>
        </w:rPr>
        <w:t>(2), 366–383.</w:t>
      </w:r>
    </w:p>
    <w:p w14:paraId="33D53114"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Wandell, B. A., &amp; Winawer, J. (2015). Computational neuroimaging and population receptive fields. </w:t>
      </w:r>
      <w:r w:rsidRPr="00C67C50">
        <w:rPr>
          <w:rFonts w:ascii="Arial" w:hAnsi="Arial" w:cs="Arial"/>
          <w:i/>
          <w:iCs/>
          <w:lang w:val="en-US"/>
        </w:rPr>
        <w:t>Trends in Cognitive Sciences</w:t>
      </w:r>
      <w:r w:rsidRPr="00C67C50">
        <w:rPr>
          <w:rFonts w:ascii="Arial" w:hAnsi="Arial" w:cs="Arial"/>
          <w:lang w:val="en-US"/>
        </w:rPr>
        <w:t xml:space="preserve">, </w:t>
      </w:r>
      <w:r w:rsidRPr="00C67C50">
        <w:rPr>
          <w:rFonts w:ascii="Arial" w:hAnsi="Arial" w:cs="Arial"/>
          <w:i/>
          <w:iCs/>
          <w:lang w:val="en-US"/>
        </w:rPr>
        <w:t>19</w:t>
      </w:r>
      <w:r w:rsidRPr="00C67C50">
        <w:rPr>
          <w:rFonts w:ascii="Arial" w:hAnsi="Arial" w:cs="Arial"/>
          <w:lang w:val="en-US"/>
        </w:rPr>
        <w:t>(6), 349–357. https://doi.org/10.1016/j.tics.2015.03.009</w:t>
      </w:r>
    </w:p>
    <w:p w14:paraId="14C8AB94"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Wang, J., &amp; Wade, A. R. (2011). Differential attentional modulation of cortical responses to S-cone and luminance stimuli. </w:t>
      </w:r>
      <w:r w:rsidRPr="00C67C50">
        <w:rPr>
          <w:rFonts w:ascii="Arial" w:hAnsi="Arial" w:cs="Arial"/>
          <w:i/>
          <w:iCs/>
          <w:lang w:val="en-US"/>
        </w:rPr>
        <w:t>Journal of Vision</w:t>
      </w:r>
      <w:r w:rsidRPr="00C67C50">
        <w:rPr>
          <w:rFonts w:ascii="Arial" w:hAnsi="Arial" w:cs="Arial"/>
          <w:lang w:val="en-US"/>
        </w:rPr>
        <w:t xml:space="preserve">, </w:t>
      </w:r>
      <w:r w:rsidRPr="00C67C50">
        <w:rPr>
          <w:rFonts w:ascii="Arial" w:hAnsi="Arial" w:cs="Arial"/>
          <w:i/>
          <w:iCs/>
          <w:lang w:val="en-US"/>
        </w:rPr>
        <w:t>11</w:t>
      </w:r>
      <w:r w:rsidRPr="00C67C50">
        <w:rPr>
          <w:rFonts w:ascii="Arial" w:hAnsi="Arial" w:cs="Arial"/>
          <w:lang w:val="en-US"/>
        </w:rPr>
        <w:t>(6), 1–15. https://doi.org/10.1167/11.6.1</w:t>
      </w:r>
    </w:p>
    <w:p w14:paraId="716B0209"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Watson, A. B., &amp; Pelli, D. G. (1983). QUEST: A Bayesian adaptive psychometric method. </w:t>
      </w:r>
      <w:r w:rsidRPr="00C67C50">
        <w:rPr>
          <w:rFonts w:ascii="Arial" w:hAnsi="Arial" w:cs="Arial"/>
          <w:i/>
          <w:iCs/>
          <w:lang w:val="en-US"/>
        </w:rPr>
        <w:t>Perception &amp; Psychophysics</w:t>
      </w:r>
      <w:r w:rsidRPr="00C67C50">
        <w:rPr>
          <w:rFonts w:ascii="Arial" w:hAnsi="Arial" w:cs="Arial"/>
          <w:lang w:val="en-US"/>
        </w:rPr>
        <w:t xml:space="preserve">, </w:t>
      </w:r>
      <w:r w:rsidRPr="00C67C50">
        <w:rPr>
          <w:rFonts w:ascii="Arial" w:hAnsi="Arial" w:cs="Arial"/>
          <w:i/>
          <w:iCs/>
          <w:lang w:val="en-US"/>
        </w:rPr>
        <w:t>33</w:t>
      </w:r>
      <w:r w:rsidRPr="00C67C50">
        <w:rPr>
          <w:rFonts w:ascii="Arial" w:hAnsi="Arial" w:cs="Arial"/>
          <w:lang w:val="en-US"/>
        </w:rPr>
        <w:t>(2), 113–120.</w:t>
      </w:r>
    </w:p>
    <w:p w14:paraId="313A1918"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Weerda, R., Vallines, I., Thomas, J. P., Rutschmann, R. M., &amp; Greenlee, M. W. (2006). Effects of nonspatial selective and divided visual attention on fMRI BOLD responses. </w:t>
      </w:r>
      <w:r w:rsidRPr="00C67C50">
        <w:rPr>
          <w:rFonts w:ascii="Arial" w:hAnsi="Arial" w:cs="Arial"/>
          <w:i/>
          <w:iCs/>
          <w:lang w:val="en-US"/>
        </w:rPr>
        <w:t>Experimental Brain Research</w:t>
      </w:r>
      <w:r w:rsidRPr="00C67C50">
        <w:rPr>
          <w:rFonts w:ascii="Arial" w:hAnsi="Arial" w:cs="Arial"/>
          <w:lang w:val="en-US"/>
        </w:rPr>
        <w:t xml:space="preserve">, </w:t>
      </w:r>
      <w:r w:rsidRPr="00C67C50">
        <w:rPr>
          <w:rFonts w:ascii="Arial" w:hAnsi="Arial" w:cs="Arial"/>
          <w:i/>
          <w:iCs/>
          <w:lang w:val="en-US"/>
        </w:rPr>
        <w:t>173</w:t>
      </w:r>
      <w:r w:rsidRPr="00C67C50">
        <w:rPr>
          <w:rFonts w:ascii="Arial" w:hAnsi="Arial" w:cs="Arial"/>
          <w:lang w:val="en-US"/>
        </w:rPr>
        <w:t>(4), 555–563. https://doi.org/10.1007/s00221-006-0403-0</w:t>
      </w:r>
    </w:p>
    <w:p w14:paraId="1CE17115" w14:textId="77777777" w:rsidR="00CB265E" w:rsidRPr="00C67C50" w:rsidRDefault="00CB265E" w:rsidP="00CB265E">
      <w:pPr>
        <w:pStyle w:val="Bibliography"/>
        <w:rPr>
          <w:rFonts w:ascii="Arial" w:hAnsi="Arial" w:cs="Arial"/>
          <w:lang w:val="en-US"/>
        </w:rPr>
      </w:pPr>
      <w:r w:rsidRPr="00C67C50">
        <w:rPr>
          <w:rFonts w:ascii="Arial" w:hAnsi="Arial" w:cs="Arial"/>
          <w:lang w:val="en-US"/>
        </w:rPr>
        <w:lastRenderedPageBreak/>
        <w:t xml:space="preserve">Welbourne, L. E., Morland, A. B., &amp; Wade, A. R. (2018). Population receptive field (pRF) measurements of chromatic responses in human visual cortex using fMRI. </w:t>
      </w:r>
      <w:r w:rsidRPr="00C67C50">
        <w:rPr>
          <w:rFonts w:ascii="Arial" w:hAnsi="Arial" w:cs="Arial"/>
          <w:i/>
          <w:iCs/>
          <w:lang w:val="en-US"/>
        </w:rPr>
        <w:t>Neuroimage</w:t>
      </w:r>
      <w:r w:rsidRPr="00C67C50">
        <w:rPr>
          <w:rFonts w:ascii="Arial" w:hAnsi="Arial" w:cs="Arial"/>
          <w:lang w:val="en-US"/>
        </w:rPr>
        <w:t xml:space="preserve">, </w:t>
      </w:r>
      <w:r w:rsidRPr="00C67C50">
        <w:rPr>
          <w:rFonts w:ascii="Arial" w:hAnsi="Arial" w:cs="Arial"/>
          <w:i/>
          <w:iCs/>
          <w:lang w:val="en-US"/>
        </w:rPr>
        <w:t>167</w:t>
      </w:r>
      <w:r w:rsidRPr="00C67C50">
        <w:rPr>
          <w:rFonts w:ascii="Arial" w:hAnsi="Arial" w:cs="Arial"/>
          <w:lang w:val="en-US"/>
        </w:rPr>
        <w:t>, 84–94. https://doi.org/10.1016/j.neuroimage.2017.11.022</w:t>
      </w:r>
    </w:p>
    <w:p w14:paraId="0FBBF16C"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Wilkinson, F., James, T. W., Wilson, H. R., Gati, J. S., Menon, R. S., &amp; Goodale, M. A. (2000). An fMRI study of the selective activation of human extrastriate form vision areas by radial and concentric gratings. </w:t>
      </w:r>
      <w:r w:rsidRPr="00C67C50">
        <w:rPr>
          <w:rFonts w:ascii="Arial" w:hAnsi="Arial" w:cs="Arial"/>
          <w:i/>
          <w:iCs/>
          <w:lang w:val="en-US"/>
        </w:rPr>
        <w:t>Current Biology: CB</w:t>
      </w:r>
      <w:r w:rsidRPr="00C67C50">
        <w:rPr>
          <w:rFonts w:ascii="Arial" w:hAnsi="Arial" w:cs="Arial"/>
          <w:lang w:val="en-US"/>
        </w:rPr>
        <w:t xml:space="preserve">, </w:t>
      </w:r>
      <w:r w:rsidRPr="00C67C50">
        <w:rPr>
          <w:rFonts w:ascii="Arial" w:hAnsi="Arial" w:cs="Arial"/>
          <w:i/>
          <w:iCs/>
          <w:lang w:val="en-US"/>
        </w:rPr>
        <w:t>10</w:t>
      </w:r>
      <w:r w:rsidRPr="00C67C50">
        <w:rPr>
          <w:rFonts w:ascii="Arial" w:hAnsi="Arial" w:cs="Arial"/>
          <w:lang w:val="en-US"/>
        </w:rPr>
        <w:t>(22), 1455–1458.</w:t>
      </w:r>
    </w:p>
    <w:p w14:paraId="382977F4"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Wilkinson, Frances, Wilson, H. R., &amp; Habak, C. (1998a). Detection and recognition of radial frequency patterns 1. </w:t>
      </w:r>
      <w:r w:rsidRPr="00C67C50">
        <w:rPr>
          <w:rFonts w:ascii="Arial" w:hAnsi="Arial" w:cs="Arial"/>
          <w:i/>
          <w:iCs/>
          <w:lang w:val="en-US"/>
        </w:rPr>
        <w:t>Vision Research</w:t>
      </w:r>
      <w:r w:rsidRPr="00C67C50">
        <w:rPr>
          <w:rFonts w:ascii="Arial" w:hAnsi="Arial" w:cs="Arial"/>
          <w:lang w:val="en-US"/>
        </w:rPr>
        <w:t xml:space="preserve">, </w:t>
      </w:r>
      <w:r w:rsidRPr="00C67C50">
        <w:rPr>
          <w:rFonts w:ascii="Arial" w:hAnsi="Arial" w:cs="Arial"/>
          <w:i/>
          <w:iCs/>
          <w:lang w:val="en-US"/>
        </w:rPr>
        <w:t>38</w:t>
      </w:r>
      <w:r w:rsidRPr="00C67C50">
        <w:rPr>
          <w:rFonts w:ascii="Arial" w:hAnsi="Arial" w:cs="Arial"/>
          <w:lang w:val="en-US"/>
        </w:rPr>
        <w:t>(22), 3555–3568.</w:t>
      </w:r>
    </w:p>
    <w:p w14:paraId="29EB9C91"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Wilkinson, Frances, Wilson, H. R., &amp; Habak, C. (1998b). Detection and recognition of radial frequency patterns 1. </w:t>
      </w:r>
      <w:r w:rsidRPr="00C67C50">
        <w:rPr>
          <w:rFonts w:ascii="Arial" w:hAnsi="Arial" w:cs="Arial"/>
          <w:i/>
          <w:iCs/>
          <w:lang w:val="en-US"/>
        </w:rPr>
        <w:t>Vision Research</w:t>
      </w:r>
      <w:r w:rsidRPr="00C67C50">
        <w:rPr>
          <w:rFonts w:ascii="Arial" w:hAnsi="Arial" w:cs="Arial"/>
          <w:lang w:val="en-US"/>
        </w:rPr>
        <w:t xml:space="preserve">, </w:t>
      </w:r>
      <w:r w:rsidRPr="00C67C50">
        <w:rPr>
          <w:rFonts w:ascii="Arial" w:hAnsi="Arial" w:cs="Arial"/>
          <w:i/>
          <w:iCs/>
          <w:lang w:val="en-US"/>
        </w:rPr>
        <w:t>38</w:t>
      </w:r>
      <w:r w:rsidRPr="00C67C50">
        <w:rPr>
          <w:rFonts w:ascii="Arial" w:hAnsi="Arial" w:cs="Arial"/>
          <w:lang w:val="en-US"/>
        </w:rPr>
        <w:t>(22), 3555–3568.</w:t>
      </w:r>
    </w:p>
    <w:p w14:paraId="4EE220B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Wilson, H. R., &amp; Wilkinson, F. (1997a). Evolving concepts of spatial channels in vision: From independence to nonlinear interactions. </w:t>
      </w:r>
      <w:r w:rsidRPr="00C67C50">
        <w:rPr>
          <w:rFonts w:ascii="Arial" w:hAnsi="Arial" w:cs="Arial"/>
          <w:i/>
          <w:iCs/>
          <w:lang w:val="en-US"/>
        </w:rPr>
        <w:t>Perception</w:t>
      </w:r>
      <w:r w:rsidRPr="00C67C50">
        <w:rPr>
          <w:rFonts w:ascii="Arial" w:hAnsi="Arial" w:cs="Arial"/>
          <w:lang w:val="en-US"/>
        </w:rPr>
        <w:t xml:space="preserve">, </w:t>
      </w:r>
      <w:r w:rsidRPr="00C67C50">
        <w:rPr>
          <w:rFonts w:ascii="Arial" w:hAnsi="Arial" w:cs="Arial"/>
          <w:i/>
          <w:iCs/>
          <w:lang w:val="en-US"/>
        </w:rPr>
        <w:t>26</w:t>
      </w:r>
      <w:r w:rsidRPr="00C67C50">
        <w:rPr>
          <w:rFonts w:ascii="Arial" w:hAnsi="Arial" w:cs="Arial"/>
          <w:lang w:val="en-US"/>
        </w:rPr>
        <w:t>(8), 939–960. https://doi.org/10.1068/p260939</w:t>
      </w:r>
    </w:p>
    <w:p w14:paraId="540F107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Wilson, H. R., &amp; Wilkinson, F. (1997b). Evolving concepts of spatial channels in vision: From independence to nonlinear interactions. </w:t>
      </w:r>
      <w:r w:rsidRPr="00C67C50">
        <w:rPr>
          <w:rFonts w:ascii="Arial" w:hAnsi="Arial" w:cs="Arial"/>
          <w:i/>
          <w:iCs/>
          <w:lang w:val="en-US"/>
        </w:rPr>
        <w:t>Perception</w:t>
      </w:r>
      <w:r w:rsidRPr="00C67C50">
        <w:rPr>
          <w:rFonts w:ascii="Arial" w:hAnsi="Arial" w:cs="Arial"/>
          <w:lang w:val="en-US"/>
        </w:rPr>
        <w:t xml:space="preserve">, </w:t>
      </w:r>
      <w:r w:rsidRPr="00C67C50">
        <w:rPr>
          <w:rFonts w:ascii="Arial" w:hAnsi="Arial" w:cs="Arial"/>
          <w:i/>
          <w:iCs/>
          <w:lang w:val="en-US"/>
        </w:rPr>
        <w:t>26</w:t>
      </w:r>
      <w:r w:rsidRPr="00C67C50">
        <w:rPr>
          <w:rFonts w:ascii="Arial" w:hAnsi="Arial" w:cs="Arial"/>
          <w:lang w:val="en-US"/>
        </w:rPr>
        <w:t>(8), 939–960. https://doi.org/10.1068/p260939</w:t>
      </w:r>
    </w:p>
    <w:p w14:paraId="60F746DF"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Wojciulik, E., Kanwisher, N., &amp; Driver, J. (1998). Covert Visual Attention Modulates Face-Specific Activity in the Human Fusiform Gyrus: FMRI Study. </w:t>
      </w:r>
      <w:r w:rsidRPr="00C67C50">
        <w:rPr>
          <w:rFonts w:ascii="Arial" w:hAnsi="Arial" w:cs="Arial"/>
          <w:i/>
          <w:iCs/>
          <w:lang w:val="en-US"/>
        </w:rPr>
        <w:t>Journal of Neurophysiology</w:t>
      </w:r>
      <w:r w:rsidRPr="00C67C50">
        <w:rPr>
          <w:rFonts w:ascii="Arial" w:hAnsi="Arial" w:cs="Arial"/>
          <w:lang w:val="en-US"/>
        </w:rPr>
        <w:t xml:space="preserve">, </w:t>
      </w:r>
      <w:r w:rsidRPr="00C67C50">
        <w:rPr>
          <w:rFonts w:ascii="Arial" w:hAnsi="Arial" w:cs="Arial"/>
          <w:i/>
          <w:iCs/>
          <w:lang w:val="en-US"/>
        </w:rPr>
        <w:t>79</w:t>
      </w:r>
      <w:r w:rsidRPr="00C67C50">
        <w:rPr>
          <w:rFonts w:ascii="Arial" w:hAnsi="Arial" w:cs="Arial"/>
          <w:lang w:val="en-US"/>
        </w:rPr>
        <w:t>(3), 1574–1578. https://doi.org/10.1152/jn.1998.79.3.1574</w:t>
      </w:r>
    </w:p>
    <w:p w14:paraId="0966C835"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Xing, Y., Ledgeway, T., McGraw, P. V., &amp; Schluppeck, D. (2013). Decoding working memory of stimulus contrast in early visual cortex. </w:t>
      </w:r>
      <w:r w:rsidRPr="00C67C50">
        <w:rPr>
          <w:rFonts w:ascii="Arial" w:hAnsi="Arial" w:cs="Arial"/>
          <w:i/>
          <w:iCs/>
          <w:lang w:val="en-US"/>
        </w:rPr>
        <w:t xml:space="preserve">The </w:t>
      </w:r>
      <w:r w:rsidRPr="00C67C50">
        <w:rPr>
          <w:rFonts w:ascii="Arial" w:hAnsi="Arial" w:cs="Arial"/>
          <w:i/>
          <w:iCs/>
          <w:lang w:val="en-US"/>
        </w:rPr>
        <w:lastRenderedPageBreak/>
        <w:t>Journal of Neuroscience: The Official Journal of the Society for Neuroscience</w:t>
      </w:r>
      <w:r w:rsidRPr="00C67C50">
        <w:rPr>
          <w:rFonts w:ascii="Arial" w:hAnsi="Arial" w:cs="Arial"/>
          <w:lang w:val="en-US"/>
        </w:rPr>
        <w:t xml:space="preserve">, </w:t>
      </w:r>
      <w:r w:rsidRPr="00C67C50">
        <w:rPr>
          <w:rFonts w:ascii="Arial" w:hAnsi="Arial" w:cs="Arial"/>
          <w:i/>
          <w:iCs/>
          <w:lang w:val="en-US"/>
        </w:rPr>
        <w:t>33</w:t>
      </w:r>
      <w:r w:rsidRPr="00C67C50">
        <w:rPr>
          <w:rFonts w:ascii="Arial" w:hAnsi="Arial" w:cs="Arial"/>
          <w:lang w:val="en-US"/>
        </w:rPr>
        <w:t>(25), 10301–10311. https://doi.org/10.1523/JNEUROSCI.3754-12.2013</w:t>
      </w:r>
    </w:p>
    <w:p w14:paraId="471B620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Yi, D.-J., Kelley, T. A., Marois, R., &amp; Chun, M. M. (2006). Attentional modulation of repetition attenuation is anatomically dissociable for scenes and faces. </w:t>
      </w:r>
      <w:r w:rsidRPr="00C67C50">
        <w:rPr>
          <w:rFonts w:ascii="Arial" w:hAnsi="Arial" w:cs="Arial"/>
          <w:i/>
          <w:iCs/>
          <w:lang w:val="en-US"/>
        </w:rPr>
        <w:t>Brain Research</w:t>
      </w:r>
      <w:r w:rsidRPr="00C67C50">
        <w:rPr>
          <w:rFonts w:ascii="Arial" w:hAnsi="Arial" w:cs="Arial"/>
          <w:lang w:val="en-US"/>
        </w:rPr>
        <w:t xml:space="preserve">, </w:t>
      </w:r>
      <w:r w:rsidRPr="00C67C50">
        <w:rPr>
          <w:rFonts w:ascii="Arial" w:hAnsi="Arial" w:cs="Arial"/>
          <w:i/>
          <w:iCs/>
          <w:lang w:val="en-US"/>
        </w:rPr>
        <w:t>1080</w:t>
      </w:r>
      <w:r w:rsidRPr="00C67C50">
        <w:rPr>
          <w:rFonts w:ascii="Arial" w:hAnsi="Arial" w:cs="Arial"/>
          <w:lang w:val="en-US"/>
        </w:rPr>
        <w:t>(1), 53–62. https://doi.org/10.1016/j.brainres.2006.01.090</w:t>
      </w:r>
    </w:p>
    <w:p w14:paraId="008BCEE2"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Zeki, S. (1990). A century of cerebral achromatopsia. </w:t>
      </w:r>
      <w:r w:rsidRPr="00C67C50">
        <w:rPr>
          <w:rFonts w:ascii="Arial" w:hAnsi="Arial" w:cs="Arial"/>
          <w:i/>
          <w:iCs/>
          <w:lang w:val="en-US"/>
        </w:rPr>
        <w:t>Brain: A Journal of Neurology</w:t>
      </w:r>
      <w:r w:rsidRPr="00C67C50">
        <w:rPr>
          <w:rFonts w:ascii="Arial" w:hAnsi="Arial" w:cs="Arial"/>
          <w:lang w:val="en-US"/>
        </w:rPr>
        <w:t xml:space="preserve">, </w:t>
      </w:r>
      <w:r w:rsidRPr="00C67C50">
        <w:rPr>
          <w:rFonts w:ascii="Arial" w:hAnsi="Arial" w:cs="Arial"/>
          <w:i/>
          <w:iCs/>
          <w:lang w:val="en-US"/>
        </w:rPr>
        <w:t>113 ( Pt 6)</w:t>
      </w:r>
      <w:r w:rsidRPr="00C67C50">
        <w:rPr>
          <w:rFonts w:ascii="Arial" w:hAnsi="Arial" w:cs="Arial"/>
          <w:lang w:val="en-US"/>
        </w:rPr>
        <w:t>, 1721–1777. https://doi.org/10.1093/brain/113.6.1721</w:t>
      </w:r>
    </w:p>
    <w:p w14:paraId="0E8C53A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Zeki, S. (2004). Thirty years of a very special visual area, Area V5. </w:t>
      </w:r>
      <w:r w:rsidRPr="00C67C50">
        <w:rPr>
          <w:rFonts w:ascii="Arial" w:hAnsi="Arial" w:cs="Arial"/>
          <w:i/>
          <w:iCs/>
          <w:lang w:val="en-US"/>
        </w:rPr>
        <w:t>The Journal of Physiology</w:t>
      </w:r>
      <w:r w:rsidRPr="00C67C50">
        <w:rPr>
          <w:rFonts w:ascii="Arial" w:hAnsi="Arial" w:cs="Arial"/>
          <w:lang w:val="en-US"/>
        </w:rPr>
        <w:t xml:space="preserve">, </w:t>
      </w:r>
      <w:r w:rsidRPr="00C67C50">
        <w:rPr>
          <w:rFonts w:ascii="Arial" w:hAnsi="Arial" w:cs="Arial"/>
          <w:i/>
          <w:iCs/>
          <w:lang w:val="en-US"/>
        </w:rPr>
        <w:t>557</w:t>
      </w:r>
      <w:r w:rsidRPr="00C67C50">
        <w:rPr>
          <w:rFonts w:ascii="Arial" w:hAnsi="Arial" w:cs="Arial"/>
          <w:lang w:val="en-US"/>
        </w:rPr>
        <w:t>(Pt 1), 1–2. https://doi.org/10.1113/jphysiol.2004.063040</w:t>
      </w:r>
    </w:p>
    <w:p w14:paraId="3871CCD7"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Zeki, S. M. (1969). Representation of central visual fields in prestriate cortex of monkey. </w:t>
      </w:r>
      <w:r w:rsidRPr="00C67C50">
        <w:rPr>
          <w:rFonts w:ascii="Arial" w:hAnsi="Arial" w:cs="Arial"/>
          <w:i/>
          <w:iCs/>
          <w:lang w:val="en-US"/>
        </w:rPr>
        <w:t>Brain Research</w:t>
      </w:r>
      <w:r w:rsidRPr="00C67C50">
        <w:rPr>
          <w:rFonts w:ascii="Arial" w:hAnsi="Arial" w:cs="Arial"/>
          <w:lang w:val="en-US"/>
        </w:rPr>
        <w:t xml:space="preserve">, </w:t>
      </w:r>
      <w:r w:rsidRPr="00C67C50">
        <w:rPr>
          <w:rFonts w:ascii="Arial" w:hAnsi="Arial" w:cs="Arial"/>
          <w:i/>
          <w:iCs/>
          <w:lang w:val="en-US"/>
        </w:rPr>
        <w:t>14</w:t>
      </w:r>
      <w:r w:rsidRPr="00C67C50">
        <w:rPr>
          <w:rFonts w:ascii="Arial" w:hAnsi="Arial" w:cs="Arial"/>
          <w:lang w:val="en-US"/>
        </w:rPr>
        <w:t>(2), 271–291.</w:t>
      </w:r>
    </w:p>
    <w:p w14:paraId="00CC28AB"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Zeki, S. M. (1973). Colour coding in rhesus monkey prestriate cortex. </w:t>
      </w:r>
      <w:r w:rsidRPr="00C67C50">
        <w:rPr>
          <w:rFonts w:ascii="Arial" w:hAnsi="Arial" w:cs="Arial"/>
          <w:i/>
          <w:iCs/>
          <w:lang w:val="en-US"/>
        </w:rPr>
        <w:t>Brain Research</w:t>
      </w:r>
      <w:r w:rsidRPr="00C67C50">
        <w:rPr>
          <w:rFonts w:ascii="Arial" w:hAnsi="Arial" w:cs="Arial"/>
          <w:lang w:val="en-US"/>
        </w:rPr>
        <w:t xml:space="preserve">, </w:t>
      </w:r>
      <w:r w:rsidRPr="00C67C50">
        <w:rPr>
          <w:rFonts w:ascii="Arial" w:hAnsi="Arial" w:cs="Arial"/>
          <w:i/>
          <w:iCs/>
          <w:lang w:val="en-US"/>
        </w:rPr>
        <w:t>53</w:t>
      </w:r>
      <w:r w:rsidRPr="00C67C50">
        <w:rPr>
          <w:rFonts w:ascii="Arial" w:hAnsi="Arial" w:cs="Arial"/>
          <w:lang w:val="en-US"/>
        </w:rPr>
        <w:t>(2), 422–427.</w:t>
      </w:r>
    </w:p>
    <w:p w14:paraId="3340C7BE"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Zeki, S. M. (1978). Functional specialisation in the visual cortex of the rhesus monkey. </w:t>
      </w:r>
      <w:r w:rsidRPr="00C67C50">
        <w:rPr>
          <w:rFonts w:ascii="Arial" w:hAnsi="Arial" w:cs="Arial"/>
          <w:i/>
          <w:iCs/>
          <w:lang w:val="en-US"/>
        </w:rPr>
        <w:t>Nature</w:t>
      </w:r>
      <w:r w:rsidRPr="00C67C50">
        <w:rPr>
          <w:rFonts w:ascii="Arial" w:hAnsi="Arial" w:cs="Arial"/>
          <w:lang w:val="en-US"/>
        </w:rPr>
        <w:t xml:space="preserve">, </w:t>
      </w:r>
      <w:r w:rsidRPr="00C67C50">
        <w:rPr>
          <w:rFonts w:ascii="Arial" w:hAnsi="Arial" w:cs="Arial"/>
          <w:i/>
          <w:iCs/>
          <w:lang w:val="en-US"/>
        </w:rPr>
        <w:t>274</w:t>
      </w:r>
      <w:r w:rsidRPr="00C67C50">
        <w:rPr>
          <w:rFonts w:ascii="Arial" w:hAnsi="Arial" w:cs="Arial"/>
          <w:lang w:val="en-US"/>
        </w:rPr>
        <w:t>(5670), 423–428.</w:t>
      </w:r>
    </w:p>
    <w:p w14:paraId="573B9086" w14:textId="77777777" w:rsidR="00CB265E" w:rsidRPr="00C67C50" w:rsidRDefault="00CB265E" w:rsidP="00CB265E">
      <w:pPr>
        <w:pStyle w:val="Bibliography"/>
        <w:rPr>
          <w:rFonts w:ascii="Arial" w:hAnsi="Arial" w:cs="Arial"/>
          <w:lang w:val="en-US"/>
        </w:rPr>
      </w:pPr>
      <w:r w:rsidRPr="00C67C50">
        <w:rPr>
          <w:rFonts w:ascii="Arial" w:hAnsi="Arial" w:cs="Arial"/>
          <w:lang w:val="en-US"/>
        </w:rPr>
        <w:t xml:space="preserve">Zihl, J., von Cramon, D., Mai, N., &amp; Schmid, C. (1991). Disturbance of movement vision after bilateral posterior brain damage. Further evidence and follow up observations. </w:t>
      </w:r>
      <w:r w:rsidRPr="00C67C50">
        <w:rPr>
          <w:rFonts w:ascii="Arial" w:hAnsi="Arial" w:cs="Arial"/>
          <w:i/>
          <w:iCs/>
          <w:lang w:val="en-US"/>
        </w:rPr>
        <w:t>Brain: A Journal of Neurology</w:t>
      </w:r>
      <w:r w:rsidRPr="00C67C50">
        <w:rPr>
          <w:rFonts w:ascii="Arial" w:hAnsi="Arial" w:cs="Arial"/>
          <w:lang w:val="en-US"/>
        </w:rPr>
        <w:t xml:space="preserve">, </w:t>
      </w:r>
      <w:r w:rsidRPr="00C67C50">
        <w:rPr>
          <w:rFonts w:ascii="Arial" w:hAnsi="Arial" w:cs="Arial"/>
          <w:i/>
          <w:iCs/>
          <w:lang w:val="en-US"/>
        </w:rPr>
        <w:t>114 ( Pt 5)</w:t>
      </w:r>
      <w:r w:rsidRPr="00C67C50">
        <w:rPr>
          <w:rFonts w:ascii="Arial" w:hAnsi="Arial" w:cs="Arial"/>
          <w:lang w:val="en-US"/>
        </w:rPr>
        <w:t>, 2235–2252. https://doi.org/10.1093/brain/114.5.2235</w:t>
      </w:r>
    </w:p>
    <w:p w14:paraId="23245B7B" w14:textId="77777777" w:rsidR="00CB265E" w:rsidRPr="00C67C50" w:rsidRDefault="00CB265E" w:rsidP="00CB265E">
      <w:pPr>
        <w:rPr>
          <w:rFonts w:ascii="Arial" w:hAnsi="Arial" w:cs="Arial"/>
        </w:rPr>
      </w:pPr>
      <w:r w:rsidRPr="00C67C50">
        <w:rPr>
          <w:rFonts w:ascii="Arial" w:hAnsi="Arial" w:cs="Arial"/>
        </w:rPr>
        <w:fldChar w:fldCharType="end"/>
      </w:r>
    </w:p>
    <w:p w14:paraId="5A2862AF" w14:textId="0BB21011" w:rsidR="00CA3B0D" w:rsidRPr="00CA3B0D" w:rsidRDefault="00CA3B0D" w:rsidP="00085A82">
      <w:pPr>
        <w:pStyle w:val="Bibliography"/>
      </w:pPr>
    </w:p>
    <w:sectPr w:rsidR="00CA3B0D" w:rsidRPr="00CA3B0D" w:rsidSect="00AE6937">
      <w:footerReference w:type="even" r:id="rId85"/>
      <w:footerReference w:type="default" r:id="rId86"/>
      <w:pgSz w:w="11900" w:h="16840"/>
      <w:pgMar w:top="1160" w:right="1440" w:bottom="1440"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81FD75" w14:textId="77777777" w:rsidR="00F77F86" w:rsidRDefault="00F77F86" w:rsidP="00A2128A">
      <w:r>
        <w:separator/>
      </w:r>
    </w:p>
  </w:endnote>
  <w:endnote w:type="continuationSeparator" w:id="0">
    <w:p w14:paraId="4603840F" w14:textId="77777777" w:rsidR="00F77F86" w:rsidRDefault="00F77F86" w:rsidP="00A212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94443433"/>
      <w:docPartObj>
        <w:docPartGallery w:val="Page Numbers (Bottom of Page)"/>
        <w:docPartUnique/>
      </w:docPartObj>
    </w:sdtPr>
    <w:sdtEndPr>
      <w:rPr>
        <w:rStyle w:val="PageNumber"/>
      </w:rPr>
    </w:sdtEndPr>
    <w:sdtContent>
      <w:p w14:paraId="596604E1" w14:textId="658F0EAE" w:rsidR="00C93BE0" w:rsidRDefault="00C93BE0" w:rsidP="0031168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9E60BF9" w14:textId="77777777" w:rsidR="00C93BE0" w:rsidRDefault="00C93BE0" w:rsidP="0078106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rPr>
      <w:id w:val="651183873"/>
      <w:docPartObj>
        <w:docPartGallery w:val="Page Numbers (Bottom of Page)"/>
        <w:docPartUnique/>
      </w:docPartObj>
    </w:sdtPr>
    <w:sdtEndPr>
      <w:rPr>
        <w:rStyle w:val="PageNumber"/>
      </w:rPr>
    </w:sdtEndPr>
    <w:sdtContent>
      <w:p w14:paraId="410B89E4" w14:textId="32110010" w:rsidR="00C93BE0" w:rsidRPr="00781062" w:rsidRDefault="00C93BE0" w:rsidP="00781062">
        <w:pPr>
          <w:pStyle w:val="Footer"/>
          <w:framePr w:wrap="none" w:vAnchor="text" w:hAnchor="page" w:x="10299" w:y="12"/>
          <w:rPr>
            <w:rStyle w:val="PageNumber"/>
            <w:rFonts w:ascii="Arial" w:hAnsi="Arial" w:cs="Arial"/>
          </w:rPr>
        </w:pPr>
        <w:r w:rsidRPr="00781062">
          <w:rPr>
            <w:rStyle w:val="PageNumber"/>
            <w:rFonts w:ascii="Arial" w:hAnsi="Arial" w:cs="Arial"/>
          </w:rPr>
          <w:fldChar w:fldCharType="begin"/>
        </w:r>
        <w:r w:rsidRPr="00781062">
          <w:rPr>
            <w:rStyle w:val="PageNumber"/>
            <w:rFonts w:ascii="Arial" w:hAnsi="Arial" w:cs="Arial"/>
          </w:rPr>
          <w:instrText xml:space="preserve"> PAGE </w:instrText>
        </w:r>
        <w:r w:rsidRPr="00781062">
          <w:rPr>
            <w:rStyle w:val="PageNumber"/>
            <w:rFonts w:ascii="Arial" w:hAnsi="Arial" w:cs="Arial"/>
          </w:rPr>
          <w:fldChar w:fldCharType="separate"/>
        </w:r>
        <w:r w:rsidRPr="00781062">
          <w:rPr>
            <w:rStyle w:val="PageNumber"/>
            <w:rFonts w:ascii="Arial" w:hAnsi="Arial" w:cs="Arial"/>
            <w:noProof/>
          </w:rPr>
          <w:t>2</w:t>
        </w:r>
        <w:r w:rsidRPr="00781062">
          <w:rPr>
            <w:rStyle w:val="PageNumber"/>
            <w:rFonts w:ascii="Arial" w:hAnsi="Arial" w:cs="Arial"/>
          </w:rPr>
          <w:fldChar w:fldCharType="end"/>
        </w:r>
      </w:p>
    </w:sdtContent>
  </w:sdt>
  <w:p w14:paraId="1F23F21A" w14:textId="77777777" w:rsidR="00C93BE0" w:rsidRDefault="00C93BE0" w:rsidP="0078106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F38594" w14:textId="77777777" w:rsidR="00F77F86" w:rsidRDefault="00F77F86" w:rsidP="00A2128A">
      <w:r>
        <w:separator/>
      </w:r>
    </w:p>
  </w:footnote>
  <w:footnote w:type="continuationSeparator" w:id="0">
    <w:p w14:paraId="5F1D5815" w14:textId="77777777" w:rsidR="00F77F86" w:rsidRDefault="00F77F86" w:rsidP="00A2128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2B56F7"/>
    <w:multiLevelType w:val="multilevel"/>
    <w:tmpl w:val="2EE2E440"/>
    <w:lvl w:ilvl="0">
      <w:start w:val="1"/>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 w15:restartNumberingAfterBreak="0">
    <w:nsid w:val="12F044C7"/>
    <w:multiLevelType w:val="multilevel"/>
    <w:tmpl w:val="B07AC5C4"/>
    <w:lvl w:ilvl="0">
      <w:start w:val="4"/>
      <w:numFmt w:val="decimal"/>
      <w:lvlText w:val="%1"/>
      <w:lvlJc w:val="left"/>
      <w:pPr>
        <w:ind w:left="360" w:hanging="3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214A43A0"/>
    <w:multiLevelType w:val="multilevel"/>
    <w:tmpl w:val="3446E9D4"/>
    <w:lvl w:ilvl="0">
      <w:start w:val="4"/>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2AF6542D"/>
    <w:multiLevelType w:val="hybridMultilevel"/>
    <w:tmpl w:val="877C46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B997E0F"/>
    <w:multiLevelType w:val="hybridMultilevel"/>
    <w:tmpl w:val="A26446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8557E27"/>
    <w:multiLevelType w:val="multilevel"/>
    <w:tmpl w:val="E6FE5D90"/>
    <w:lvl w:ilvl="0">
      <w:start w:val="3"/>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5F81295F"/>
    <w:multiLevelType w:val="multilevel"/>
    <w:tmpl w:val="B1AA54B4"/>
    <w:lvl w:ilvl="0">
      <w:start w:val="6"/>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61CD400C"/>
    <w:multiLevelType w:val="multilevel"/>
    <w:tmpl w:val="B1AA54B4"/>
    <w:lvl w:ilvl="0">
      <w:start w:val="5"/>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62A05D89"/>
    <w:multiLevelType w:val="hybridMultilevel"/>
    <w:tmpl w:val="3C5A9C56"/>
    <w:lvl w:ilvl="0" w:tplc="0B7E2408">
      <w:start w:val="1"/>
      <w:numFmt w:val="decimal"/>
      <w:lvlText w:val="%1)"/>
      <w:lvlJc w:val="left"/>
      <w:pPr>
        <w:ind w:left="720" w:hanging="360"/>
      </w:pPr>
      <w:rPr>
        <w:rFonts w:ascii="Arial" w:eastAsia="Times New Roma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C025156"/>
    <w:multiLevelType w:val="multilevel"/>
    <w:tmpl w:val="4B72A38A"/>
    <w:lvl w:ilvl="0">
      <w:start w:val="2"/>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749969DF"/>
    <w:multiLevelType w:val="hybridMultilevel"/>
    <w:tmpl w:val="55D66EC6"/>
    <w:lvl w:ilvl="0" w:tplc="1E063478">
      <w:start w:val="1"/>
      <w:numFmt w:val="decimal"/>
      <w:lvlText w:val="%1)"/>
      <w:lvlJc w:val="left"/>
      <w:pPr>
        <w:ind w:left="720" w:hanging="360"/>
      </w:pPr>
      <w:rPr>
        <w:rFonts w:ascii="Arial" w:eastAsia="Times New Roma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C535A7E"/>
    <w:multiLevelType w:val="hybridMultilevel"/>
    <w:tmpl w:val="185ABDF0"/>
    <w:lvl w:ilvl="0" w:tplc="0409000F">
      <w:start w:val="1"/>
      <w:numFmt w:val="decimal"/>
      <w:lvlText w:val="%1."/>
      <w:lvlJc w:val="left"/>
      <w:pPr>
        <w:ind w:left="578" w:hanging="360"/>
      </w:pPr>
    </w:lvl>
    <w:lvl w:ilvl="1" w:tplc="04090019" w:tentative="1">
      <w:start w:val="1"/>
      <w:numFmt w:val="lowerLetter"/>
      <w:lvlText w:val="%2."/>
      <w:lvlJc w:val="left"/>
      <w:pPr>
        <w:ind w:left="1298" w:hanging="360"/>
      </w:pPr>
    </w:lvl>
    <w:lvl w:ilvl="2" w:tplc="0409001B" w:tentative="1">
      <w:start w:val="1"/>
      <w:numFmt w:val="lowerRoman"/>
      <w:lvlText w:val="%3."/>
      <w:lvlJc w:val="right"/>
      <w:pPr>
        <w:ind w:left="2018" w:hanging="180"/>
      </w:pPr>
    </w:lvl>
    <w:lvl w:ilvl="3" w:tplc="0409000F" w:tentative="1">
      <w:start w:val="1"/>
      <w:numFmt w:val="decimal"/>
      <w:lvlText w:val="%4."/>
      <w:lvlJc w:val="left"/>
      <w:pPr>
        <w:ind w:left="2738" w:hanging="360"/>
      </w:pPr>
    </w:lvl>
    <w:lvl w:ilvl="4" w:tplc="04090019" w:tentative="1">
      <w:start w:val="1"/>
      <w:numFmt w:val="lowerLetter"/>
      <w:lvlText w:val="%5."/>
      <w:lvlJc w:val="left"/>
      <w:pPr>
        <w:ind w:left="3458" w:hanging="360"/>
      </w:pPr>
    </w:lvl>
    <w:lvl w:ilvl="5" w:tplc="0409001B" w:tentative="1">
      <w:start w:val="1"/>
      <w:numFmt w:val="lowerRoman"/>
      <w:lvlText w:val="%6."/>
      <w:lvlJc w:val="right"/>
      <w:pPr>
        <w:ind w:left="4178" w:hanging="180"/>
      </w:pPr>
    </w:lvl>
    <w:lvl w:ilvl="6" w:tplc="0409000F" w:tentative="1">
      <w:start w:val="1"/>
      <w:numFmt w:val="decimal"/>
      <w:lvlText w:val="%7."/>
      <w:lvlJc w:val="left"/>
      <w:pPr>
        <w:ind w:left="4898" w:hanging="360"/>
      </w:pPr>
    </w:lvl>
    <w:lvl w:ilvl="7" w:tplc="04090019" w:tentative="1">
      <w:start w:val="1"/>
      <w:numFmt w:val="lowerLetter"/>
      <w:lvlText w:val="%8."/>
      <w:lvlJc w:val="left"/>
      <w:pPr>
        <w:ind w:left="5618" w:hanging="360"/>
      </w:pPr>
    </w:lvl>
    <w:lvl w:ilvl="8" w:tplc="0409001B" w:tentative="1">
      <w:start w:val="1"/>
      <w:numFmt w:val="lowerRoman"/>
      <w:lvlText w:val="%9."/>
      <w:lvlJc w:val="right"/>
      <w:pPr>
        <w:ind w:left="6338" w:hanging="180"/>
      </w:pPr>
    </w:lvl>
  </w:abstractNum>
  <w:num w:numId="1">
    <w:abstractNumId w:val="3"/>
  </w:num>
  <w:num w:numId="2">
    <w:abstractNumId w:val="0"/>
  </w:num>
  <w:num w:numId="3">
    <w:abstractNumId w:val="9"/>
  </w:num>
  <w:num w:numId="4">
    <w:abstractNumId w:val="5"/>
  </w:num>
  <w:num w:numId="5">
    <w:abstractNumId w:val="1"/>
  </w:num>
  <w:num w:numId="6">
    <w:abstractNumId w:val="7"/>
  </w:num>
  <w:num w:numId="7">
    <w:abstractNumId w:val="6"/>
  </w:num>
  <w:num w:numId="8">
    <w:abstractNumId w:val="2"/>
  </w:num>
  <w:num w:numId="9">
    <w:abstractNumId w:val="4"/>
  </w:num>
  <w:num w:numId="10">
    <w:abstractNumId w:val="11"/>
  </w:num>
  <w:num w:numId="11">
    <w:abstractNumId w:val="10"/>
  </w:num>
  <w:num w:numId="12">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3570"/>
    <w:rsid w:val="00002932"/>
    <w:rsid w:val="00006397"/>
    <w:rsid w:val="000123A8"/>
    <w:rsid w:val="000128DD"/>
    <w:rsid w:val="00014957"/>
    <w:rsid w:val="0002201F"/>
    <w:rsid w:val="00023D9B"/>
    <w:rsid w:val="000253E2"/>
    <w:rsid w:val="0003210C"/>
    <w:rsid w:val="00034C2E"/>
    <w:rsid w:val="00045BF0"/>
    <w:rsid w:val="00045C3F"/>
    <w:rsid w:val="00050861"/>
    <w:rsid w:val="00052174"/>
    <w:rsid w:val="000550EB"/>
    <w:rsid w:val="00061558"/>
    <w:rsid w:val="00085A82"/>
    <w:rsid w:val="00091CBA"/>
    <w:rsid w:val="000968AD"/>
    <w:rsid w:val="0009704F"/>
    <w:rsid w:val="00097773"/>
    <w:rsid w:val="000B2185"/>
    <w:rsid w:val="000B2199"/>
    <w:rsid w:val="000B2FA8"/>
    <w:rsid w:val="000B6686"/>
    <w:rsid w:val="000C5013"/>
    <w:rsid w:val="000C655E"/>
    <w:rsid w:val="000C73FA"/>
    <w:rsid w:val="000D0EC2"/>
    <w:rsid w:val="000E7192"/>
    <w:rsid w:val="000F294B"/>
    <w:rsid w:val="000F7CA8"/>
    <w:rsid w:val="001129A5"/>
    <w:rsid w:val="00120586"/>
    <w:rsid w:val="00127A5F"/>
    <w:rsid w:val="001306AD"/>
    <w:rsid w:val="001357AE"/>
    <w:rsid w:val="00135AE8"/>
    <w:rsid w:val="001404E7"/>
    <w:rsid w:val="00140B4B"/>
    <w:rsid w:val="00150518"/>
    <w:rsid w:val="0015265C"/>
    <w:rsid w:val="00160DE0"/>
    <w:rsid w:val="001647C9"/>
    <w:rsid w:val="00165499"/>
    <w:rsid w:val="0016750D"/>
    <w:rsid w:val="00170639"/>
    <w:rsid w:val="00170F98"/>
    <w:rsid w:val="00174623"/>
    <w:rsid w:val="00174E3F"/>
    <w:rsid w:val="001811CC"/>
    <w:rsid w:val="00182859"/>
    <w:rsid w:val="00183D44"/>
    <w:rsid w:val="00192E9C"/>
    <w:rsid w:val="00194172"/>
    <w:rsid w:val="00194AB2"/>
    <w:rsid w:val="001A3A8E"/>
    <w:rsid w:val="001A4E42"/>
    <w:rsid w:val="001A53F5"/>
    <w:rsid w:val="001A7934"/>
    <w:rsid w:val="001B0CEA"/>
    <w:rsid w:val="001B66AC"/>
    <w:rsid w:val="001B7359"/>
    <w:rsid w:val="001D18C3"/>
    <w:rsid w:val="001D68AC"/>
    <w:rsid w:val="001E05AF"/>
    <w:rsid w:val="001F140E"/>
    <w:rsid w:val="001F5BEE"/>
    <w:rsid w:val="00204400"/>
    <w:rsid w:val="002077EC"/>
    <w:rsid w:val="00225AB0"/>
    <w:rsid w:val="00232278"/>
    <w:rsid w:val="00233230"/>
    <w:rsid w:val="00243F32"/>
    <w:rsid w:val="00247DB8"/>
    <w:rsid w:val="00253896"/>
    <w:rsid w:val="00262E50"/>
    <w:rsid w:val="0027617C"/>
    <w:rsid w:val="00282194"/>
    <w:rsid w:val="00287C67"/>
    <w:rsid w:val="00287CC2"/>
    <w:rsid w:val="00291DCE"/>
    <w:rsid w:val="00293113"/>
    <w:rsid w:val="002A134D"/>
    <w:rsid w:val="002A5BDC"/>
    <w:rsid w:val="002A698F"/>
    <w:rsid w:val="002B1590"/>
    <w:rsid w:val="002B5747"/>
    <w:rsid w:val="002C1268"/>
    <w:rsid w:val="002C5313"/>
    <w:rsid w:val="002D5B42"/>
    <w:rsid w:val="002E061B"/>
    <w:rsid w:val="002E0E81"/>
    <w:rsid w:val="002E4B61"/>
    <w:rsid w:val="002E55BD"/>
    <w:rsid w:val="002E74BD"/>
    <w:rsid w:val="002F3392"/>
    <w:rsid w:val="002F4064"/>
    <w:rsid w:val="002F4BDC"/>
    <w:rsid w:val="002F7D91"/>
    <w:rsid w:val="00300CFD"/>
    <w:rsid w:val="0031168D"/>
    <w:rsid w:val="00320E4F"/>
    <w:rsid w:val="00321AB9"/>
    <w:rsid w:val="00331B19"/>
    <w:rsid w:val="00335017"/>
    <w:rsid w:val="003360D5"/>
    <w:rsid w:val="003526EF"/>
    <w:rsid w:val="00352DE5"/>
    <w:rsid w:val="00371E7B"/>
    <w:rsid w:val="003730E4"/>
    <w:rsid w:val="00386D73"/>
    <w:rsid w:val="003874FF"/>
    <w:rsid w:val="00392F6D"/>
    <w:rsid w:val="0039680E"/>
    <w:rsid w:val="003A1754"/>
    <w:rsid w:val="003A5231"/>
    <w:rsid w:val="003B45EA"/>
    <w:rsid w:val="003B4A7A"/>
    <w:rsid w:val="003B4B4C"/>
    <w:rsid w:val="003C0770"/>
    <w:rsid w:val="003C36C6"/>
    <w:rsid w:val="003C6BD7"/>
    <w:rsid w:val="003E72ED"/>
    <w:rsid w:val="003E7861"/>
    <w:rsid w:val="003F0EF7"/>
    <w:rsid w:val="003F31E0"/>
    <w:rsid w:val="003F7DCD"/>
    <w:rsid w:val="00416DB7"/>
    <w:rsid w:val="00426668"/>
    <w:rsid w:val="0043574A"/>
    <w:rsid w:val="00437176"/>
    <w:rsid w:val="00452148"/>
    <w:rsid w:val="00452C84"/>
    <w:rsid w:val="004537A0"/>
    <w:rsid w:val="00455E2F"/>
    <w:rsid w:val="00461807"/>
    <w:rsid w:val="00461CEE"/>
    <w:rsid w:val="00462A00"/>
    <w:rsid w:val="00463B77"/>
    <w:rsid w:val="004669FD"/>
    <w:rsid w:val="00472A37"/>
    <w:rsid w:val="00493FF5"/>
    <w:rsid w:val="004A3960"/>
    <w:rsid w:val="004A3DE3"/>
    <w:rsid w:val="004B14BC"/>
    <w:rsid w:val="004B2501"/>
    <w:rsid w:val="004B3C0B"/>
    <w:rsid w:val="004C0908"/>
    <w:rsid w:val="004D4B70"/>
    <w:rsid w:val="004E41A6"/>
    <w:rsid w:val="004E445C"/>
    <w:rsid w:val="004E5F61"/>
    <w:rsid w:val="004E6D8A"/>
    <w:rsid w:val="004E71CF"/>
    <w:rsid w:val="004F7655"/>
    <w:rsid w:val="00503871"/>
    <w:rsid w:val="00511B2E"/>
    <w:rsid w:val="00517F75"/>
    <w:rsid w:val="005226C0"/>
    <w:rsid w:val="00523227"/>
    <w:rsid w:val="005347E1"/>
    <w:rsid w:val="0053489E"/>
    <w:rsid w:val="00537E7A"/>
    <w:rsid w:val="00551AA1"/>
    <w:rsid w:val="005552F8"/>
    <w:rsid w:val="005564D2"/>
    <w:rsid w:val="00560133"/>
    <w:rsid w:val="0056627D"/>
    <w:rsid w:val="00567DA4"/>
    <w:rsid w:val="00576FEE"/>
    <w:rsid w:val="0058546F"/>
    <w:rsid w:val="005858E6"/>
    <w:rsid w:val="00591FA4"/>
    <w:rsid w:val="005A0ED3"/>
    <w:rsid w:val="005A21A4"/>
    <w:rsid w:val="005A2C8D"/>
    <w:rsid w:val="005A75F0"/>
    <w:rsid w:val="005A7B37"/>
    <w:rsid w:val="005B4361"/>
    <w:rsid w:val="005B7A38"/>
    <w:rsid w:val="005C603F"/>
    <w:rsid w:val="005D36E4"/>
    <w:rsid w:val="005D64C7"/>
    <w:rsid w:val="005E4376"/>
    <w:rsid w:val="005F506A"/>
    <w:rsid w:val="0060072E"/>
    <w:rsid w:val="00601836"/>
    <w:rsid w:val="00606D83"/>
    <w:rsid w:val="00607636"/>
    <w:rsid w:val="00611A83"/>
    <w:rsid w:val="0061789A"/>
    <w:rsid w:val="00624D44"/>
    <w:rsid w:val="00626469"/>
    <w:rsid w:val="00642DA9"/>
    <w:rsid w:val="00643362"/>
    <w:rsid w:val="00647752"/>
    <w:rsid w:val="00652CF7"/>
    <w:rsid w:val="006672D3"/>
    <w:rsid w:val="00675D1F"/>
    <w:rsid w:val="006766C5"/>
    <w:rsid w:val="006811AC"/>
    <w:rsid w:val="006832FB"/>
    <w:rsid w:val="00684C52"/>
    <w:rsid w:val="00684ED4"/>
    <w:rsid w:val="0068545F"/>
    <w:rsid w:val="00685720"/>
    <w:rsid w:val="00686133"/>
    <w:rsid w:val="00697512"/>
    <w:rsid w:val="006A2FD0"/>
    <w:rsid w:val="006A6E96"/>
    <w:rsid w:val="006B23E9"/>
    <w:rsid w:val="006C58E6"/>
    <w:rsid w:val="006D65A9"/>
    <w:rsid w:val="006F425C"/>
    <w:rsid w:val="00707B52"/>
    <w:rsid w:val="007107D5"/>
    <w:rsid w:val="00713DBF"/>
    <w:rsid w:val="00716B96"/>
    <w:rsid w:val="00717F88"/>
    <w:rsid w:val="007276A7"/>
    <w:rsid w:val="007311F7"/>
    <w:rsid w:val="00734436"/>
    <w:rsid w:val="00740993"/>
    <w:rsid w:val="00744211"/>
    <w:rsid w:val="00750F84"/>
    <w:rsid w:val="00750F91"/>
    <w:rsid w:val="00765711"/>
    <w:rsid w:val="00765876"/>
    <w:rsid w:val="0076709E"/>
    <w:rsid w:val="00770DE1"/>
    <w:rsid w:val="00771AF2"/>
    <w:rsid w:val="00773939"/>
    <w:rsid w:val="00781062"/>
    <w:rsid w:val="00784C60"/>
    <w:rsid w:val="00785643"/>
    <w:rsid w:val="007857A6"/>
    <w:rsid w:val="00794360"/>
    <w:rsid w:val="0079656C"/>
    <w:rsid w:val="00796AE2"/>
    <w:rsid w:val="007A2630"/>
    <w:rsid w:val="007A39BB"/>
    <w:rsid w:val="007B3A25"/>
    <w:rsid w:val="007B68C2"/>
    <w:rsid w:val="007D084F"/>
    <w:rsid w:val="007D30A3"/>
    <w:rsid w:val="007D5516"/>
    <w:rsid w:val="007D7508"/>
    <w:rsid w:val="007D7E3B"/>
    <w:rsid w:val="007E6D74"/>
    <w:rsid w:val="007F0212"/>
    <w:rsid w:val="007F03C6"/>
    <w:rsid w:val="007F4632"/>
    <w:rsid w:val="007F757C"/>
    <w:rsid w:val="00811D54"/>
    <w:rsid w:val="00812C5D"/>
    <w:rsid w:val="008273A7"/>
    <w:rsid w:val="00827DE2"/>
    <w:rsid w:val="00830F5C"/>
    <w:rsid w:val="00831E34"/>
    <w:rsid w:val="0083451C"/>
    <w:rsid w:val="008437FC"/>
    <w:rsid w:val="00843C86"/>
    <w:rsid w:val="00847C3C"/>
    <w:rsid w:val="008536BA"/>
    <w:rsid w:val="00863025"/>
    <w:rsid w:val="00867111"/>
    <w:rsid w:val="00877F50"/>
    <w:rsid w:val="00885D32"/>
    <w:rsid w:val="00892C2F"/>
    <w:rsid w:val="00896C7F"/>
    <w:rsid w:val="008A678E"/>
    <w:rsid w:val="008B4C1A"/>
    <w:rsid w:val="008C35F2"/>
    <w:rsid w:val="008E0D9A"/>
    <w:rsid w:val="008F4F93"/>
    <w:rsid w:val="0090737F"/>
    <w:rsid w:val="00910E83"/>
    <w:rsid w:val="00917170"/>
    <w:rsid w:val="009220B0"/>
    <w:rsid w:val="009223DB"/>
    <w:rsid w:val="00924E16"/>
    <w:rsid w:val="00925460"/>
    <w:rsid w:val="009278FF"/>
    <w:rsid w:val="009313F8"/>
    <w:rsid w:val="009416F0"/>
    <w:rsid w:val="00942659"/>
    <w:rsid w:val="00942980"/>
    <w:rsid w:val="00943820"/>
    <w:rsid w:val="00951D6E"/>
    <w:rsid w:val="009616D9"/>
    <w:rsid w:val="0096721E"/>
    <w:rsid w:val="00967B1F"/>
    <w:rsid w:val="00973ADB"/>
    <w:rsid w:val="009927A8"/>
    <w:rsid w:val="00994C6B"/>
    <w:rsid w:val="00995B3D"/>
    <w:rsid w:val="009B08FB"/>
    <w:rsid w:val="009B4445"/>
    <w:rsid w:val="009C64F8"/>
    <w:rsid w:val="009D291D"/>
    <w:rsid w:val="009D2C97"/>
    <w:rsid w:val="009D2FD7"/>
    <w:rsid w:val="009F1EEB"/>
    <w:rsid w:val="009F3085"/>
    <w:rsid w:val="00A0731B"/>
    <w:rsid w:val="00A178A3"/>
    <w:rsid w:val="00A2128A"/>
    <w:rsid w:val="00A34748"/>
    <w:rsid w:val="00A3496F"/>
    <w:rsid w:val="00A42D48"/>
    <w:rsid w:val="00A42D70"/>
    <w:rsid w:val="00A44FAD"/>
    <w:rsid w:val="00A50ECA"/>
    <w:rsid w:val="00A637C9"/>
    <w:rsid w:val="00A829CB"/>
    <w:rsid w:val="00A848D1"/>
    <w:rsid w:val="00A86D06"/>
    <w:rsid w:val="00AA52BE"/>
    <w:rsid w:val="00AB004F"/>
    <w:rsid w:val="00AB13A6"/>
    <w:rsid w:val="00AB32B5"/>
    <w:rsid w:val="00AC215B"/>
    <w:rsid w:val="00AC2195"/>
    <w:rsid w:val="00AC3415"/>
    <w:rsid w:val="00AD1836"/>
    <w:rsid w:val="00AD1E58"/>
    <w:rsid w:val="00AD700C"/>
    <w:rsid w:val="00AD72F0"/>
    <w:rsid w:val="00AE2826"/>
    <w:rsid w:val="00AE6937"/>
    <w:rsid w:val="00AF7F70"/>
    <w:rsid w:val="00B038B4"/>
    <w:rsid w:val="00B03B18"/>
    <w:rsid w:val="00B03E8D"/>
    <w:rsid w:val="00B040C0"/>
    <w:rsid w:val="00B050E8"/>
    <w:rsid w:val="00B05635"/>
    <w:rsid w:val="00B103BD"/>
    <w:rsid w:val="00B10400"/>
    <w:rsid w:val="00B14FF8"/>
    <w:rsid w:val="00B22E1F"/>
    <w:rsid w:val="00B32612"/>
    <w:rsid w:val="00B37B24"/>
    <w:rsid w:val="00B4562F"/>
    <w:rsid w:val="00B561CA"/>
    <w:rsid w:val="00B56F61"/>
    <w:rsid w:val="00B579B6"/>
    <w:rsid w:val="00B70517"/>
    <w:rsid w:val="00B70800"/>
    <w:rsid w:val="00B72098"/>
    <w:rsid w:val="00B74855"/>
    <w:rsid w:val="00B7519E"/>
    <w:rsid w:val="00B75E5C"/>
    <w:rsid w:val="00B768E2"/>
    <w:rsid w:val="00B82607"/>
    <w:rsid w:val="00B82D81"/>
    <w:rsid w:val="00B85BF6"/>
    <w:rsid w:val="00B85F19"/>
    <w:rsid w:val="00BA382A"/>
    <w:rsid w:val="00BA7916"/>
    <w:rsid w:val="00BB2CBE"/>
    <w:rsid w:val="00BB51EC"/>
    <w:rsid w:val="00BC3AAB"/>
    <w:rsid w:val="00BC74C0"/>
    <w:rsid w:val="00BE0995"/>
    <w:rsid w:val="00BE653D"/>
    <w:rsid w:val="00BE68EB"/>
    <w:rsid w:val="00BF175C"/>
    <w:rsid w:val="00BF380F"/>
    <w:rsid w:val="00BF6377"/>
    <w:rsid w:val="00C05E19"/>
    <w:rsid w:val="00C14ED3"/>
    <w:rsid w:val="00C22AB4"/>
    <w:rsid w:val="00C22D84"/>
    <w:rsid w:val="00C33D52"/>
    <w:rsid w:val="00C37FB8"/>
    <w:rsid w:val="00C41FE1"/>
    <w:rsid w:val="00C44925"/>
    <w:rsid w:val="00C51890"/>
    <w:rsid w:val="00C539E5"/>
    <w:rsid w:val="00C54A10"/>
    <w:rsid w:val="00C57FD6"/>
    <w:rsid w:val="00C60648"/>
    <w:rsid w:val="00C611AE"/>
    <w:rsid w:val="00C734F1"/>
    <w:rsid w:val="00C73A15"/>
    <w:rsid w:val="00C74504"/>
    <w:rsid w:val="00C809E6"/>
    <w:rsid w:val="00C87AA3"/>
    <w:rsid w:val="00C90B4E"/>
    <w:rsid w:val="00C93046"/>
    <w:rsid w:val="00C93BE0"/>
    <w:rsid w:val="00CA3B0D"/>
    <w:rsid w:val="00CB265E"/>
    <w:rsid w:val="00CB7683"/>
    <w:rsid w:val="00CC5076"/>
    <w:rsid w:val="00CC7DCB"/>
    <w:rsid w:val="00CD73CB"/>
    <w:rsid w:val="00CE24F8"/>
    <w:rsid w:val="00CE2E38"/>
    <w:rsid w:val="00CE7E98"/>
    <w:rsid w:val="00CF2371"/>
    <w:rsid w:val="00CF3BE5"/>
    <w:rsid w:val="00D0129C"/>
    <w:rsid w:val="00D06512"/>
    <w:rsid w:val="00D20C1F"/>
    <w:rsid w:val="00D34C11"/>
    <w:rsid w:val="00D36AFF"/>
    <w:rsid w:val="00D405E6"/>
    <w:rsid w:val="00D40644"/>
    <w:rsid w:val="00D4075A"/>
    <w:rsid w:val="00D44AC6"/>
    <w:rsid w:val="00D4636E"/>
    <w:rsid w:val="00D4752B"/>
    <w:rsid w:val="00D533DA"/>
    <w:rsid w:val="00D675AC"/>
    <w:rsid w:val="00D72B44"/>
    <w:rsid w:val="00D8518F"/>
    <w:rsid w:val="00D868F8"/>
    <w:rsid w:val="00D92D2A"/>
    <w:rsid w:val="00D97A7E"/>
    <w:rsid w:val="00DA29F9"/>
    <w:rsid w:val="00DA356B"/>
    <w:rsid w:val="00DA6ECD"/>
    <w:rsid w:val="00DB441A"/>
    <w:rsid w:val="00DC0C7B"/>
    <w:rsid w:val="00DC27E7"/>
    <w:rsid w:val="00DC4A2C"/>
    <w:rsid w:val="00DD0A13"/>
    <w:rsid w:val="00DD1B82"/>
    <w:rsid w:val="00DE2360"/>
    <w:rsid w:val="00DF4C77"/>
    <w:rsid w:val="00DF5447"/>
    <w:rsid w:val="00DF6846"/>
    <w:rsid w:val="00DF6F3A"/>
    <w:rsid w:val="00E03A81"/>
    <w:rsid w:val="00E078BD"/>
    <w:rsid w:val="00E11D90"/>
    <w:rsid w:val="00E12500"/>
    <w:rsid w:val="00E13C44"/>
    <w:rsid w:val="00E173DE"/>
    <w:rsid w:val="00E2165A"/>
    <w:rsid w:val="00E239E7"/>
    <w:rsid w:val="00E23C6D"/>
    <w:rsid w:val="00E270E9"/>
    <w:rsid w:val="00E30700"/>
    <w:rsid w:val="00E36290"/>
    <w:rsid w:val="00E55A15"/>
    <w:rsid w:val="00E574E6"/>
    <w:rsid w:val="00E5785F"/>
    <w:rsid w:val="00E63934"/>
    <w:rsid w:val="00E70209"/>
    <w:rsid w:val="00E801A5"/>
    <w:rsid w:val="00E8154B"/>
    <w:rsid w:val="00E834DB"/>
    <w:rsid w:val="00E875A5"/>
    <w:rsid w:val="00E97A0F"/>
    <w:rsid w:val="00EA4EBE"/>
    <w:rsid w:val="00EB00C3"/>
    <w:rsid w:val="00EB01D5"/>
    <w:rsid w:val="00EC6445"/>
    <w:rsid w:val="00EC75C7"/>
    <w:rsid w:val="00ED1D4D"/>
    <w:rsid w:val="00EE5FB5"/>
    <w:rsid w:val="00EE6394"/>
    <w:rsid w:val="00EF5751"/>
    <w:rsid w:val="00F01A54"/>
    <w:rsid w:val="00F05C62"/>
    <w:rsid w:val="00F12C2D"/>
    <w:rsid w:val="00F13B79"/>
    <w:rsid w:val="00F151B6"/>
    <w:rsid w:val="00F20EF0"/>
    <w:rsid w:val="00F2523C"/>
    <w:rsid w:val="00F357F9"/>
    <w:rsid w:val="00F35905"/>
    <w:rsid w:val="00F61A94"/>
    <w:rsid w:val="00F72546"/>
    <w:rsid w:val="00F771D6"/>
    <w:rsid w:val="00F77F86"/>
    <w:rsid w:val="00F8175F"/>
    <w:rsid w:val="00F84CE1"/>
    <w:rsid w:val="00F91EF8"/>
    <w:rsid w:val="00F92F65"/>
    <w:rsid w:val="00F93570"/>
    <w:rsid w:val="00FA5FDE"/>
    <w:rsid w:val="00FA62F7"/>
    <w:rsid w:val="00FA740D"/>
    <w:rsid w:val="00FC3700"/>
    <w:rsid w:val="00FD0C29"/>
    <w:rsid w:val="00FD6677"/>
    <w:rsid w:val="00FE1D65"/>
    <w:rsid w:val="00FF67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7AE853"/>
  <w15:chartTrackingRefBased/>
  <w15:docId w15:val="{216BCF6D-34F5-0B4B-83ED-6D5191CBD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73FA"/>
    <w:rPr>
      <w:rFonts w:ascii="Times New Roman" w:eastAsia="Times New Roman" w:hAnsi="Times New Roman" w:cs="Times New Roman"/>
    </w:rPr>
  </w:style>
  <w:style w:type="paragraph" w:styleId="Heading1">
    <w:name w:val="heading 1"/>
    <w:basedOn w:val="Normal"/>
    <w:next w:val="Normal"/>
    <w:link w:val="Heading1Char"/>
    <w:uiPriority w:val="9"/>
    <w:qFormat/>
    <w:rsid w:val="000C73F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C73F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C73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FA62F7"/>
    <w:pPr>
      <w:keepNext/>
      <w:keepLines/>
      <w:spacing w:before="40" w:line="480" w:lineRule="auto"/>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73FA"/>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0C73FA"/>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C73FA"/>
    <w:rPr>
      <w:rFonts w:asciiTheme="majorHAnsi" w:eastAsiaTheme="majorEastAsia" w:hAnsiTheme="majorHAnsi" w:cstheme="majorBidi"/>
      <w:color w:val="1F3763" w:themeColor="accent1" w:themeShade="7F"/>
    </w:rPr>
  </w:style>
  <w:style w:type="paragraph" w:styleId="ListParagraph">
    <w:name w:val="List Paragraph"/>
    <w:basedOn w:val="Normal"/>
    <w:uiPriority w:val="34"/>
    <w:qFormat/>
    <w:rsid w:val="000C73FA"/>
    <w:pPr>
      <w:ind w:left="720"/>
      <w:contextualSpacing/>
    </w:pPr>
  </w:style>
  <w:style w:type="paragraph" w:styleId="Title">
    <w:name w:val="Title"/>
    <w:basedOn w:val="Normal"/>
    <w:next w:val="Normal"/>
    <w:link w:val="TitleChar"/>
    <w:uiPriority w:val="10"/>
    <w:qFormat/>
    <w:rsid w:val="000C73F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C73FA"/>
    <w:rPr>
      <w:rFonts w:asciiTheme="majorHAnsi" w:eastAsiaTheme="majorEastAsia" w:hAnsiTheme="majorHAnsi" w:cstheme="majorBidi"/>
      <w:spacing w:val="-10"/>
      <w:kern w:val="28"/>
      <w:sz w:val="56"/>
      <w:szCs w:val="56"/>
    </w:rPr>
  </w:style>
  <w:style w:type="table" w:styleId="TableGrid">
    <w:name w:val="Table Grid"/>
    <w:basedOn w:val="TableNormal"/>
    <w:uiPriority w:val="39"/>
    <w:rsid w:val="000C73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0C73FA"/>
    <w:pPr>
      <w:spacing w:after="200"/>
    </w:pPr>
    <w:rPr>
      <w:rFonts w:asciiTheme="minorHAnsi" w:eastAsiaTheme="minorHAnsi" w:hAnsiTheme="minorHAnsi" w:cstheme="minorBidi"/>
      <w:i/>
      <w:iCs/>
      <w:color w:val="44546A" w:themeColor="text2"/>
      <w:sz w:val="18"/>
      <w:szCs w:val="18"/>
    </w:rPr>
  </w:style>
  <w:style w:type="paragraph" w:styleId="BalloonText">
    <w:name w:val="Balloon Text"/>
    <w:basedOn w:val="Normal"/>
    <w:link w:val="BalloonTextChar"/>
    <w:uiPriority w:val="99"/>
    <w:semiHidden/>
    <w:unhideWhenUsed/>
    <w:rsid w:val="000C73FA"/>
    <w:rPr>
      <w:sz w:val="18"/>
      <w:szCs w:val="18"/>
    </w:rPr>
  </w:style>
  <w:style w:type="character" w:customStyle="1" w:styleId="BalloonTextChar">
    <w:name w:val="Balloon Text Char"/>
    <w:basedOn w:val="DefaultParagraphFont"/>
    <w:link w:val="BalloonText"/>
    <w:uiPriority w:val="99"/>
    <w:semiHidden/>
    <w:rsid w:val="000C73FA"/>
    <w:rPr>
      <w:rFonts w:ascii="Times New Roman" w:eastAsia="Times New Roman" w:hAnsi="Times New Roman" w:cs="Times New Roman"/>
      <w:sz w:val="18"/>
      <w:szCs w:val="18"/>
    </w:rPr>
  </w:style>
  <w:style w:type="paragraph" w:styleId="Bibliography">
    <w:name w:val="Bibliography"/>
    <w:basedOn w:val="Normal"/>
    <w:next w:val="Normal"/>
    <w:uiPriority w:val="37"/>
    <w:unhideWhenUsed/>
    <w:rsid w:val="00FA62F7"/>
    <w:pPr>
      <w:spacing w:line="480" w:lineRule="auto"/>
      <w:ind w:left="720" w:hanging="720"/>
    </w:pPr>
  </w:style>
  <w:style w:type="character" w:customStyle="1" w:styleId="Heading4Char">
    <w:name w:val="Heading 4 Char"/>
    <w:basedOn w:val="DefaultParagraphFont"/>
    <w:link w:val="Heading4"/>
    <w:uiPriority w:val="9"/>
    <w:rsid w:val="00FA62F7"/>
    <w:rPr>
      <w:rFonts w:asciiTheme="majorHAnsi" w:eastAsiaTheme="majorEastAsia" w:hAnsiTheme="majorHAnsi" w:cstheme="majorBidi"/>
      <w:i/>
      <w:iCs/>
      <w:color w:val="2F5496" w:themeColor="accent1" w:themeShade="BF"/>
    </w:rPr>
  </w:style>
  <w:style w:type="character" w:styleId="Hyperlink">
    <w:name w:val="Hyperlink"/>
    <w:basedOn w:val="DefaultParagraphFont"/>
    <w:uiPriority w:val="99"/>
    <w:unhideWhenUsed/>
    <w:rsid w:val="00FA62F7"/>
    <w:rPr>
      <w:color w:val="0563C1" w:themeColor="hyperlink"/>
      <w:u w:val="single"/>
    </w:rPr>
  </w:style>
  <w:style w:type="character" w:styleId="FollowedHyperlink">
    <w:name w:val="FollowedHyperlink"/>
    <w:basedOn w:val="DefaultParagraphFont"/>
    <w:uiPriority w:val="99"/>
    <w:semiHidden/>
    <w:unhideWhenUsed/>
    <w:rsid w:val="00FA62F7"/>
    <w:rPr>
      <w:color w:val="954F72" w:themeColor="followedHyperlink"/>
      <w:u w:val="single"/>
    </w:rPr>
  </w:style>
  <w:style w:type="paragraph" w:styleId="Header">
    <w:name w:val="header"/>
    <w:basedOn w:val="Normal"/>
    <w:link w:val="HeaderChar"/>
    <w:uiPriority w:val="99"/>
    <w:unhideWhenUsed/>
    <w:rsid w:val="00FA62F7"/>
    <w:pPr>
      <w:tabs>
        <w:tab w:val="center" w:pos="4513"/>
        <w:tab w:val="right" w:pos="9026"/>
      </w:tabs>
      <w:spacing w:line="480" w:lineRule="auto"/>
    </w:pPr>
    <w:rPr>
      <w:rFonts w:asciiTheme="minorHAnsi" w:eastAsiaTheme="minorHAnsi" w:hAnsiTheme="minorHAnsi" w:cstheme="minorBidi"/>
    </w:rPr>
  </w:style>
  <w:style w:type="character" w:customStyle="1" w:styleId="HeaderChar">
    <w:name w:val="Header Char"/>
    <w:basedOn w:val="DefaultParagraphFont"/>
    <w:link w:val="Header"/>
    <w:uiPriority w:val="99"/>
    <w:rsid w:val="00FA62F7"/>
  </w:style>
  <w:style w:type="paragraph" w:styleId="Footer">
    <w:name w:val="footer"/>
    <w:basedOn w:val="Normal"/>
    <w:link w:val="FooterChar"/>
    <w:uiPriority w:val="99"/>
    <w:unhideWhenUsed/>
    <w:rsid w:val="00FA62F7"/>
    <w:pPr>
      <w:tabs>
        <w:tab w:val="center" w:pos="4513"/>
        <w:tab w:val="right" w:pos="9026"/>
      </w:tabs>
      <w:spacing w:line="480" w:lineRule="auto"/>
    </w:pPr>
    <w:rPr>
      <w:rFonts w:asciiTheme="minorHAnsi" w:eastAsiaTheme="minorHAnsi" w:hAnsiTheme="minorHAnsi" w:cstheme="minorBidi"/>
    </w:rPr>
  </w:style>
  <w:style w:type="character" w:customStyle="1" w:styleId="FooterChar">
    <w:name w:val="Footer Char"/>
    <w:basedOn w:val="DefaultParagraphFont"/>
    <w:link w:val="Footer"/>
    <w:uiPriority w:val="99"/>
    <w:rsid w:val="00FA62F7"/>
  </w:style>
  <w:style w:type="paragraph" w:styleId="NormalWeb">
    <w:name w:val="Normal (Web)"/>
    <w:basedOn w:val="Normal"/>
    <w:uiPriority w:val="99"/>
    <w:unhideWhenUsed/>
    <w:rsid w:val="00FA62F7"/>
    <w:pPr>
      <w:spacing w:line="480" w:lineRule="auto"/>
    </w:pPr>
    <w:rPr>
      <w:rFonts w:eastAsiaTheme="minorHAnsi"/>
    </w:rPr>
  </w:style>
  <w:style w:type="table" w:styleId="PlainTable1">
    <w:name w:val="Plain Table 1"/>
    <w:basedOn w:val="TableNormal"/>
    <w:uiPriority w:val="41"/>
    <w:rsid w:val="00FA62F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FA62F7"/>
    <w:rPr>
      <w:sz w:val="16"/>
      <w:szCs w:val="16"/>
    </w:rPr>
  </w:style>
  <w:style w:type="paragraph" w:styleId="CommentText">
    <w:name w:val="annotation text"/>
    <w:basedOn w:val="Normal"/>
    <w:link w:val="CommentTextChar"/>
    <w:uiPriority w:val="99"/>
    <w:semiHidden/>
    <w:unhideWhenUsed/>
    <w:rsid w:val="00FA62F7"/>
    <w:pPr>
      <w:spacing w:line="480" w:lineRule="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FA62F7"/>
    <w:rPr>
      <w:sz w:val="20"/>
      <w:szCs w:val="20"/>
    </w:rPr>
  </w:style>
  <w:style w:type="paragraph" w:styleId="CommentSubject">
    <w:name w:val="annotation subject"/>
    <w:basedOn w:val="CommentText"/>
    <w:next w:val="CommentText"/>
    <w:link w:val="CommentSubjectChar"/>
    <w:uiPriority w:val="99"/>
    <w:semiHidden/>
    <w:unhideWhenUsed/>
    <w:rsid w:val="00FA62F7"/>
    <w:rPr>
      <w:b/>
      <w:bCs/>
    </w:rPr>
  </w:style>
  <w:style w:type="character" w:customStyle="1" w:styleId="CommentSubjectChar">
    <w:name w:val="Comment Subject Char"/>
    <w:basedOn w:val="CommentTextChar"/>
    <w:link w:val="CommentSubject"/>
    <w:uiPriority w:val="99"/>
    <w:semiHidden/>
    <w:rsid w:val="00FA62F7"/>
    <w:rPr>
      <w:b/>
      <w:bCs/>
      <w:sz w:val="20"/>
      <w:szCs w:val="20"/>
    </w:rPr>
  </w:style>
  <w:style w:type="character" w:customStyle="1" w:styleId="UnresolvedMention1">
    <w:name w:val="Unresolved Mention1"/>
    <w:basedOn w:val="DefaultParagraphFont"/>
    <w:uiPriority w:val="99"/>
    <w:rsid w:val="00FA62F7"/>
    <w:rPr>
      <w:color w:val="605E5C"/>
      <w:shd w:val="clear" w:color="auto" w:fill="E1DFDD"/>
    </w:rPr>
  </w:style>
  <w:style w:type="character" w:styleId="SubtleEmphasis">
    <w:name w:val="Subtle Emphasis"/>
    <w:basedOn w:val="DefaultParagraphFont"/>
    <w:uiPriority w:val="19"/>
    <w:qFormat/>
    <w:rsid w:val="00FA62F7"/>
    <w:rPr>
      <w:i/>
      <w:iCs/>
      <w:color w:val="404040" w:themeColor="text1" w:themeTint="BF"/>
    </w:rPr>
  </w:style>
  <w:style w:type="character" w:customStyle="1" w:styleId="UnresolvedMention2">
    <w:name w:val="Unresolved Mention2"/>
    <w:basedOn w:val="DefaultParagraphFont"/>
    <w:uiPriority w:val="99"/>
    <w:rsid w:val="00FA62F7"/>
    <w:rPr>
      <w:color w:val="605E5C"/>
      <w:shd w:val="clear" w:color="auto" w:fill="E1DFDD"/>
    </w:rPr>
  </w:style>
  <w:style w:type="paragraph" w:styleId="Revision">
    <w:name w:val="Revision"/>
    <w:hidden/>
    <w:uiPriority w:val="99"/>
    <w:semiHidden/>
    <w:rsid w:val="00FA62F7"/>
  </w:style>
  <w:style w:type="character" w:styleId="LineNumber">
    <w:name w:val="line number"/>
    <w:basedOn w:val="DefaultParagraphFont"/>
    <w:uiPriority w:val="99"/>
    <w:semiHidden/>
    <w:unhideWhenUsed/>
    <w:rsid w:val="00FA62F7"/>
  </w:style>
  <w:style w:type="character" w:customStyle="1" w:styleId="UnresolvedMention3">
    <w:name w:val="Unresolved Mention3"/>
    <w:basedOn w:val="DefaultParagraphFont"/>
    <w:uiPriority w:val="99"/>
    <w:rsid w:val="00FA62F7"/>
    <w:rPr>
      <w:color w:val="605E5C"/>
      <w:shd w:val="clear" w:color="auto" w:fill="E1DFDD"/>
    </w:rPr>
  </w:style>
  <w:style w:type="character" w:styleId="Emphasis">
    <w:name w:val="Emphasis"/>
    <w:basedOn w:val="DefaultParagraphFont"/>
    <w:uiPriority w:val="20"/>
    <w:qFormat/>
    <w:rsid w:val="00FA62F7"/>
    <w:rPr>
      <w:i/>
      <w:iCs/>
    </w:rPr>
  </w:style>
  <w:style w:type="paragraph" w:styleId="TOCHeading">
    <w:name w:val="TOC Heading"/>
    <w:basedOn w:val="Heading1"/>
    <w:next w:val="Normal"/>
    <w:uiPriority w:val="39"/>
    <w:unhideWhenUsed/>
    <w:qFormat/>
    <w:rsid w:val="005A7B37"/>
    <w:pPr>
      <w:spacing w:before="480" w:line="276" w:lineRule="auto"/>
      <w:outlineLvl w:val="9"/>
    </w:pPr>
    <w:rPr>
      <w:b/>
      <w:bCs/>
      <w:sz w:val="28"/>
      <w:szCs w:val="28"/>
      <w:lang w:val="en-US"/>
    </w:rPr>
  </w:style>
  <w:style w:type="paragraph" w:styleId="TOC1">
    <w:name w:val="toc 1"/>
    <w:basedOn w:val="Normal"/>
    <w:next w:val="Normal"/>
    <w:autoRedefine/>
    <w:uiPriority w:val="39"/>
    <w:unhideWhenUsed/>
    <w:qFormat/>
    <w:rsid w:val="00707B52"/>
    <w:pPr>
      <w:spacing w:before="120"/>
    </w:pPr>
    <w:rPr>
      <w:rFonts w:asciiTheme="minorHAnsi" w:hAnsiTheme="minorHAnsi" w:cstheme="minorHAnsi"/>
      <w:b/>
      <w:bCs/>
      <w:i/>
      <w:iCs/>
    </w:rPr>
  </w:style>
  <w:style w:type="paragraph" w:styleId="TOC2">
    <w:name w:val="toc 2"/>
    <w:basedOn w:val="Normal"/>
    <w:next w:val="Normal"/>
    <w:autoRedefine/>
    <w:uiPriority w:val="39"/>
    <w:unhideWhenUsed/>
    <w:qFormat/>
    <w:rsid w:val="00707B52"/>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qFormat/>
    <w:rsid w:val="00601836"/>
    <w:pPr>
      <w:ind w:left="480"/>
    </w:pPr>
    <w:rPr>
      <w:rFonts w:asciiTheme="minorHAnsi" w:hAnsiTheme="minorHAnsi" w:cstheme="minorHAnsi"/>
      <w:sz w:val="20"/>
      <w:szCs w:val="20"/>
    </w:rPr>
  </w:style>
  <w:style w:type="paragraph" w:styleId="TOC4">
    <w:name w:val="toc 4"/>
    <w:basedOn w:val="Normal"/>
    <w:next w:val="Normal"/>
    <w:autoRedefine/>
    <w:uiPriority w:val="39"/>
    <w:unhideWhenUsed/>
    <w:qFormat/>
    <w:rsid w:val="003C36C6"/>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3C36C6"/>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3C36C6"/>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3C36C6"/>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3C36C6"/>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3C36C6"/>
    <w:pPr>
      <w:ind w:left="1920"/>
    </w:pPr>
    <w:rPr>
      <w:rFonts w:asciiTheme="minorHAnsi" w:hAnsiTheme="minorHAnsi" w:cstheme="minorHAnsi"/>
      <w:sz w:val="20"/>
      <w:szCs w:val="20"/>
    </w:rPr>
  </w:style>
  <w:style w:type="character" w:customStyle="1" w:styleId="UnresolvedMention4">
    <w:name w:val="Unresolved Mention4"/>
    <w:basedOn w:val="DefaultParagraphFont"/>
    <w:uiPriority w:val="99"/>
    <w:semiHidden/>
    <w:unhideWhenUsed/>
    <w:rsid w:val="005A7B37"/>
    <w:rPr>
      <w:color w:val="605E5C"/>
      <w:shd w:val="clear" w:color="auto" w:fill="E1DFDD"/>
    </w:rPr>
  </w:style>
  <w:style w:type="paragraph" w:styleId="TableofFigures">
    <w:name w:val="table of figures"/>
    <w:basedOn w:val="Normal"/>
    <w:next w:val="Normal"/>
    <w:uiPriority w:val="99"/>
    <w:unhideWhenUsed/>
    <w:rsid w:val="006766C5"/>
    <w:pPr>
      <w:ind w:left="480" w:hanging="480"/>
    </w:pPr>
    <w:rPr>
      <w:rFonts w:asciiTheme="minorHAnsi" w:hAnsiTheme="minorHAnsi" w:cstheme="minorHAnsi"/>
      <w:b/>
      <w:bCs/>
      <w:sz w:val="20"/>
      <w:szCs w:val="20"/>
    </w:rPr>
  </w:style>
  <w:style w:type="character" w:styleId="PlaceholderText">
    <w:name w:val="Placeholder Text"/>
    <w:basedOn w:val="DefaultParagraphFont"/>
    <w:uiPriority w:val="99"/>
    <w:semiHidden/>
    <w:rsid w:val="005B7A38"/>
    <w:rPr>
      <w:color w:val="808080"/>
    </w:rPr>
  </w:style>
  <w:style w:type="character" w:styleId="UnresolvedMention">
    <w:name w:val="Unresolved Mention"/>
    <w:basedOn w:val="DefaultParagraphFont"/>
    <w:uiPriority w:val="99"/>
    <w:semiHidden/>
    <w:unhideWhenUsed/>
    <w:rsid w:val="00AC2195"/>
    <w:rPr>
      <w:color w:val="605E5C"/>
      <w:shd w:val="clear" w:color="auto" w:fill="E1DFDD"/>
    </w:rPr>
  </w:style>
  <w:style w:type="character" w:styleId="PageNumber">
    <w:name w:val="page number"/>
    <w:basedOn w:val="DefaultParagraphFont"/>
    <w:uiPriority w:val="99"/>
    <w:semiHidden/>
    <w:unhideWhenUsed/>
    <w:rsid w:val="007810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5442336">
      <w:bodyDiv w:val="1"/>
      <w:marLeft w:val="0"/>
      <w:marRight w:val="0"/>
      <w:marTop w:val="0"/>
      <w:marBottom w:val="0"/>
      <w:divBdr>
        <w:top w:val="none" w:sz="0" w:space="0" w:color="auto"/>
        <w:left w:val="none" w:sz="0" w:space="0" w:color="auto"/>
        <w:bottom w:val="none" w:sz="0" w:space="0" w:color="auto"/>
        <w:right w:val="none" w:sz="0" w:space="0" w:color="auto"/>
      </w:divBdr>
    </w:div>
    <w:div w:id="1631209059">
      <w:bodyDiv w:val="1"/>
      <w:marLeft w:val="0"/>
      <w:marRight w:val="0"/>
      <w:marTop w:val="0"/>
      <w:marBottom w:val="0"/>
      <w:divBdr>
        <w:top w:val="none" w:sz="0" w:space="0" w:color="auto"/>
        <w:left w:val="none" w:sz="0" w:space="0" w:color="auto"/>
        <w:bottom w:val="none" w:sz="0" w:space="0" w:color="auto"/>
        <w:right w:val="none" w:sz="0" w:space="0" w:color="auto"/>
      </w:divBdr>
    </w:div>
    <w:div w:id="1884562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70.png"/><Relationship Id="rId42" Type="http://schemas.openxmlformats.org/officeDocument/2006/relationships/image" Target="media/image18.png"/><Relationship Id="rId47" Type="http://schemas.openxmlformats.org/officeDocument/2006/relationships/image" Target="media/image200.png"/><Relationship Id="rId63" Type="http://schemas.openxmlformats.org/officeDocument/2006/relationships/image" Target="media/image270.png"/><Relationship Id="rId68" Type="http://schemas.openxmlformats.org/officeDocument/2006/relationships/image" Target="media/image30.png"/><Relationship Id="rId84" Type="http://schemas.openxmlformats.org/officeDocument/2006/relationships/image" Target="media/image370.png"/><Relationship Id="rId16" Type="http://schemas.openxmlformats.org/officeDocument/2006/relationships/image" Target="media/image5.png"/><Relationship Id="rId11" Type="http://schemas.openxmlformats.org/officeDocument/2006/relationships/image" Target="media/image210.png"/><Relationship Id="rId32" Type="http://schemas.openxmlformats.org/officeDocument/2006/relationships/image" Target="media/image13.png"/><Relationship Id="rId37" Type="http://schemas.openxmlformats.org/officeDocument/2006/relationships/image" Target="media/image150.png"/><Relationship Id="rId53" Type="http://schemas.openxmlformats.org/officeDocument/2006/relationships/image" Target="media/image230.png"/><Relationship Id="rId58" Type="http://schemas.openxmlformats.org/officeDocument/2006/relationships/image" Target="media/image25.png"/><Relationship Id="rId74" Type="http://schemas.openxmlformats.org/officeDocument/2006/relationships/image" Target="media/image320.png"/><Relationship Id="rId79" Type="http://schemas.openxmlformats.org/officeDocument/2006/relationships/image" Target="media/image35.png"/><Relationship Id="rId5" Type="http://schemas.openxmlformats.org/officeDocument/2006/relationships/webSettings" Target="webSettings.xml"/><Relationship Id="rId19" Type="http://schemas.openxmlformats.org/officeDocument/2006/relationships/image" Target="media/image60.png"/><Relationship Id="rId14" Type="http://schemas.openxmlformats.org/officeDocument/2006/relationships/image" Target="media/image4.jpg"/><Relationship Id="rId22" Type="http://schemas.openxmlformats.org/officeDocument/2006/relationships/image" Target="media/image8.png"/><Relationship Id="rId27" Type="http://schemas.openxmlformats.org/officeDocument/2006/relationships/image" Target="media/image100.png"/><Relationship Id="rId30" Type="http://schemas.openxmlformats.org/officeDocument/2006/relationships/image" Target="media/image12.png"/><Relationship Id="rId35" Type="http://schemas.openxmlformats.org/officeDocument/2006/relationships/image" Target="media/image140.png"/><Relationship Id="rId43" Type="http://schemas.openxmlformats.org/officeDocument/2006/relationships/image" Target="media/image180.png"/><Relationship Id="rId48" Type="http://schemas.openxmlformats.org/officeDocument/2006/relationships/image" Target="media/image21.png"/><Relationship Id="rId56" Type="http://schemas.openxmlformats.org/officeDocument/2006/relationships/image" Target="media/image24.png"/><Relationship Id="rId64" Type="http://schemas.openxmlformats.org/officeDocument/2006/relationships/image" Target="media/image28.png"/><Relationship Id="rId69" Type="http://schemas.openxmlformats.org/officeDocument/2006/relationships/image" Target="media/image300.png"/><Relationship Id="rId77"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image" Target="media/image220.png"/><Relationship Id="rId72" Type="http://schemas.openxmlformats.org/officeDocument/2006/relationships/image" Target="media/image310.png"/><Relationship Id="rId80" Type="http://schemas.openxmlformats.org/officeDocument/2006/relationships/image" Target="media/image350.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50.png"/><Relationship Id="rId25" Type="http://schemas.openxmlformats.org/officeDocument/2006/relationships/image" Target="media/image90.png"/><Relationship Id="rId33" Type="http://schemas.openxmlformats.org/officeDocument/2006/relationships/image" Target="media/image130.png"/><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image" Target="media/image250.png"/><Relationship Id="rId67" Type="http://schemas.openxmlformats.org/officeDocument/2006/relationships/image" Target="media/image290.png"/><Relationship Id="rId20" Type="http://schemas.openxmlformats.org/officeDocument/2006/relationships/image" Target="media/image7.png"/><Relationship Id="rId41" Type="http://schemas.openxmlformats.org/officeDocument/2006/relationships/image" Target="media/image170.png"/><Relationship Id="rId54" Type="http://schemas.openxmlformats.org/officeDocument/2006/relationships/hyperlink" Target="https://vistalab.stanford.edu/software/" TargetMode="External"/><Relationship Id="rId62" Type="http://schemas.openxmlformats.org/officeDocument/2006/relationships/image" Target="media/image27.png"/><Relationship Id="rId70" Type="http://schemas.openxmlformats.org/officeDocument/2006/relationships/hyperlink" Target="https://vistalab.stanford.edu/software/" TargetMode="External"/><Relationship Id="rId75" Type="http://schemas.openxmlformats.org/officeDocument/2006/relationships/image" Target="media/image33.png"/><Relationship Id="rId83" Type="http://schemas.openxmlformats.org/officeDocument/2006/relationships/image" Target="media/image37.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0.jpg"/><Relationship Id="rId23" Type="http://schemas.openxmlformats.org/officeDocument/2006/relationships/image" Target="media/image80.png"/><Relationship Id="rId28" Type="http://schemas.openxmlformats.org/officeDocument/2006/relationships/image" Target="media/image11.jpg"/><Relationship Id="rId36" Type="http://schemas.openxmlformats.org/officeDocument/2006/relationships/image" Target="media/image15.png"/><Relationship Id="rId49" Type="http://schemas.openxmlformats.org/officeDocument/2006/relationships/image" Target="media/image211.png"/><Relationship Id="rId57" Type="http://schemas.openxmlformats.org/officeDocument/2006/relationships/image" Target="media/image240.png"/><Relationship Id="rId10" Type="http://schemas.openxmlformats.org/officeDocument/2006/relationships/image" Target="media/image2.png"/><Relationship Id="rId31" Type="http://schemas.openxmlformats.org/officeDocument/2006/relationships/image" Target="media/image120.png"/><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image" Target="media/image26.png"/><Relationship Id="rId65" Type="http://schemas.openxmlformats.org/officeDocument/2006/relationships/image" Target="media/image280.png"/><Relationship Id="rId73" Type="http://schemas.openxmlformats.org/officeDocument/2006/relationships/image" Target="media/image32.png"/><Relationship Id="rId78" Type="http://schemas.openxmlformats.org/officeDocument/2006/relationships/image" Target="media/image340.png"/><Relationship Id="rId81" Type="http://schemas.openxmlformats.org/officeDocument/2006/relationships/image" Target="media/image36.png"/><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1.png"/><Relationship Id="rId13" Type="http://schemas.openxmlformats.org/officeDocument/2006/relationships/image" Target="media/image30.jpeg"/><Relationship Id="rId18" Type="http://schemas.openxmlformats.org/officeDocument/2006/relationships/image" Target="media/image6.png"/><Relationship Id="rId39" Type="http://schemas.openxmlformats.org/officeDocument/2006/relationships/image" Target="media/image160.png"/><Relationship Id="rId34" Type="http://schemas.openxmlformats.org/officeDocument/2006/relationships/image" Target="media/image14.png"/><Relationship Id="rId50" Type="http://schemas.openxmlformats.org/officeDocument/2006/relationships/image" Target="media/image22.png"/><Relationship Id="rId55" Type="http://schemas.openxmlformats.org/officeDocument/2006/relationships/hyperlink" Target="http://www.fil.ion.ucl.ac.uk/spm/" TargetMode="External"/><Relationship Id="rId76" Type="http://schemas.openxmlformats.org/officeDocument/2006/relationships/image" Target="media/image330.png"/><Relationship Id="rId7" Type="http://schemas.openxmlformats.org/officeDocument/2006/relationships/endnotes" Target="endnotes.xml"/><Relationship Id="rId71"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image" Target="media/image110.jpg"/><Relationship Id="rId24" Type="http://schemas.openxmlformats.org/officeDocument/2006/relationships/image" Target="media/image9.png"/><Relationship Id="rId40" Type="http://schemas.openxmlformats.org/officeDocument/2006/relationships/image" Target="media/image17.png"/><Relationship Id="rId45" Type="http://schemas.openxmlformats.org/officeDocument/2006/relationships/image" Target="media/image190.png"/><Relationship Id="rId66" Type="http://schemas.openxmlformats.org/officeDocument/2006/relationships/image" Target="media/image29.png"/><Relationship Id="rId87" Type="http://schemas.openxmlformats.org/officeDocument/2006/relationships/fontTable" Target="fontTable.xml"/><Relationship Id="rId61" Type="http://schemas.openxmlformats.org/officeDocument/2006/relationships/image" Target="media/image260.png"/><Relationship Id="rId82" Type="http://schemas.openxmlformats.org/officeDocument/2006/relationships/image" Target="media/image3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8C791E-917C-504D-9499-F3C3D90ED1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276</Pages>
  <Words>211245</Words>
  <Characters>1204100</Characters>
  <Application>Microsoft Office Word</Application>
  <DocSecurity>0</DocSecurity>
  <Lines>10034</Lines>
  <Paragraphs>2825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1412520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Kirstie Wailes-Newson</dc:creator>
  <cp:keywords/>
  <dc:description/>
  <cp:lastModifiedBy>Kirstie Wailes-Newson</cp:lastModifiedBy>
  <cp:revision>8</cp:revision>
  <cp:lastPrinted>2019-08-09T10:56:00Z</cp:lastPrinted>
  <dcterms:created xsi:type="dcterms:W3CDTF">2019-11-04T20:17:00Z</dcterms:created>
  <dcterms:modified xsi:type="dcterms:W3CDTF">2019-11-04T20:45:00Z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zotero-version="5.0.72"&gt;&lt;session id="9GXKD9A2"/&gt;&lt;style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 name="dontAskDelayCitationUpdates" value="true"/&gt;&lt;/prefs&gt;&lt;/data&gt;</vt:lpwstr>
  </property>
</Properties>
</file>